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F1D54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Additional file 1</w:t>
      </w:r>
    </w:p>
    <w:p w14:paraId="444D02DF">
      <w:pPr>
        <w:rPr>
          <w:rFonts w:ascii="宋体" w:hAnsi="宋体" w:eastAsia="宋体" w:cs="宋体"/>
          <w:sz w:val="24"/>
          <w:szCs w:val="24"/>
        </w:rPr>
      </w:pPr>
    </w:p>
    <w:p w14:paraId="13B2E3E4">
      <w:pPr>
        <w:spacing w:line="360" w:lineRule="auto"/>
        <w:rPr>
          <w:rFonts w:hint="eastAsia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Integrated transcriptome sequencing approach provides insights into the mechanism of stamen petaloidy in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none"/>
        </w:rPr>
        <w:t>Clivia miniata</w:t>
      </w:r>
      <w:r>
        <w:rPr>
          <w:rFonts w:hint="eastAsia"/>
          <w:i/>
          <w:iCs/>
          <w:sz w:val="24"/>
          <w:szCs w:val="24"/>
        </w:rPr>
        <w:t xml:space="preserve"> </w:t>
      </w:r>
    </w:p>
    <w:p w14:paraId="2DF94727">
      <w:pPr>
        <w:spacing w:line="360" w:lineRule="auto"/>
        <w:jc w:val="left"/>
        <w:rPr>
          <w:rFonts w:ascii="Times New Roman" w:hAnsi="Times New Roman"/>
          <w:sz w:val="24"/>
          <w:highlight w:val="none"/>
          <w:vertAlign w:val="superscript"/>
        </w:rPr>
      </w:pPr>
      <w:r>
        <w:rPr>
          <w:rFonts w:hint="eastAsia" w:ascii="Times New Roman" w:hAnsi="Times New Roman"/>
          <w:color w:val="000000"/>
          <w:sz w:val="24"/>
          <w:highlight w:val="none"/>
        </w:rPr>
        <w:t>Xinghua Zhao</w:t>
      </w:r>
      <w:r>
        <w:rPr>
          <w:rFonts w:hint="eastAsia" w:ascii="Times New Roman" w:hAnsi="Times New Roman"/>
          <w:color w:val="000000"/>
          <w:sz w:val="24"/>
          <w:highlight w:val="none"/>
          <w:vertAlign w:val="superscript"/>
        </w:rPr>
        <w:t>1</w:t>
      </w:r>
      <w:r>
        <w:rPr>
          <w:rFonts w:hint="eastAsia" w:ascii="Times New Roman" w:hAnsi="Times New Roman"/>
          <w:color w:val="000000"/>
          <w:sz w:val="24"/>
          <w:highlight w:val="none"/>
        </w:rPr>
        <w:t>, Ling Yue</w:t>
      </w:r>
      <w:r>
        <w:rPr>
          <w:rFonts w:hint="eastAsia" w:ascii="Times New Roman" w:hAnsi="Times New Roman"/>
          <w:color w:val="000000"/>
          <w:sz w:val="24"/>
          <w:highlight w:val="none"/>
          <w:vertAlign w:val="superscript"/>
        </w:rPr>
        <w:t>1</w:t>
      </w:r>
      <w:r>
        <w:rPr>
          <w:rFonts w:hint="eastAsia" w:ascii="Times New Roman" w:hAnsi="Times New Roman"/>
          <w:color w:val="000000"/>
          <w:sz w:val="24"/>
          <w:highlight w:val="none"/>
        </w:rPr>
        <w:t>, Dan Li</w:t>
      </w:r>
      <w:r>
        <w:rPr>
          <w:rFonts w:hint="eastAsia" w:ascii="Times New Roman" w:hAnsi="Times New Roman"/>
          <w:color w:val="000000"/>
          <w:sz w:val="24"/>
          <w:highlight w:val="none"/>
          <w:vertAlign w:val="superscript"/>
        </w:rPr>
        <w:t>1</w:t>
      </w:r>
      <w:r>
        <w:rPr>
          <w:rFonts w:hint="eastAsia" w:ascii="Times New Roman" w:hAnsi="Times New Roman"/>
          <w:color w:val="000000"/>
          <w:sz w:val="24"/>
          <w:highlight w:val="none"/>
        </w:rPr>
        <w:t>, Xiuli Feng</w:t>
      </w:r>
      <w:r>
        <w:rPr>
          <w:rFonts w:hint="eastAsia" w:ascii="Times New Roman" w:hAnsi="Times New Roman"/>
          <w:color w:val="000000"/>
          <w:sz w:val="24"/>
          <w:highlight w:val="none"/>
          <w:vertAlign w:val="superscript"/>
        </w:rPr>
        <w:t>1</w:t>
      </w:r>
      <w:r>
        <w:rPr>
          <w:rFonts w:hint="eastAsia" w:ascii="Times New Roman" w:hAnsi="Times New Roman"/>
          <w:color w:val="000000"/>
          <w:sz w:val="24"/>
          <w:highlight w:val="none"/>
        </w:rPr>
        <w:t>, Xi Ren</w:t>
      </w:r>
      <w:r>
        <w:rPr>
          <w:rFonts w:hint="eastAsia" w:ascii="Times New Roman" w:hAnsi="Times New Roman"/>
          <w:color w:val="000000"/>
          <w:sz w:val="24"/>
          <w:highlight w:val="none"/>
          <w:vertAlign w:val="superscript"/>
        </w:rPr>
        <w:t>1</w:t>
      </w:r>
      <w:r>
        <w:rPr>
          <w:rFonts w:hint="eastAsia" w:ascii="Times New Roman" w:hAnsi="Times New Roman"/>
          <w:color w:val="000000"/>
          <w:sz w:val="24"/>
          <w:highlight w:val="none"/>
        </w:rPr>
        <w:t xml:space="preserve">, </w:t>
      </w:r>
      <w:r>
        <w:rPr>
          <w:rFonts w:hint="eastAsia" w:ascii="Times New Roman" w:hAnsi="Times New Roman"/>
          <w:color w:val="000000"/>
          <w:sz w:val="24"/>
          <w:highlight w:val="none"/>
          <w:lang w:val="en-US" w:eastAsia="zh-CN"/>
        </w:rPr>
        <w:t>Jingyu Yue</w:t>
      </w:r>
      <w:r>
        <w:rPr>
          <w:rFonts w:hint="eastAsia" w:ascii="Times New Roman" w:hAnsi="Times New Roman"/>
          <w:color w:val="000000"/>
          <w:sz w:val="24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/>
          <w:color w:val="000000"/>
          <w:sz w:val="24"/>
          <w:highlight w:val="none"/>
          <w:lang w:val="en-US" w:eastAsia="zh-CN"/>
        </w:rPr>
        <w:t xml:space="preserve">, </w:t>
      </w:r>
      <w:r>
        <w:rPr>
          <w:rFonts w:hint="eastAsia" w:ascii="Times New Roman" w:hAnsi="Times New Roman"/>
          <w:color w:val="000000"/>
          <w:sz w:val="24"/>
          <w:highlight w:val="none"/>
        </w:rPr>
        <w:t>Jiajun Lei</w:t>
      </w:r>
      <w:r>
        <w:rPr>
          <w:rFonts w:hint="eastAsia" w:ascii="Times New Roman" w:hAnsi="Times New Roman"/>
          <w:color w:val="000000"/>
          <w:sz w:val="24"/>
          <w:highlight w:val="none"/>
          <w:vertAlign w:val="superscript"/>
        </w:rPr>
        <w:t>2</w:t>
      </w:r>
      <w:r>
        <w:rPr>
          <w:rFonts w:hint="eastAsia" w:ascii="Times New Roman" w:hAnsi="Times New Roman"/>
          <w:color w:val="000000"/>
          <w:sz w:val="24"/>
          <w:highlight w:val="none"/>
        </w:rPr>
        <w:t>*</w:t>
      </w:r>
    </w:p>
    <w:p w14:paraId="4F2B70F1">
      <w:pPr>
        <w:spacing w:line="360" w:lineRule="auto"/>
        <w:jc w:val="left"/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vertAlign w:val="superscript"/>
        </w:rPr>
        <w:t>1</w:t>
      </w:r>
      <w:r>
        <w:rPr>
          <w:rFonts w:ascii="Times New Roman" w:hAnsi="Times New Roman"/>
          <w:sz w:val="24"/>
          <w:highlight w:val="none"/>
        </w:rPr>
        <w:t>Institute of Floriculture, Liaoning Academy of Agricultural Science</w:t>
      </w:r>
      <w:r>
        <w:rPr>
          <w:rFonts w:hint="eastAsia" w:ascii="Times New Roman" w:hAnsi="Times New Roman"/>
          <w:sz w:val="24"/>
          <w:highlight w:val="none"/>
        </w:rPr>
        <w:t>s</w:t>
      </w:r>
      <w:r>
        <w:rPr>
          <w:rFonts w:ascii="Times New Roman" w:hAnsi="Times New Roman"/>
          <w:sz w:val="24"/>
          <w:highlight w:val="none"/>
        </w:rPr>
        <w:t>, Shenyang 110161, Liaoning, China</w:t>
      </w:r>
    </w:p>
    <w:p w14:paraId="5098BC38">
      <w:pPr>
        <w:spacing w:line="360" w:lineRule="auto"/>
        <w:jc w:val="left"/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vertAlign w:val="superscript"/>
        </w:rPr>
        <w:t>2</w:t>
      </w:r>
      <w:r>
        <w:rPr>
          <w:rFonts w:hint="eastAsia" w:ascii="Times New Roman" w:hAnsi="Times New Roman"/>
          <w:sz w:val="24"/>
          <w:highlight w:val="none"/>
        </w:rPr>
        <w:t>College of Horticulture, Shenyang Agricultural University, Shenyang, 110866, Liaoning, China</w:t>
      </w:r>
      <w:bookmarkStart w:id="0" w:name="_GoBack"/>
      <w:bookmarkEnd w:id="0"/>
    </w:p>
    <w:p w14:paraId="0E79950D">
      <w:pPr>
        <w:adjustRightInd w:val="0"/>
        <w:spacing w:line="480" w:lineRule="auto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* Corresponding author</w:t>
      </w:r>
    </w:p>
    <w:p w14:paraId="705C74E2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highlight w:val="none"/>
        </w:rPr>
        <w:t>E-mail address</w:t>
      </w:r>
      <w:r>
        <w:rPr>
          <w:rFonts w:ascii="Times New Roman" w:hAnsi="Times New Roman" w:cs="Times New Roman"/>
          <w:sz w:val="24"/>
          <w:highlight w:val="none"/>
        </w:rPr>
        <w:t>:</w:t>
      </w:r>
      <w:r>
        <w:rPr>
          <w:rFonts w:hint="eastAsia" w:ascii="Times New Roman" w:hAnsi="Times New Roman" w:cs="Times New Roman"/>
          <w:sz w:val="24"/>
          <w:highlight w:val="none"/>
        </w:rPr>
        <w:t xml:space="preserve"> </w:t>
      </w:r>
      <w:r>
        <w:rPr>
          <w:rFonts w:hint="eastAsia" w:ascii="Times New Roman" w:hAnsi="Times New Roman"/>
          <w:color w:val="000000"/>
          <w:sz w:val="24"/>
          <w:highlight w:val="none"/>
        </w:rPr>
        <w:t>Jiajun Lei (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"mailto:jiajunlei@syau.edu.cn" </w:instrText>
      </w:r>
      <w:r>
        <w:rPr>
          <w:highlight w:val="none"/>
        </w:rPr>
        <w:fldChar w:fldCharType="separate"/>
      </w:r>
      <w:r>
        <w:rPr>
          <w:rStyle w:val="4"/>
          <w:rFonts w:ascii="Times New Roman" w:hAnsi="Times New Roman" w:cs="Times New Roman"/>
          <w:color w:val="auto"/>
          <w:sz w:val="24"/>
          <w:highlight w:val="none"/>
          <w:u w:val="none"/>
        </w:rPr>
        <w:t>jiajunlei@syau.edu.cn</w:t>
      </w:r>
      <w:r>
        <w:rPr>
          <w:rStyle w:val="4"/>
          <w:rFonts w:ascii="Times New Roman" w:hAnsi="Times New Roman" w:cs="Times New Roman"/>
          <w:color w:val="auto"/>
          <w:sz w:val="24"/>
          <w:highlight w:val="none"/>
          <w:u w:val="none"/>
        </w:rPr>
        <w:fldChar w:fldCharType="end"/>
      </w:r>
      <w:r>
        <w:rPr>
          <w:rFonts w:ascii="Times New Roman" w:hAnsi="Times New Roman" w:cs="Times New Roman"/>
          <w:sz w:val="24"/>
          <w:highlight w:val="none"/>
        </w:rPr>
        <w:t>)</w:t>
      </w:r>
      <w:r>
        <w:rPr>
          <w:rFonts w:hint="eastAsia" w:ascii="Times New Roman" w:hAnsi="Times New Roman" w:cs="Times New Roman"/>
          <w:sz w:val="24"/>
          <w:highlight w:val="none"/>
        </w:rPr>
        <w:t xml:space="preserve">; </w:t>
      </w:r>
      <w:r>
        <w:rPr>
          <w:rFonts w:ascii="Times New Roman" w:hAnsi="Times New Roman" w:cs="Times New Roman"/>
          <w:sz w:val="24"/>
          <w:highlight w:val="none"/>
        </w:rPr>
        <w:t>Tel.: +86 13478198765.</w:t>
      </w:r>
    </w:p>
    <w:p w14:paraId="5D8342ED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6B47433D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9525" cy="2718435"/>
            <wp:effectExtent l="0" t="0" r="571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  <a:alpha val="0"/>
                          </a:srgbClr>
                        </a:clrTo>
                      </a:clrChange>
                    </a:blip>
                    <a:srcRect l="1984" t="12312" r="11736" b="5832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718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30D6E5C">
      <w:pPr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Figure S1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ength distribution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of </w:t>
      </w:r>
      <w:r>
        <w:rPr>
          <w:rFonts w:hint="default" w:ascii="Times New Roman" w:hAnsi="Times New Roman" w:eastAsia="宋体" w:cs="Times New Roman"/>
          <w:sz w:val="24"/>
          <w:szCs w:val="24"/>
        </w:rPr>
        <w:t>Unigene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p w14:paraId="239266B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27045" cy="1988820"/>
            <wp:effectExtent l="0" t="0" r="5715" b="762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12131" t="10883" r="10270" b="13578"/>
                    <a:stretch>
                      <a:fillRect/>
                    </a:stretch>
                  </pic:blipFill>
                  <pic:spPr>
                    <a:xfrm>
                      <a:off x="0" y="0"/>
                      <a:ext cx="3027045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95F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Figure 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The numbers of unigenes annotated in four database (KOG, SwissProt, KEGG, Nr) at an E-value &lt; 10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vertAlign w:val="superscript"/>
          <w:lang w:val="en-US" w:eastAsia="zh-CN"/>
        </w:rPr>
        <w:t>−5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.</w:t>
      </w:r>
    </w:p>
    <w:p w14:paraId="6A0491AA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942715" cy="2572385"/>
            <wp:effectExtent l="0" t="0" r="0" b="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t="6528" b="6485"/>
                    <a:stretch>
                      <a:fillRect/>
                    </a:stretch>
                  </pic:blipFill>
                  <pic:spPr>
                    <a:xfrm>
                      <a:off x="0" y="0"/>
                      <a:ext cx="3942715" cy="2572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303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Figure 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Number of homologous sequences from various species matched to Unigene sequences in the Nr database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p w14:paraId="0A34E172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10810" cy="3206750"/>
            <wp:effectExtent l="0" t="0" r="0" b="0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320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8C445E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Figure S4.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KOG classification statistics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p w14:paraId="107E6D0D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939030" cy="3028315"/>
            <wp:effectExtent l="0" t="0" r="0" b="0"/>
            <wp:docPr id="6" name="图片 6" descr="Unigene.GO.level2.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Unigene.GO.level2.bar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r="6780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11F95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Figure 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GO secondary classification statistics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p w14:paraId="6D5056B1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879850" cy="3014345"/>
            <wp:effectExtent l="0" t="0" r="6350" b="3175"/>
            <wp:docPr id="9" name="图片 9" descr="附图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附图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A0240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556125" cy="3305175"/>
            <wp:effectExtent l="0" t="0" r="635" b="1905"/>
            <wp:docPr id="10" name="图片 10" descr="附图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附图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61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546F5">
      <w:pPr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Figure 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Gene expression abundance distribution plot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and s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ample expression violin plot.</w:t>
      </w:r>
    </w:p>
    <w:p w14:paraId="6451EF8F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9865" cy="3828415"/>
            <wp:effectExtent l="0" t="0" r="3175" b="12065"/>
            <wp:docPr id="11" name="图片 11" descr="演示文稿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演示文稿1_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2121B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Figure 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Sample principal component analysis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F7879"/>
    <w:rsid w:val="02DB4AB3"/>
    <w:rsid w:val="12A23D42"/>
    <w:rsid w:val="14D41D4C"/>
    <w:rsid w:val="268F5A3F"/>
    <w:rsid w:val="44AA3DC2"/>
    <w:rsid w:val="63D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</Words>
  <Characters>878</Characters>
  <Lines>0</Lines>
  <Paragraphs>0</Paragraphs>
  <TotalTime>0</TotalTime>
  <ScaleCrop>false</ScaleCrop>
  <LinksUpToDate>false</LinksUpToDate>
  <CharactersWithSpaces>1000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2025-12-23T03:25:00Z</dcterms:created>
  <dc:creator>鲸鱼</dc:creator>
  <cp:lastModifiedBy>鲸鱼</cp:lastModifiedBy>
  <dcterms:modified xsi:type="dcterms:W3CDTF">2026-05-01T09:53:57Z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CD5B71DE3F274560A794D005EBCB453E_11</vt:lpwstr>
  </property>
  <property fmtid="{D5CDD505-2E9C-101B-9397-08002B2CF9AE}" pid="4" name="KSOTemplateDocerSaveRecord">
    <vt:lpwstr>eyJoZGlkIjoiYzFlY2M1NGNmMDRjODI5ZDA5MDIwZTUxZWUzM2VmODYiLCJ1c2VySWQiOiIyOTAwNDQ0OTgifQ==</vt:lpwstr>
  </property>
</Properties>
</file>