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8705A" w14:textId="74AC2064" w:rsidR="0031603E" w:rsidRPr="008A2ED7" w:rsidRDefault="008A2ED7" w:rsidP="008A2ED7">
      <w:pPr>
        <w:pStyle w:val="Heading2"/>
        <w:rPr>
          <w:lang w:val="en-US"/>
        </w:rPr>
      </w:pPr>
      <w:r w:rsidRPr="008A2ED7">
        <w:t xml:space="preserve">Additional File </w:t>
      </w:r>
      <w:r w:rsidR="00BE65ED">
        <w:t xml:space="preserve">2: </w:t>
      </w:r>
      <w:r w:rsidR="00BE65ED" w:rsidRPr="00BE65ED">
        <w:rPr>
          <w:lang w:val="en-US"/>
        </w:rPr>
        <w:t>Details of the included studies</w:t>
      </w:r>
      <w:r w:rsidR="0031603E" w:rsidRPr="0031603E">
        <w:rPr>
          <w:rFonts w:eastAsiaTheme="minorHAnsi" w:cstheme="minorBidi"/>
          <w:lang w:val="en-US" w:bidi="en-GB"/>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8"/>
        <w:gridCol w:w="3466"/>
        <w:gridCol w:w="1456"/>
        <w:gridCol w:w="3155"/>
        <w:gridCol w:w="4095"/>
      </w:tblGrid>
      <w:tr w:rsidR="00F131CF" w:rsidRPr="002E0A56" w14:paraId="44A62E05" w14:textId="77777777" w:rsidTr="00F131CF">
        <w:trPr>
          <w:trHeight w:val="325"/>
        </w:trPr>
        <w:tc>
          <w:tcPr>
            <w:tcW w:w="778" w:type="dxa"/>
            <w:tcBorders>
              <w:top w:val="single" w:sz="4" w:space="0" w:color="000000"/>
              <w:left w:val="single" w:sz="4" w:space="0" w:color="000000"/>
              <w:bottom w:val="single" w:sz="4" w:space="0" w:color="000000"/>
              <w:right w:val="single" w:sz="4" w:space="0" w:color="000000"/>
            </w:tcBorders>
            <w:shd w:val="clear" w:color="auto" w:fill="D9D9D9"/>
            <w:hideMark/>
          </w:tcPr>
          <w:p w14:paraId="1185B97A" w14:textId="77777777" w:rsidR="002E0A56" w:rsidRPr="002E0A56" w:rsidRDefault="002E0A56" w:rsidP="009273EC">
            <w:pPr>
              <w:spacing w:before="0" w:after="0" w:line="240" w:lineRule="auto"/>
              <w:rPr>
                <w:rFonts w:ascii="Calibri" w:eastAsia="Calibri" w:hAnsi="Calibri" w:cs="Times New Roman"/>
                <w:b/>
                <w:sz w:val="16"/>
                <w:szCs w:val="22"/>
                <w:lang w:val="en-US" w:bidi="en-GB"/>
              </w:rPr>
            </w:pPr>
            <w:r w:rsidRPr="002E0A56">
              <w:rPr>
                <w:rFonts w:ascii="Calibri" w:eastAsia="Calibri" w:hAnsi="Calibri" w:cs="Times New Roman"/>
                <w:b/>
                <w:sz w:val="16"/>
                <w:szCs w:val="22"/>
                <w:lang w:val="en-US" w:bidi="en-GB"/>
              </w:rPr>
              <w:t>Study</w:t>
            </w:r>
          </w:p>
        </w:tc>
        <w:tc>
          <w:tcPr>
            <w:tcW w:w="3466" w:type="dxa"/>
            <w:tcBorders>
              <w:top w:val="single" w:sz="4" w:space="0" w:color="000000"/>
              <w:left w:val="single" w:sz="4" w:space="0" w:color="000000"/>
              <w:bottom w:val="single" w:sz="4" w:space="0" w:color="000000"/>
              <w:right w:val="single" w:sz="4" w:space="0" w:color="000000"/>
            </w:tcBorders>
            <w:shd w:val="clear" w:color="auto" w:fill="D9D9D9"/>
            <w:hideMark/>
          </w:tcPr>
          <w:p w14:paraId="5229433A" w14:textId="77777777" w:rsidR="002E0A56" w:rsidRPr="002E0A56" w:rsidRDefault="002E0A56" w:rsidP="009273EC">
            <w:pPr>
              <w:spacing w:before="0" w:after="0" w:line="240" w:lineRule="auto"/>
              <w:rPr>
                <w:rFonts w:ascii="Calibri" w:eastAsia="Calibri" w:hAnsi="Calibri" w:cs="Times New Roman"/>
                <w:b/>
                <w:sz w:val="16"/>
                <w:szCs w:val="22"/>
                <w:lang w:val="en-US" w:bidi="en-GB"/>
              </w:rPr>
            </w:pPr>
            <w:r w:rsidRPr="002E0A56">
              <w:rPr>
                <w:rFonts w:ascii="Calibri" w:eastAsia="Calibri" w:hAnsi="Calibri" w:cs="Times New Roman"/>
                <w:b/>
                <w:sz w:val="16"/>
                <w:szCs w:val="22"/>
                <w:lang w:val="en-US" w:bidi="en-GB"/>
              </w:rPr>
              <w:t>Objective</w:t>
            </w:r>
          </w:p>
        </w:tc>
        <w:tc>
          <w:tcPr>
            <w:tcW w:w="1456" w:type="dxa"/>
            <w:tcBorders>
              <w:top w:val="single" w:sz="4" w:space="0" w:color="000000"/>
              <w:left w:val="single" w:sz="4" w:space="0" w:color="000000"/>
              <w:bottom w:val="single" w:sz="4" w:space="0" w:color="000000"/>
              <w:right w:val="single" w:sz="4" w:space="0" w:color="000000"/>
            </w:tcBorders>
            <w:shd w:val="clear" w:color="auto" w:fill="D9D9D9"/>
            <w:hideMark/>
          </w:tcPr>
          <w:p w14:paraId="1404F3F8" w14:textId="77777777" w:rsidR="002E0A56" w:rsidRPr="002E0A56" w:rsidRDefault="002E0A56" w:rsidP="009273EC">
            <w:pPr>
              <w:spacing w:before="0" w:after="0" w:line="240" w:lineRule="auto"/>
              <w:rPr>
                <w:rFonts w:ascii="Calibri" w:eastAsia="Calibri" w:hAnsi="Calibri" w:cs="Times New Roman"/>
                <w:b/>
                <w:sz w:val="16"/>
                <w:szCs w:val="22"/>
                <w:lang w:val="en-US" w:bidi="en-GB"/>
              </w:rPr>
            </w:pPr>
            <w:r w:rsidRPr="002E0A56">
              <w:rPr>
                <w:rFonts w:ascii="Calibri" w:eastAsia="Calibri" w:hAnsi="Calibri" w:cs="Times New Roman"/>
                <w:b/>
                <w:sz w:val="16"/>
                <w:szCs w:val="22"/>
                <w:lang w:val="en-US" w:bidi="en-GB"/>
              </w:rPr>
              <w:t>Setting</w:t>
            </w:r>
          </w:p>
        </w:tc>
        <w:tc>
          <w:tcPr>
            <w:tcW w:w="3155" w:type="dxa"/>
            <w:tcBorders>
              <w:top w:val="single" w:sz="4" w:space="0" w:color="000000"/>
              <w:left w:val="single" w:sz="4" w:space="0" w:color="000000"/>
              <w:bottom w:val="single" w:sz="4" w:space="0" w:color="000000"/>
              <w:right w:val="single" w:sz="4" w:space="0" w:color="000000"/>
            </w:tcBorders>
            <w:shd w:val="clear" w:color="auto" w:fill="D9D9D9"/>
            <w:hideMark/>
          </w:tcPr>
          <w:p w14:paraId="1D103A27" w14:textId="77777777" w:rsidR="002E0A56" w:rsidRPr="002E0A56" w:rsidRDefault="002E0A56" w:rsidP="009273EC">
            <w:pPr>
              <w:spacing w:before="0" w:after="0" w:line="240" w:lineRule="auto"/>
              <w:rPr>
                <w:rFonts w:ascii="Calibri" w:eastAsia="Calibri" w:hAnsi="Calibri" w:cs="Times New Roman"/>
                <w:b/>
                <w:sz w:val="16"/>
                <w:szCs w:val="22"/>
                <w:lang w:val="en-US" w:bidi="en-GB"/>
              </w:rPr>
            </w:pPr>
            <w:r w:rsidRPr="002E0A56">
              <w:rPr>
                <w:rFonts w:ascii="Calibri" w:eastAsia="Calibri" w:hAnsi="Calibri" w:cs="Times New Roman"/>
                <w:b/>
                <w:sz w:val="16"/>
                <w:szCs w:val="22"/>
                <w:lang w:val="en-US" w:bidi="en-GB"/>
              </w:rPr>
              <w:t>Population</w:t>
            </w:r>
          </w:p>
        </w:tc>
        <w:tc>
          <w:tcPr>
            <w:tcW w:w="4095" w:type="dxa"/>
            <w:tcBorders>
              <w:top w:val="single" w:sz="4" w:space="0" w:color="000000"/>
              <w:left w:val="single" w:sz="4" w:space="0" w:color="000000"/>
              <w:bottom w:val="single" w:sz="4" w:space="0" w:color="000000"/>
              <w:right w:val="single" w:sz="4" w:space="0" w:color="000000"/>
            </w:tcBorders>
            <w:shd w:val="clear" w:color="auto" w:fill="D9D9D9"/>
            <w:hideMark/>
          </w:tcPr>
          <w:p w14:paraId="1293A178" w14:textId="77777777" w:rsidR="002E0A56" w:rsidRPr="002E0A56" w:rsidRDefault="002E0A56" w:rsidP="009273EC">
            <w:pPr>
              <w:spacing w:before="0" w:after="0" w:line="240" w:lineRule="auto"/>
              <w:rPr>
                <w:rFonts w:ascii="Calibri" w:eastAsia="Calibri" w:hAnsi="Calibri" w:cs="Times New Roman"/>
                <w:b/>
                <w:sz w:val="16"/>
                <w:szCs w:val="22"/>
                <w:lang w:val="en-US" w:bidi="en-GB"/>
              </w:rPr>
            </w:pPr>
            <w:r w:rsidRPr="002E0A56">
              <w:rPr>
                <w:rFonts w:ascii="Calibri" w:eastAsia="Calibri" w:hAnsi="Calibri" w:cs="Times New Roman"/>
                <w:b/>
                <w:sz w:val="16"/>
                <w:szCs w:val="22"/>
                <w:lang w:val="en-US" w:bidi="en-GB"/>
              </w:rPr>
              <w:t>Conclusion</w:t>
            </w:r>
          </w:p>
        </w:tc>
      </w:tr>
      <w:tr w:rsidR="009273EC" w:rsidRPr="002E0A56" w14:paraId="2151858F"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6403CD9"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Adie et al. 2012</w:t>
            </w:r>
          </w:p>
        </w:tc>
        <w:tc>
          <w:tcPr>
            <w:tcW w:w="3466" w:type="dxa"/>
            <w:tcBorders>
              <w:top w:val="single" w:sz="4" w:space="0" w:color="000000"/>
              <w:left w:val="single" w:sz="4" w:space="0" w:color="000000"/>
              <w:bottom w:val="single" w:sz="4" w:space="0" w:color="000000"/>
              <w:right w:val="single" w:sz="4" w:space="0" w:color="000000"/>
            </w:tcBorders>
          </w:tcPr>
          <w:p w14:paraId="596B322A"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compare outcomes up to one year post knee and hip replacement between patients treated in the public and private sectors</w:t>
            </w:r>
          </w:p>
        </w:tc>
        <w:tc>
          <w:tcPr>
            <w:tcW w:w="1456" w:type="dxa"/>
            <w:tcBorders>
              <w:top w:val="single" w:sz="4" w:space="0" w:color="000000"/>
              <w:left w:val="single" w:sz="4" w:space="0" w:color="000000"/>
              <w:bottom w:val="single" w:sz="4" w:space="0" w:color="000000"/>
              <w:right w:val="single" w:sz="4" w:space="0" w:color="000000"/>
            </w:tcBorders>
          </w:tcPr>
          <w:p w14:paraId="00704D3A"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6F4F66FC"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Scheduled hip or knee surgery patients in Sydney, Australia from April 2007 to December 2008. (331 total, 184 public, 147 private; 215 knees, 116 hips).</w:t>
            </w:r>
          </w:p>
        </w:tc>
        <w:tc>
          <w:tcPr>
            <w:tcW w:w="4095" w:type="dxa"/>
            <w:tcBorders>
              <w:top w:val="single" w:sz="4" w:space="0" w:color="000000"/>
              <w:left w:val="single" w:sz="4" w:space="0" w:color="000000"/>
              <w:bottom w:val="single" w:sz="4" w:space="0" w:color="000000"/>
              <w:right w:val="single" w:sz="4" w:space="0" w:color="000000"/>
            </w:tcBorders>
          </w:tcPr>
          <w:p w14:paraId="542EC53D"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Joint replacement outcomes are similar for patients treated in public and private hospitals. Surgeons should manage patient expectation prior to surgery, particularly in private patients.</w:t>
            </w:r>
          </w:p>
        </w:tc>
      </w:tr>
      <w:tr w:rsidR="009273EC" w:rsidRPr="002E0A56" w14:paraId="67C64BA7"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4F7D94F7" w14:textId="76018E3C" w:rsidR="002E0A56" w:rsidRPr="002E0A56" w:rsidRDefault="00383ACC" w:rsidP="009273EC">
            <w:pPr>
              <w:spacing w:before="0" w:after="0" w:line="240" w:lineRule="auto"/>
              <w:rPr>
                <w:rFonts w:ascii="Calibri" w:eastAsia="Calibri" w:hAnsi="Calibri" w:cs="Times New Roman"/>
                <w:sz w:val="16"/>
                <w:szCs w:val="22"/>
                <w:lang w:val="en-US" w:bidi="en-GB"/>
              </w:rPr>
            </w:pPr>
            <w:r w:rsidRPr="00383ACC">
              <w:rPr>
                <w:rFonts w:ascii="Calibri" w:eastAsia="Calibri" w:hAnsi="Calibri" w:cs="Times New Roman"/>
                <w:sz w:val="16"/>
                <w:szCs w:val="22"/>
                <w:lang w:bidi="en-GB"/>
              </w:rPr>
              <w:t xml:space="preserve">Andersen and Jakobsen </w:t>
            </w:r>
            <w:r w:rsidR="002E0A56" w:rsidRPr="002E0A56">
              <w:rPr>
                <w:rFonts w:ascii="Calibri" w:eastAsia="Calibri" w:hAnsi="Calibri" w:cs="Times New Roman"/>
                <w:sz w:val="16"/>
                <w:szCs w:val="22"/>
                <w:lang w:val="en-US" w:bidi="en-GB"/>
              </w:rPr>
              <w:t xml:space="preserve">2011 </w:t>
            </w:r>
          </w:p>
        </w:tc>
        <w:tc>
          <w:tcPr>
            <w:tcW w:w="3466" w:type="dxa"/>
            <w:tcBorders>
              <w:top w:val="single" w:sz="4" w:space="0" w:color="000000"/>
              <w:left w:val="single" w:sz="4" w:space="0" w:color="000000"/>
              <w:bottom w:val="single" w:sz="4" w:space="0" w:color="000000"/>
              <w:right w:val="single" w:sz="4" w:space="0" w:color="000000"/>
            </w:tcBorders>
          </w:tcPr>
          <w:p w14:paraId="1FC8B5A7"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investigate how the ownership of hip clinics affects the provision of publicly funded professionalized service behavior, treatment quality and patient satisfaction in a competitive environment</w:t>
            </w:r>
          </w:p>
        </w:tc>
        <w:tc>
          <w:tcPr>
            <w:tcW w:w="1456" w:type="dxa"/>
            <w:tcBorders>
              <w:top w:val="single" w:sz="4" w:space="0" w:color="000000"/>
              <w:left w:val="single" w:sz="4" w:space="0" w:color="000000"/>
              <w:bottom w:val="single" w:sz="4" w:space="0" w:color="000000"/>
              <w:right w:val="single" w:sz="4" w:space="0" w:color="000000"/>
            </w:tcBorders>
          </w:tcPr>
          <w:p w14:paraId="71ED8D0D"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41490D3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Hip Arthroplasty patients. 8 149 patients from 36 public and 20 private clinics in Denmark for fiscal years 2007 to 2008.</w:t>
            </w:r>
          </w:p>
        </w:tc>
        <w:tc>
          <w:tcPr>
            <w:tcW w:w="4095" w:type="dxa"/>
            <w:tcBorders>
              <w:top w:val="single" w:sz="4" w:space="0" w:color="000000"/>
              <w:left w:val="single" w:sz="4" w:space="0" w:color="000000"/>
              <w:bottom w:val="single" w:sz="4" w:space="0" w:color="000000"/>
              <w:right w:val="single" w:sz="4" w:space="0" w:color="000000"/>
            </w:tcBorders>
          </w:tcPr>
          <w:p w14:paraId="2A8C69D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More research must be done in varying institutional contexts before we can draw firm conclusions.</w:t>
            </w:r>
          </w:p>
        </w:tc>
      </w:tr>
      <w:tr w:rsidR="009273EC" w:rsidRPr="002E0A56" w14:paraId="67126A2D"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D5135FC"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Bannister et al. 2010 </w:t>
            </w:r>
          </w:p>
        </w:tc>
        <w:tc>
          <w:tcPr>
            <w:tcW w:w="3466" w:type="dxa"/>
            <w:tcBorders>
              <w:top w:val="single" w:sz="4" w:space="0" w:color="000000"/>
              <w:left w:val="single" w:sz="4" w:space="0" w:color="000000"/>
              <w:bottom w:val="single" w:sz="4" w:space="0" w:color="000000"/>
              <w:right w:val="single" w:sz="4" w:space="0" w:color="000000"/>
            </w:tcBorders>
          </w:tcPr>
          <w:p w14:paraId="6F90E919" w14:textId="75613791"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compare the short-term complications after</w:t>
            </w:r>
            <w:r w:rsidR="00835B51">
              <w:rPr>
                <w:rFonts w:ascii="Calibri" w:eastAsia="Calibri" w:hAnsi="Calibri" w:cs="Times New Roman"/>
                <w:sz w:val="16"/>
                <w:szCs w:val="22"/>
                <w:lang w:val="en-US" w:bidi="en-GB"/>
              </w:rPr>
              <w:t xml:space="preserve"> total hip replacement</w:t>
            </w:r>
            <w:r w:rsidRPr="002E0A56">
              <w:rPr>
                <w:rFonts w:ascii="Calibri" w:eastAsia="Calibri" w:hAnsi="Calibri" w:cs="Times New Roman"/>
                <w:sz w:val="16"/>
                <w:szCs w:val="22"/>
                <w:lang w:val="en-US" w:bidi="en-GB"/>
              </w:rPr>
              <w:t xml:space="preserve"> and</w:t>
            </w:r>
            <w:r w:rsidR="00835B51">
              <w:rPr>
                <w:rFonts w:ascii="Calibri" w:eastAsia="Calibri" w:hAnsi="Calibri" w:cs="Times New Roman"/>
                <w:sz w:val="16"/>
                <w:szCs w:val="22"/>
                <w:lang w:val="en-US" w:bidi="en-GB"/>
              </w:rPr>
              <w:t xml:space="preserve"> total knee replacement</w:t>
            </w:r>
            <w:r w:rsidRPr="002E0A56">
              <w:rPr>
                <w:rFonts w:ascii="Calibri" w:eastAsia="Calibri" w:hAnsi="Calibri" w:cs="Times New Roman"/>
                <w:sz w:val="16"/>
                <w:szCs w:val="22"/>
                <w:lang w:val="en-US" w:bidi="en-GB"/>
              </w:rPr>
              <w:t xml:space="preserve"> at one NHS hospital and two ISTCs</w:t>
            </w:r>
          </w:p>
        </w:tc>
        <w:tc>
          <w:tcPr>
            <w:tcW w:w="1456" w:type="dxa"/>
            <w:tcBorders>
              <w:top w:val="single" w:sz="4" w:space="0" w:color="000000"/>
              <w:left w:val="single" w:sz="4" w:space="0" w:color="000000"/>
              <w:bottom w:val="single" w:sz="4" w:space="0" w:color="000000"/>
              <w:right w:val="single" w:sz="4" w:space="0" w:color="000000"/>
            </w:tcBorders>
          </w:tcPr>
          <w:p w14:paraId="254B5B25"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56F4660B" w14:textId="58C903C4"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Hip and knee arthroplasty patients in the UK from October 2003 to March 2005. Patients who had 880 total hip and 874 total knee arthroplasties at a regional orthopedic hospital with 368 </w:t>
            </w:r>
            <w:r w:rsidR="00835B51" w:rsidRPr="00835B51">
              <w:rPr>
                <w:rFonts w:ascii="Calibri" w:eastAsia="Calibri" w:hAnsi="Calibri" w:cs="Times New Roman"/>
                <w:sz w:val="16"/>
                <w:szCs w:val="22"/>
                <w:lang w:val="en-US" w:bidi="en-GB"/>
              </w:rPr>
              <w:t>total hip</w:t>
            </w:r>
            <w:r w:rsidRPr="002E0A56">
              <w:rPr>
                <w:rFonts w:ascii="Calibri" w:eastAsia="Calibri" w:hAnsi="Calibri" w:cs="Times New Roman"/>
                <w:sz w:val="16"/>
                <w:szCs w:val="22"/>
                <w:lang w:val="en-US" w:bidi="en-GB"/>
              </w:rPr>
              <w:t xml:space="preserve"> and 365</w:t>
            </w:r>
            <w:r w:rsidR="00835B51" w:rsidRPr="00835B51">
              <w:rPr>
                <w:rFonts w:ascii="Calibri" w:eastAsia="Calibri" w:hAnsi="Calibri" w:cs="Times New Roman"/>
                <w:sz w:val="16"/>
                <w:szCs w:val="22"/>
                <w:lang w:val="en-US" w:bidi="en-GB"/>
              </w:rPr>
              <w:t xml:space="preserve"> total knee arthroplasties </w:t>
            </w:r>
            <w:r w:rsidRPr="002E0A56">
              <w:rPr>
                <w:rFonts w:ascii="Calibri" w:eastAsia="Calibri" w:hAnsi="Calibri" w:cs="Times New Roman"/>
                <w:sz w:val="16"/>
                <w:szCs w:val="22"/>
                <w:lang w:val="en-US" w:bidi="en-GB"/>
              </w:rPr>
              <w:t xml:space="preserve">from an NHS and 67 </w:t>
            </w:r>
            <w:r w:rsidR="00835B51" w:rsidRPr="00835B51">
              <w:rPr>
                <w:rFonts w:ascii="Calibri" w:eastAsia="Calibri" w:hAnsi="Calibri" w:cs="Times New Roman"/>
                <w:sz w:val="16"/>
                <w:szCs w:val="22"/>
                <w:lang w:val="en-US" w:bidi="en-GB"/>
              </w:rPr>
              <w:t>total hip</w:t>
            </w:r>
            <w:r w:rsidRPr="002E0A56">
              <w:rPr>
                <w:rFonts w:ascii="Calibri" w:eastAsia="Calibri" w:hAnsi="Calibri" w:cs="Times New Roman"/>
                <w:sz w:val="16"/>
                <w:szCs w:val="22"/>
                <w:lang w:val="en-US" w:bidi="en-GB"/>
              </w:rPr>
              <w:t xml:space="preserve"> and 86 </w:t>
            </w:r>
            <w:r w:rsidR="00835B51" w:rsidRPr="00835B51">
              <w:rPr>
                <w:rFonts w:ascii="Calibri" w:eastAsia="Calibri" w:hAnsi="Calibri" w:cs="Times New Roman"/>
                <w:sz w:val="16"/>
                <w:szCs w:val="22"/>
                <w:lang w:val="en-US" w:bidi="en-GB"/>
              </w:rPr>
              <w:t>total knee arthroplasties</w:t>
            </w:r>
            <w:r w:rsidRPr="002E0A56">
              <w:rPr>
                <w:rFonts w:ascii="Calibri" w:eastAsia="Calibri" w:hAnsi="Calibri" w:cs="Times New Roman"/>
                <w:sz w:val="16"/>
                <w:szCs w:val="22"/>
                <w:lang w:val="en-US" w:bidi="en-GB"/>
              </w:rPr>
              <w:t xml:space="preserve"> from a private hospital independent treatment </w:t>
            </w:r>
            <w:proofErr w:type="spellStart"/>
            <w:r w:rsidRPr="002E0A56">
              <w:rPr>
                <w:rFonts w:ascii="Calibri" w:eastAsia="Calibri" w:hAnsi="Calibri" w:cs="Times New Roman"/>
                <w:sz w:val="16"/>
                <w:szCs w:val="22"/>
                <w:lang w:val="en-US" w:bidi="en-GB"/>
              </w:rPr>
              <w:t>centre</w:t>
            </w:r>
            <w:proofErr w:type="spellEnd"/>
            <w:r w:rsidRPr="002E0A56">
              <w:rPr>
                <w:rFonts w:ascii="Calibri" w:eastAsia="Calibri" w:hAnsi="Calibri" w:cs="Times New Roman"/>
                <w:sz w:val="16"/>
                <w:szCs w:val="22"/>
                <w:lang w:val="en-US" w:bidi="en-GB"/>
              </w:rPr>
              <w:t>.</w:t>
            </w:r>
          </w:p>
        </w:tc>
        <w:tc>
          <w:tcPr>
            <w:tcW w:w="4095" w:type="dxa"/>
            <w:tcBorders>
              <w:top w:val="single" w:sz="4" w:space="0" w:color="000000"/>
              <w:left w:val="single" w:sz="4" w:space="0" w:color="000000"/>
              <w:bottom w:val="single" w:sz="4" w:space="0" w:color="000000"/>
              <w:right w:val="single" w:sz="4" w:space="0" w:color="000000"/>
            </w:tcBorders>
          </w:tcPr>
          <w:p w14:paraId="78FB9866" w14:textId="00D58FFD"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Results and audit from </w:t>
            </w:r>
            <w:r w:rsidR="00EA5C41">
              <w:rPr>
                <w:rFonts w:ascii="Calibri" w:eastAsia="Calibri" w:hAnsi="Calibri" w:cs="Times New Roman"/>
                <w:sz w:val="16"/>
                <w:szCs w:val="22"/>
                <w:lang w:val="en-US" w:bidi="en-GB"/>
              </w:rPr>
              <w:t>ISTCs</w:t>
            </w:r>
            <w:r w:rsidRPr="002E0A56">
              <w:rPr>
                <w:rFonts w:ascii="Calibri" w:eastAsia="Calibri" w:hAnsi="Calibri" w:cs="Times New Roman"/>
                <w:sz w:val="16"/>
                <w:szCs w:val="22"/>
                <w:lang w:val="en-US" w:bidi="en-GB"/>
              </w:rPr>
              <w:t xml:space="preserve"> are variable and patients should be warned of this before undergoing treatment at them.</w:t>
            </w:r>
          </w:p>
        </w:tc>
      </w:tr>
      <w:tr w:rsidR="009273EC" w:rsidRPr="002E0A56" w14:paraId="26A6C4EB"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48803A8E"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Barbieri et al. 2007 </w:t>
            </w:r>
          </w:p>
        </w:tc>
        <w:tc>
          <w:tcPr>
            <w:tcW w:w="3466" w:type="dxa"/>
            <w:tcBorders>
              <w:top w:val="single" w:sz="4" w:space="0" w:color="000000"/>
              <w:left w:val="single" w:sz="4" w:space="0" w:color="000000"/>
              <w:bottom w:val="single" w:sz="4" w:space="0" w:color="000000"/>
              <w:right w:val="single" w:sz="4" w:space="0" w:color="000000"/>
            </w:tcBorders>
          </w:tcPr>
          <w:p w14:paraId="7A533D3D"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detect geographic variations in the hospitalization of patients with cataract in Austria and to explain possible differences in demand for and supply of cataract treatment</w:t>
            </w:r>
          </w:p>
        </w:tc>
        <w:tc>
          <w:tcPr>
            <w:tcW w:w="1456" w:type="dxa"/>
            <w:tcBorders>
              <w:top w:val="single" w:sz="4" w:space="0" w:color="000000"/>
              <w:left w:val="single" w:sz="4" w:space="0" w:color="000000"/>
              <w:bottom w:val="single" w:sz="4" w:space="0" w:color="000000"/>
              <w:right w:val="single" w:sz="4" w:space="0" w:color="000000"/>
            </w:tcBorders>
          </w:tcPr>
          <w:p w14:paraId="66613D53"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3B7A9635"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admitted to hospital who were diagnosed with cataracts or underwent cataract surgeries in Austria, from 2001-2002. Public hospitals in 2001 (48 443 patients) and of public (47 797 patients) and private hospitals (5100 patients) in 2002.</w:t>
            </w:r>
          </w:p>
        </w:tc>
        <w:tc>
          <w:tcPr>
            <w:tcW w:w="4095" w:type="dxa"/>
            <w:tcBorders>
              <w:top w:val="single" w:sz="4" w:space="0" w:color="000000"/>
              <w:left w:val="single" w:sz="4" w:space="0" w:color="000000"/>
              <w:bottom w:val="single" w:sz="4" w:space="0" w:color="000000"/>
              <w:right w:val="single" w:sz="4" w:space="0" w:color="000000"/>
            </w:tcBorders>
          </w:tcPr>
          <w:p w14:paraId="68E14F29"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Differences in the supply by hospitals between districts depend on the availability of hospitals with departments of ophthalmology. The overall demand for cataract surgery in Austria finds its proper supply in many Austrian regions, but needs further development.</w:t>
            </w:r>
          </w:p>
        </w:tc>
      </w:tr>
      <w:tr w:rsidR="009273EC" w:rsidRPr="002E0A56" w14:paraId="1DF22B05"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66DD29DC"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Browne et al. 2008 </w:t>
            </w:r>
          </w:p>
        </w:tc>
        <w:tc>
          <w:tcPr>
            <w:tcW w:w="3466" w:type="dxa"/>
            <w:tcBorders>
              <w:top w:val="single" w:sz="4" w:space="0" w:color="000000"/>
              <w:left w:val="single" w:sz="4" w:space="0" w:color="000000"/>
              <w:bottom w:val="single" w:sz="4" w:space="0" w:color="000000"/>
              <w:right w:val="single" w:sz="4" w:space="0" w:color="000000"/>
            </w:tcBorders>
          </w:tcPr>
          <w:p w14:paraId="4D9BC97E" w14:textId="71140308"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compare the case-mix and patients' reported outcomes of surgery in ISTCs and in NHS providers</w:t>
            </w:r>
          </w:p>
        </w:tc>
        <w:tc>
          <w:tcPr>
            <w:tcW w:w="1456" w:type="dxa"/>
            <w:tcBorders>
              <w:top w:val="single" w:sz="4" w:space="0" w:color="000000"/>
              <w:left w:val="single" w:sz="4" w:space="0" w:color="000000"/>
              <w:bottom w:val="single" w:sz="4" w:space="0" w:color="000000"/>
              <w:right w:val="single" w:sz="4" w:space="0" w:color="000000"/>
            </w:tcBorders>
          </w:tcPr>
          <w:p w14:paraId="6C8DC82E"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16456BA6" w14:textId="328C2FB5"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769 patients (inguinal hernia, varicose vein, and cataract) treated in six private and 1895 treated in 20 public facilities in England during 2006-07.</w:t>
            </w:r>
          </w:p>
        </w:tc>
        <w:tc>
          <w:tcPr>
            <w:tcW w:w="4095" w:type="dxa"/>
            <w:tcBorders>
              <w:top w:val="single" w:sz="4" w:space="0" w:color="000000"/>
              <w:left w:val="single" w:sz="4" w:space="0" w:color="000000"/>
              <w:bottom w:val="single" w:sz="4" w:space="0" w:color="000000"/>
              <w:right w:val="single" w:sz="4" w:space="0" w:color="000000"/>
            </w:tcBorders>
          </w:tcPr>
          <w:p w14:paraId="003F782E"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The case-mix of patients treated in ISTCs differs from that in NHS providers, in line with the intention of the contracts. Caution is needed in interpreting the observation that patients treated in ISTCs reported slightly better outcomes as very few ISTCs participated, case-mix adjustment might have been insufficient, and patients' reports might have been biased as they were more likely to be satisfied with the way they were treated.</w:t>
            </w:r>
          </w:p>
        </w:tc>
      </w:tr>
      <w:tr w:rsidR="009273EC" w:rsidRPr="002E0A56" w14:paraId="749A791F"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6E691C08"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lastRenderedPageBreak/>
              <w:t>Chard et al. 2011</w:t>
            </w:r>
          </w:p>
        </w:tc>
        <w:tc>
          <w:tcPr>
            <w:tcW w:w="3466" w:type="dxa"/>
            <w:tcBorders>
              <w:top w:val="single" w:sz="4" w:space="0" w:color="000000"/>
              <w:left w:val="single" w:sz="4" w:space="0" w:color="000000"/>
              <w:bottom w:val="single" w:sz="4" w:space="0" w:color="000000"/>
              <w:right w:val="single" w:sz="4" w:space="0" w:color="000000"/>
            </w:tcBorders>
          </w:tcPr>
          <w:p w14:paraId="5165567E"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compare characteristics of the patients and outcomes after elective surgery in ISTCs and NHS providers</w:t>
            </w:r>
          </w:p>
        </w:tc>
        <w:tc>
          <w:tcPr>
            <w:tcW w:w="1456" w:type="dxa"/>
            <w:tcBorders>
              <w:top w:val="single" w:sz="4" w:space="0" w:color="000000"/>
              <w:left w:val="single" w:sz="4" w:space="0" w:color="000000"/>
              <w:bottom w:val="single" w:sz="4" w:space="0" w:color="000000"/>
              <w:right w:val="single" w:sz="4" w:space="0" w:color="000000"/>
            </w:tcBorders>
          </w:tcPr>
          <w:p w14:paraId="37B3F5B8"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0DE6546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undergoing hip or knee replacement (5671 in ISTCs and 14 292 in NHS), inguinal hernia repair (640 and 2023, respectively), or surgery for varicose veins (248 and 1336, respectively) in the UK from June 2008 to September 2009.</w:t>
            </w:r>
          </w:p>
        </w:tc>
        <w:tc>
          <w:tcPr>
            <w:tcW w:w="4095" w:type="dxa"/>
            <w:tcBorders>
              <w:top w:val="single" w:sz="4" w:space="0" w:color="000000"/>
              <w:left w:val="single" w:sz="4" w:space="0" w:color="000000"/>
              <w:bottom w:val="single" w:sz="4" w:space="0" w:color="000000"/>
              <w:right w:val="single" w:sz="4" w:space="0" w:color="000000"/>
            </w:tcBorders>
          </w:tcPr>
          <w:p w14:paraId="5841EFD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undergoing surgery in ISTCs were healthier and had less severe conditions than those undergoing surgery in NHS providers. Some outcomes were better in ISTCs, but differences were small compared with the impact ISTCs could have on the provision of elective services.</w:t>
            </w:r>
          </w:p>
        </w:tc>
      </w:tr>
      <w:tr w:rsidR="009273EC" w:rsidRPr="002E0A56" w14:paraId="3C3B90C4"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652583A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Cooper et al. 2018 </w:t>
            </w:r>
          </w:p>
        </w:tc>
        <w:tc>
          <w:tcPr>
            <w:tcW w:w="3466" w:type="dxa"/>
            <w:tcBorders>
              <w:top w:val="single" w:sz="4" w:space="0" w:color="000000"/>
              <w:left w:val="single" w:sz="4" w:space="0" w:color="000000"/>
              <w:bottom w:val="single" w:sz="4" w:space="0" w:color="000000"/>
              <w:right w:val="single" w:sz="4" w:space="0" w:color="000000"/>
            </w:tcBorders>
          </w:tcPr>
          <w:p w14:paraId="6B39C04A" w14:textId="436BF4C4"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evaluate the impact of a government program which facilitated the entry of for- profit ISTCs to compete (the impact of competition from these surgical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on the efficiency – measured by </w:t>
            </w:r>
            <w:proofErr w:type="spellStart"/>
            <w:r w:rsidRPr="002E0A56">
              <w:rPr>
                <w:rFonts w:ascii="Calibri" w:eastAsia="Calibri" w:hAnsi="Calibri" w:cs="Times New Roman"/>
                <w:sz w:val="16"/>
                <w:szCs w:val="22"/>
                <w:lang w:val="en-US" w:bidi="en-GB"/>
              </w:rPr>
              <w:t>presurgery</w:t>
            </w:r>
            <w:proofErr w:type="spellEnd"/>
            <w:r w:rsidRPr="002E0A56">
              <w:rPr>
                <w:rFonts w:ascii="Calibri" w:eastAsia="Calibri" w:hAnsi="Calibri" w:cs="Times New Roman"/>
                <w:sz w:val="16"/>
                <w:szCs w:val="22"/>
                <w:lang w:val="en-US" w:bidi="en-GB"/>
              </w:rPr>
              <w:t xml:space="preserve"> </w:t>
            </w:r>
            <w:r w:rsidR="006A579C" w:rsidRPr="006A579C">
              <w:rPr>
                <w:rFonts w:ascii="Calibri" w:eastAsia="Calibri" w:hAnsi="Calibri" w:cs="Times New Roman"/>
                <w:sz w:val="16"/>
                <w:szCs w:val="22"/>
                <w:lang w:val="en-US" w:bidi="en-GB"/>
              </w:rPr>
              <w:t>length of stay</w:t>
            </w:r>
            <w:r w:rsidRPr="002E0A56">
              <w:rPr>
                <w:rFonts w:ascii="Calibri" w:eastAsia="Calibri" w:hAnsi="Calibri" w:cs="Times New Roman"/>
                <w:sz w:val="16"/>
                <w:szCs w:val="22"/>
                <w:lang w:val="en-US" w:bidi="en-GB"/>
              </w:rPr>
              <w:t xml:space="preserve"> for hip and knee replacement patients – and case mix of incumbent public hospitals) against NHS hospitals in England</w:t>
            </w:r>
          </w:p>
        </w:tc>
        <w:tc>
          <w:tcPr>
            <w:tcW w:w="1456" w:type="dxa"/>
            <w:tcBorders>
              <w:top w:val="single" w:sz="4" w:space="0" w:color="000000"/>
              <w:left w:val="single" w:sz="4" w:space="0" w:color="000000"/>
              <w:bottom w:val="single" w:sz="4" w:space="0" w:color="000000"/>
              <w:right w:val="single" w:sz="4" w:space="0" w:color="000000"/>
            </w:tcBorders>
          </w:tcPr>
          <w:p w14:paraId="2192D06B"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1852645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All elective hip and knee replacements (478 226) on patients aged 55-100 performed between financial years 2002/3 and 2008/9 in England.</w:t>
            </w:r>
          </w:p>
        </w:tc>
        <w:tc>
          <w:tcPr>
            <w:tcW w:w="4095" w:type="dxa"/>
            <w:tcBorders>
              <w:top w:val="single" w:sz="4" w:space="0" w:color="000000"/>
              <w:left w:val="single" w:sz="4" w:space="0" w:color="000000"/>
              <w:bottom w:val="single" w:sz="4" w:space="0" w:color="000000"/>
              <w:right w:val="single" w:sz="4" w:space="0" w:color="000000"/>
            </w:tcBorders>
          </w:tcPr>
          <w:p w14:paraId="2BDF9A9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The entry of ISTCs raised incumbent hospitals productivity. In markets where payments are regulated, competition can raise hospitals efficiency. The entry of ISTCs left public hospitals with a riskier mix of patients. The entry of ISTCs likely to leave existing providers treating a sicker patient mix and worse off financially, unless it is accompanied by a reimbursement system that adequately adjusts payments to reflect patient severity.</w:t>
            </w:r>
          </w:p>
        </w:tc>
      </w:tr>
      <w:tr w:rsidR="009273EC" w:rsidRPr="002E0A56" w14:paraId="4CD4F37C"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542D8239"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Fitzpatrick et al. 2004</w:t>
            </w:r>
            <w:r w:rsidRPr="002E0A56">
              <w:rPr>
                <w:rFonts w:ascii="Calibri" w:eastAsia="Calibri" w:hAnsi="Calibri" w:cs="Times New Roman"/>
                <w:sz w:val="16"/>
                <w:szCs w:val="22"/>
                <w:lang w:val="en-US" w:bidi="en-GB"/>
              </w:rPr>
              <w:tab/>
            </w:r>
          </w:p>
        </w:tc>
        <w:tc>
          <w:tcPr>
            <w:tcW w:w="3466" w:type="dxa"/>
            <w:tcBorders>
              <w:top w:val="single" w:sz="4" w:space="0" w:color="000000"/>
              <w:left w:val="single" w:sz="4" w:space="0" w:color="000000"/>
              <w:bottom w:val="single" w:sz="4" w:space="0" w:color="000000"/>
              <w:right w:val="single" w:sz="4" w:space="0" w:color="000000"/>
            </w:tcBorders>
          </w:tcPr>
          <w:p w14:paraId="70E9A86F" w14:textId="5D38492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explore sociodemographic and health status factors associated with waiting times both for first outpatient appointment and for total hip replacement surgery</w:t>
            </w:r>
          </w:p>
        </w:tc>
        <w:tc>
          <w:tcPr>
            <w:tcW w:w="1456" w:type="dxa"/>
            <w:tcBorders>
              <w:top w:val="single" w:sz="4" w:space="0" w:color="000000"/>
              <w:left w:val="single" w:sz="4" w:space="0" w:color="000000"/>
              <w:bottom w:val="single" w:sz="4" w:space="0" w:color="000000"/>
              <w:right w:val="single" w:sz="4" w:space="0" w:color="000000"/>
            </w:tcBorders>
          </w:tcPr>
          <w:p w14:paraId="4EEFA176"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5A11FE83"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of recruited physicians in need of hip replacement surgery in England from</w:t>
            </w:r>
            <w:r w:rsidRPr="002E0A56">
              <w:rPr>
                <w:rFonts w:eastAsiaTheme="minorHAnsi" w:cstheme="minorBidi"/>
                <w:sz w:val="22"/>
                <w:szCs w:val="22"/>
                <w:lang w:val="en-US"/>
              </w:rPr>
              <w:t xml:space="preserve"> </w:t>
            </w:r>
            <w:r w:rsidRPr="002E0A56">
              <w:rPr>
                <w:rFonts w:ascii="Calibri" w:eastAsia="Calibri" w:hAnsi="Calibri" w:cs="Times New Roman"/>
                <w:sz w:val="16"/>
                <w:szCs w:val="22"/>
                <w:lang w:val="en-US" w:bidi="en-GB"/>
              </w:rPr>
              <w:t>September 1996 and October 1997. 13 343 surgeries were performed in 143 public hospital sand 390 private firms.</w:t>
            </w:r>
          </w:p>
        </w:tc>
        <w:tc>
          <w:tcPr>
            <w:tcW w:w="4095" w:type="dxa"/>
            <w:tcBorders>
              <w:top w:val="single" w:sz="4" w:space="0" w:color="000000"/>
              <w:left w:val="single" w:sz="4" w:space="0" w:color="000000"/>
              <w:bottom w:val="single" w:sz="4" w:space="0" w:color="000000"/>
              <w:right w:val="single" w:sz="4" w:space="0" w:color="000000"/>
            </w:tcBorders>
          </w:tcPr>
          <w:p w14:paraId="7F5DCED6"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There were significant differences in waiting time according to social, geographical and health care system factors</w:t>
            </w:r>
          </w:p>
        </w:tc>
      </w:tr>
      <w:tr w:rsidR="009273EC" w:rsidRPr="002E0A56" w14:paraId="42F49376"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208DACB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Harris et al. 2019 </w:t>
            </w:r>
          </w:p>
        </w:tc>
        <w:tc>
          <w:tcPr>
            <w:tcW w:w="3466" w:type="dxa"/>
            <w:tcBorders>
              <w:top w:val="single" w:sz="4" w:space="0" w:color="000000"/>
              <w:left w:val="single" w:sz="4" w:space="0" w:color="000000"/>
              <w:bottom w:val="single" w:sz="4" w:space="0" w:color="000000"/>
              <w:right w:val="single" w:sz="4" w:space="0" w:color="000000"/>
            </w:tcBorders>
          </w:tcPr>
          <w:p w14:paraId="7628E6E9" w14:textId="7C3DA59D"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determine the contributing factors of hospital sector (private versus public) variation in revision rates after elective </w:t>
            </w:r>
            <w:r w:rsidR="00B90C60">
              <w:rPr>
                <w:rFonts w:ascii="Calibri" w:eastAsia="Calibri" w:hAnsi="Calibri" w:cs="Times New Roman"/>
                <w:sz w:val="16"/>
                <w:szCs w:val="22"/>
                <w:lang w:val="en-US" w:bidi="en-GB"/>
              </w:rPr>
              <w:t>total hip replacement</w:t>
            </w:r>
            <w:r w:rsidRPr="002E0A56">
              <w:rPr>
                <w:rFonts w:ascii="Calibri" w:eastAsia="Calibri" w:hAnsi="Calibri" w:cs="Times New Roman"/>
                <w:sz w:val="16"/>
                <w:szCs w:val="22"/>
                <w:lang w:val="en-US" w:bidi="en-GB"/>
              </w:rPr>
              <w:t xml:space="preserve"> for hip fracture, and elective </w:t>
            </w:r>
            <w:r w:rsidR="00B90C60">
              <w:rPr>
                <w:rFonts w:ascii="Calibri" w:eastAsia="Calibri" w:hAnsi="Calibri" w:cs="Times New Roman"/>
                <w:sz w:val="16"/>
                <w:szCs w:val="22"/>
                <w:lang w:val="en-US" w:bidi="en-GB"/>
              </w:rPr>
              <w:t>total knee replacement</w:t>
            </w:r>
          </w:p>
        </w:tc>
        <w:tc>
          <w:tcPr>
            <w:tcW w:w="1456" w:type="dxa"/>
            <w:tcBorders>
              <w:top w:val="single" w:sz="4" w:space="0" w:color="000000"/>
              <w:left w:val="single" w:sz="4" w:space="0" w:color="000000"/>
              <w:bottom w:val="single" w:sz="4" w:space="0" w:color="000000"/>
              <w:right w:val="single" w:sz="4" w:space="0" w:color="000000"/>
            </w:tcBorders>
          </w:tcPr>
          <w:p w14:paraId="1A2F7C72"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Public compared with private facilities </w:t>
            </w:r>
          </w:p>
        </w:tc>
        <w:tc>
          <w:tcPr>
            <w:tcW w:w="3155" w:type="dxa"/>
            <w:tcBorders>
              <w:top w:val="single" w:sz="4" w:space="0" w:color="000000"/>
              <w:left w:val="single" w:sz="4" w:space="0" w:color="000000"/>
              <w:bottom w:val="single" w:sz="4" w:space="0" w:color="000000"/>
              <w:right w:val="single" w:sz="4" w:space="0" w:color="000000"/>
            </w:tcBorders>
          </w:tcPr>
          <w:p w14:paraId="2AC5E85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who received primary hip and knee replacement between 2003 and 2016 in Australia. (Hip: 210 828 private, 100 931 public, Knee: 338 259 private, 160 642 public procedures.)</w:t>
            </w:r>
          </w:p>
        </w:tc>
        <w:tc>
          <w:tcPr>
            <w:tcW w:w="4095" w:type="dxa"/>
            <w:tcBorders>
              <w:top w:val="single" w:sz="4" w:space="0" w:color="000000"/>
              <w:left w:val="single" w:sz="4" w:space="0" w:color="000000"/>
              <w:bottom w:val="single" w:sz="4" w:space="0" w:color="000000"/>
              <w:right w:val="single" w:sz="4" w:space="0" w:color="000000"/>
            </w:tcBorders>
          </w:tcPr>
          <w:p w14:paraId="05705EE1" w14:textId="2D6832FE"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Considerable variation was seen in the revision rate after </w:t>
            </w:r>
            <w:r w:rsidR="00835B51" w:rsidRPr="00835B51">
              <w:rPr>
                <w:rFonts w:ascii="Calibri" w:eastAsia="Calibri" w:hAnsi="Calibri" w:cs="Times New Roman"/>
                <w:sz w:val="16"/>
                <w:szCs w:val="22"/>
                <w:lang w:val="en-US" w:bidi="en-GB"/>
              </w:rPr>
              <w:t>total hip replacement</w:t>
            </w:r>
            <w:r w:rsidRPr="002E0A56">
              <w:rPr>
                <w:rFonts w:ascii="Calibri" w:eastAsia="Calibri" w:hAnsi="Calibri" w:cs="Times New Roman"/>
                <w:sz w:val="16"/>
                <w:szCs w:val="22"/>
                <w:lang w:val="en-US" w:bidi="en-GB"/>
              </w:rPr>
              <w:t xml:space="preserve"> and </w:t>
            </w:r>
            <w:r w:rsidR="00835B51" w:rsidRPr="00835B51">
              <w:rPr>
                <w:rFonts w:ascii="Calibri" w:eastAsia="Calibri" w:hAnsi="Calibri" w:cs="Times New Roman"/>
                <w:sz w:val="16"/>
                <w:szCs w:val="22"/>
                <w:lang w:val="en-US" w:bidi="en-GB"/>
              </w:rPr>
              <w:t xml:space="preserve">total </w:t>
            </w:r>
            <w:r w:rsidR="00835B51">
              <w:rPr>
                <w:rFonts w:ascii="Calibri" w:eastAsia="Calibri" w:hAnsi="Calibri" w:cs="Times New Roman"/>
                <w:sz w:val="16"/>
                <w:szCs w:val="22"/>
                <w:lang w:val="en-US" w:bidi="en-GB"/>
              </w:rPr>
              <w:t>knee</w:t>
            </w:r>
            <w:r w:rsidR="00835B51" w:rsidRPr="00835B51">
              <w:rPr>
                <w:rFonts w:ascii="Calibri" w:eastAsia="Calibri" w:hAnsi="Calibri" w:cs="Times New Roman"/>
                <w:sz w:val="16"/>
                <w:szCs w:val="22"/>
                <w:lang w:val="en-US" w:bidi="en-GB"/>
              </w:rPr>
              <w:t xml:space="preserve"> replacement </w:t>
            </w:r>
            <w:r w:rsidRPr="002E0A56">
              <w:rPr>
                <w:rFonts w:ascii="Calibri" w:eastAsia="Calibri" w:hAnsi="Calibri" w:cs="Times New Roman"/>
                <w:sz w:val="16"/>
                <w:szCs w:val="22"/>
                <w:lang w:val="en-US" w:bidi="en-GB"/>
              </w:rPr>
              <w:t>between hospital sectors in Australia. The variation was largely due to differences in prosthesis selection.</w:t>
            </w:r>
          </w:p>
        </w:tc>
      </w:tr>
      <w:tr w:rsidR="009273EC" w:rsidRPr="002E0A56" w14:paraId="1DB36B41"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BC9F8C6" w14:textId="5D4EC0A5" w:rsidR="002E0A56" w:rsidRPr="002E0A56" w:rsidRDefault="00383ACC" w:rsidP="009273EC">
            <w:pPr>
              <w:spacing w:before="0" w:after="0" w:line="240" w:lineRule="auto"/>
              <w:rPr>
                <w:rFonts w:ascii="Calibri" w:eastAsia="Calibri" w:hAnsi="Calibri" w:cs="Times New Roman"/>
                <w:sz w:val="16"/>
                <w:szCs w:val="22"/>
                <w:lang w:val="en-US" w:bidi="en-GB"/>
              </w:rPr>
            </w:pPr>
            <w:r w:rsidRPr="00383ACC">
              <w:rPr>
                <w:rFonts w:ascii="Calibri" w:eastAsia="Calibri" w:hAnsi="Calibri" w:cs="Times New Roman"/>
                <w:sz w:val="16"/>
                <w:szCs w:val="22"/>
                <w:lang w:bidi="en-GB"/>
              </w:rPr>
              <w:t xml:space="preserve">Holom </w:t>
            </w:r>
            <w:r>
              <w:rPr>
                <w:rFonts w:ascii="Calibri" w:eastAsia="Calibri" w:hAnsi="Calibri" w:cs="Times New Roman"/>
                <w:sz w:val="16"/>
                <w:szCs w:val="22"/>
                <w:lang w:bidi="en-GB"/>
              </w:rPr>
              <w:t xml:space="preserve">and </w:t>
            </w:r>
            <w:r w:rsidRPr="00383ACC">
              <w:rPr>
                <w:rFonts w:ascii="Calibri" w:eastAsia="Calibri" w:hAnsi="Calibri" w:cs="Times New Roman"/>
                <w:sz w:val="16"/>
                <w:szCs w:val="22"/>
                <w:lang w:bidi="en-GB"/>
              </w:rPr>
              <w:t>Hagen</w:t>
            </w:r>
            <w:r w:rsidRPr="00383ACC">
              <w:rPr>
                <w:rFonts w:ascii="Calibri" w:eastAsia="Calibri" w:hAnsi="Calibri" w:cs="Times New Roman"/>
                <w:sz w:val="16"/>
                <w:szCs w:val="22"/>
                <w:lang w:val="en-US" w:bidi="en-GB"/>
              </w:rPr>
              <w:t xml:space="preserve"> </w:t>
            </w:r>
            <w:r w:rsidR="002E0A56" w:rsidRPr="002E0A56">
              <w:rPr>
                <w:rFonts w:ascii="Calibri" w:eastAsia="Calibri" w:hAnsi="Calibri" w:cs="Times New Roman"/>
                <w:sz w:val="16"/>
                <w:szCs w:val="22"/>
                <w:lang w:val="en-US" w:bidi="en-GB"/>
              </w:rPr>
              <w:t xml:space="preserve">2017 </w:t>
            </w:r>
          </w:p>
        </w:tc>
        <w:tc>
          <w:tcPr>
            <w:tcW w:w="3466" w:type="dxa"/>
            <w:tcBorders>
              <w:top w:val="single" w:sz="4" w:space="0" w:color="000000"/>
              <w:left w:val="single" w:sz="4" w:space="0" w:color="000000"/>
              <w:bottom w:val="single" w:sz="4" w:space="0" w:color="000000"/>
              <w:right w:val="single" w:sz="4" w:space="0" w:color="000000"/>
            </w:tcBorders>
          </w:tcPr>
          <w:p w14:paraId="4E5994C7" w14:textId="6DC85C2C"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compare the quality of care among patients treated at private for-profit hospital</w:t>
            </w:r>
            <w:r w:rsidR="00B90C60">
              <w:rPr>
                <w:rFonts w:ascii="Calibri" w:eastAsia="Calibri" w:hAnsi="Calibri" w:cs="Times New Roman"/>
                <w:sz w:val="16"/>
                <w:szCs w:val="22"/>
                <w:lang w:val="en-US" w:bidi="en-GB"/>
              </w:rPr>
              <w:t>s</w:t>
            </w:r>
            <w:r w:rsidRPr="002E0A56">
              <w:rPr>
                <w:rFonts w:ascii="Calibri" w:eastAsia="Calibri" w:hAnsi="Calibri" w:cs="Times New Roman"/>
                <w:sz w:val="16"/>
                <w:szCs w:val="22"/>
                <w:lang w:val="en-US" w:bidi="en-GB"/>
              </w:rPr>
              <w:t xml:space="preserve">, private non-profit hospitals and public hospitals </w:t>
            </w:r>
          </w:p>
        </w:tc>
        <w:tc>
          <w:tcPr>
            <w:tcW w:w="1456" w:type="dxa"/>
            <w:tcBorders>
              <w:top w:val="single" w:sz="4" w:space="0" w:color="000000"/>
              <w:left w:val="single" w:sz="4" w:space="0" w:color="000000"/>
              <w:bottom w:val="single" w:sz="4" w:space="0" w:color="000000"/>
              <w:right w:val="single" w:sz="4" w:space="0" w:color="000000"/>
            </w:tcBorders>
          </w:tcPr>
          <w:p w14:paraId="5DAD6FC2" w14:textId="59A116F0"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61A53AAB"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All publicly financed patients having primary total hip (37 897 patients) or primary total knee arthroplasty (25 802 patients) at one of the three hospital types from 2009 to 2014 in Norway.</w:t>
            </w:r>
          </w:p>
        </w:tc>
        <w:tc>
          <w:tcPr>
            <w:tcW w:w="4095" w:type="dxa"/>
            <w:tcBorders>
              <w:top w:val="single" w:sz="4" w:space="0" w:color="000000"/>
              <w:left w:val="single" w:sz="4" w:space="0" w:color="000000"/>
              <w:bottom w:val="single" w:sz="4" w:space="0" w:color="000000"/>
              <w:right w:val="single" w:sz="4" w:space="0" w:color="000000"/>
            </w:tcBorders>
          </w:tcPr>
          <w:p w14:paraId="1AC8A01E" w14:textId="1388CFC4"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Quality differences between hospital types were small; however, </w:t>
            </w:r>
            <w:r w:rsidR="00B90C60" w:rsidRPr="00B90C60">
              <w:rPr>
                <w:rFonts w:ascii="Calibri" w:eastAsia="Calibri" w:hAnsi="Calibri" w:cs="Times New Roman"/>
                <w:sz w:val="16"/>
                <w:szCs w:val="22"/>
                <w:lang w:val="en-US" w:bidi="en-GB"/>
              </w:rPr>
              <w:t xml:space="preserve">private non-profit hospitals </w:t>
            </w:r>
            <w:r w:rsidRPr="002E0A56">
              <w:rPr>
                <w:rFonts w:ascii="Calibri" w:eastAsia="Calibri" w:hAnsi="Calibri" w:cs="Times New Roman"/>
                <w:sz w:val="16"/>
                <w:szCs w:val="22"/>
                <w:lang w:val="en-US" w:bidi="en-GB"/>
              </w:rPr>
              <w:t>had significantly lower readmission rates compared with pubic hospitals among patients having total hip arthroplasty. Public hospitals received the larger part of the readmitted patients across hospital types and thus play an essential role in the care of more complex patients and for readmissions, regardless of any quality differences.</w:t>
            </w:r>
          </w:p>
        </w:tc>
      </w:tr>
      <w:tr w:rsidR="009273EC" w:rsidRPr="002E0A56" w14:paraId="300D46E7"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0726539D" w14:textId="77777777" w:rsidR="002E0A56" w:rsidRPr="002E0A56" w:rsidRDefault="002E0A56" w:rsidP="009273EC">
            <w:pPr>
              <w:spacing w:before="0" w:after="0" w:line="240" w:lineRule="auto"/>
              <w:rPr>
                <w:rFonts w:ascii="Calibri" w:eastAsia="Calibri" w:hAnsi="Calibri" w:cs="Times New Roman"/>
                <w:sz w:val="16"/>
                <w:szCs w:val="22"/>
                <w:lang w:val="en-US" w:bidi="en-GB"/>
              </w:rPr>
            </w:pPr>
            <w:proofErr w:type="spellStart"/>
            <w:r w:rsidRPr="002E0A56">
              <w:rPr>
                <w:rFonts w:ascii="Calibri" w:eastAsia="Calibri" w:hAnsi="Calibri" w:cs="Times New Roman"/>
                <w:sz w:val="16"/>
                <w:szCs w:val="22"/>
                <w:lang w:val="en-US" w:bidi="en-GB"/>
              </w:rPr>
              <w:lastRenderedPageBreak/>
              <w:t>Karnon</w:t>
            </w:r>
            <w:proofErr w:type="spellEnd"/>
            <w:r w:rsidRPr="002E0A56">
              <w:rPr>
                <w:rFonts w:ascii="Calibri" w:eastAsia="Calibri" w:hAnsi="Calibri" w:cs="Times New Roman"/>
                <w:sz w:val="16"/>
                <w:szCs w:val="22"/>
                <w:lang w:val="en-US" w:bidi="en-GB"/>
              </w:rPr>
              <w:t xml:space="preserve"> et al. 2018 </w:t>
            </w:r>
          </w:p>
        </w:tc>
        <w:tc>
          <w:tcPr>
            <w:tcW w:w="3466" w:type="dxa"/>
            <w:tcBorders>
              <w:top w:val="single" w:sz="4" w:space="0" w:color="000000"/>
              <w:left w:val="single" w:sz="4" w:space="0" w:color="000000"/>
              <w:bottom w:val="single" w:sz="4" w:space="0" w:color="000000"/>
              <w:right w:val="single" w:sz="4" w:space="0" w:color="000000"/>
            </w:tcBorders>
          </w:tcPr>
          <w:p w14:paraId="64626DF2" w14:textId="2EE26BDD"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evaluate the cost- effectiveness of implementing a private contracting model to meet alternative maximum waiting time targets for publicly funded patients undergoing total knee replacement surgery in Australia</w:t>
            </w:r>
          </w:p>
        </w:tc>
        <w:tc>
          <w:tcPr>
            <w:tcW w:w="1456" w:type="dxa"/>
            <w:tcBorders>
              <w:top w:val="single" w:sz="4" w:space="0" w:color="000000"/>
              <w:left w:val="single" w:sz="4" w:space="0" w:color="000000"/>
              <w:bottom w:val="single" w:sz="4" w:space="0" w:color="000000"/>
              <w:right w:val="single" w:sz="4" w:space="0" w:color="000000"/>
            </w:tcBorders>
          </w:tcPr>
          <w:p w14:paraId="2F20DACC"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1A767D95" w14:textId="3CA1CB80"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Non-urgent patients for </w:t>
            </w:r>
            <w:r w:rsidR="00835B51" w:rsidRPr="00835B51">
              <w:rPr>
                <w:rFonts w:ascii="Calibri" w:eastAsia="Calibri" w:hAnsi="Calibri" w:cs="Times New Roman"/>
                <w:sz w:val="16"/>
                <w:szCs w:val="22"/>
                <w:lang w:val="en-US" w:bidi="en-GB"/>
              </w:rPr>
              <w:t xml:space="preserve">total knee replacement </w:t>
            </w:r>
            <w:r w:rsidRPr="002E0A56">
              <w:rPr>
                <w:rFonts w:ascii="Calibri" w:eastAsia="Calibri" w:hAnsi="Calibri" w:cs="Times New Roman"/>
                <w:sz w:val="16"/>
                <w:szCs w:val="22"/>
                <w:lang w:val="en-US" w:bidi="en-GB"/>
              </w:rPr>
              <w:t>surgery to a maximum age of 100 years in Australia. Used data inputs from published sources in a modelling study.</w:t>
            </w:r>
            <w:r w:rsidR="00370F9A">
              <w:rPr>
                <w:rFonts w:ascii="Calibri" w:eastAsia="Calibri" w:hAnsi="Calibri" w:cs="Times New Roman"/>
                <w:sz w:val="16"/>
                <w:szCs w:val="22"/>
                <w:lang w:val="en-US" w:bidi="en-GB"/>
              </w:rPr>
              <w:t xml:space="preserve"> </w:t>
            </w:r>
          </w:p>
        </w:tc>
        <w:tc>
          <w:tcPr>
            <w:tcW w:w="4095" w:type="dxa"/>
            <w:tcBorders>
              <w:top w:val="single" w:sz="4" w:space="0" w:color="000000"/>
              <w:left w:val="single" w:sz="4" w:space="0" w:color="000000"/>
              <w:bottom w:val="single" w:sz="4" w:space="0" w:color="000000"/>
              <w:right w:val="single" w:sz="4" w:space="0" w:color="000000"/>
            </w:tcBorders>
          </w:tcPr>
          <w:p w14:paraId="4EBC7CD1" w14:textId="4619B71F"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The reported </w:t>
            </w:r>
            <w:r w:rsidR="006A579C">
              <w:rPr>
                <w:rFonts w:ascii="Calibri" w:eastAsia="Calibri" w:hAnsi="Calibri" w:cs="Times New Roman"/>
                <w:sz w:val="16"/>
                <w:szCs w:val="22"/>
                <w:lang w:val="en-US" w:bidi="en-GB"/>
              </w:rPr>
              <w:t>cost effectiveness</w:t>
            </w:r>
            <w:r w:rsidRPr="002E0A56">
              <w:rPr>
                <w:rFonts w:ascii="Calibri" w:eastAsia="Calibri" w:hAnsi="Calibri" w:cs="Times New Roman"/>
                <w:sz w:val="16"/>
                <w:szCs w:val="22"/>
                <w:lang w:val="en-US" w:bidi="en-GB"/>
              </w:rPr>
              <w:t xml:space="preserve"> analysis of alternative options for increased government funding of </w:t>
            </w:r>
            <w:r w:rsidR="00835B51" w:rsidRPr="00835B51">
              <w:rPr>
                <w:rFonts w:ascii="Calibri" w:eastAsia="Calibri" w:hAnsi="Calibri" w:cs="Times New Roman"/>
                <w:sz w:val="16"/>
                <w:szCs w:val="22"/>
                <w:lang w:val="en-US" w:bidi="en-GB"/>
              </w:rPr>
              <w:t xml:space="preserve">total knee replacement </w:t>
            </w:r>
            <w:r w:rsidRPr="002E0A56">
              <w:rPr>
                <w:rFonts w:ascii="Calibri" w:eastAsia="Calibri" w:hAnsi="Calibri" w:cs="Times New Roman"/>
                <w:sz w:val="16"/>
                <w:szCs w:val="22"/>
                <w:lang w:val="en-US" w:bidi="en-GB"/>
              </w:rPr>
              <w:t>suggests that these options may be more cost-effective than many new pharmaceuticals that are publicly funded in Australia. More evidence on the value of expanded capacity or new models of care may inform new funding models to support such investments and reduced prices for new technologies, leading to more efficient and sustainable publicly funded healthcare systems.</w:t>
            </w:r>
          </w:p>
        </w:tc>
      </w:tr>
      <w:tr w:rsidR="009273EC" w:rsidRPr="002E0A56" w14:paraId="61A05996"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0865D1C1" w14:textId="4E888FC6" w:rsidR="002E0A56" w:rsidRPr="002E0A56" w:rsidRDefault="00E75891" w:rsidP="009273EC">
            <w:pPr>
              <w:spacing w:before="0" w:after="0" w:line="240" w:lineRule="auto"/>
              <w:rPr>
                <w:rFonts w:ascii="Calibri" w:eastAsia="Calibri" w:hAnsi="Calibri" w:cs="Times New Roman"/>
                <w:sz w:val="16"/>
                <w:szCs w:val="22"/>
                <w:lang w:val="en-US" w:bidi="en-GB"/>
              </w:rPr>
            </w:pPr>
            <w:r w:rsidRPr="00E75891">
              <w:rPr>
                <w:rFonts w:ascii="Calibri" w:eastAsia="Calibri" w:hAnsi="Calibri" w:cs="Times New Roman"/>
                <w:sz w:val="16"/>
                <w:szCs w:val="22"/>
                <w:lang w:bidi="en-GB"/>
              </w:rPr>
              <w:t>Kelly and Stoye</w:t>
            </w:r>
            <w:r w:rsidRPr="00E75891" w:rsidDel="00E75891">
              <w:rPr>
                <w:rFonts w:ascii="Calibri" w:eastAsia="Calibri" w:hAnsi="Calibri" w:cs="Times New Roman"/>
                <w:sz w:val="16"/>
                <w:szCs w:val="22"/>
                <w:lang w:val="en-US" w:bidi="en-GB"/>
              </w:rPr>
              <w:t xml:space="preserve"> </w:t>
            </w:r>
            <w:r w:rsidR="002E0A56" w:rsidRPr="002E0A56">
              <w:rPr>
                <w:rFonts w:ascii="Calibri" w:eastAsia="Calibri" w:hAnsi="Calibri" w:cs="Times New Roman"/>
                <w:sz w:val="16"/>
                <w:szCs w:val="22"/>
                <w:lang w:val="en-US" w:bidi="en-GB"/>
              </w:rPr>
              <w:t xml:space="preserve">2016 </w:t>
            </w:r>
          </w:p>
        </w:tc>
        <w:tc>
          <w:tcPr>
            <w:tcW w:w="3466" w:type="dxa"/>
            <w:tcBorders>
              <w:top w:val="single" w:sz="4" w:space="0" w:color="000000"/>
              <w:left w:val="single" w:sz="4" w:space="0" w:color="000000"/>
              <w:bottom w:val="single" w:sz="4" w:space="0" w:color="000000"/>
              <w:right w:val="single" w:sz="4" w:space="0" w:color="000000"/>
            </w:tcBorders>
          </w:tcPr>
          <w:p w14:paraId="452C97AE" w14:textId="4D010E1C"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identify whether the introduction of </w:t>
            </w:r>
            <w:r w:rsidR="00B90C60">
              <w:rPr>
                <w:rFonts w:ascii="Calibri" w:eastAsia="Calibri" w:hAnsi="Calibri" w:cs="Times New Roman"/>
                <w:sz w:val="16"/>
                <w:szCs w:val="22"/>
                <w:lang w:val="en-US" w:bidi="en-GB"/>
              </w:rPr>
              <w:t>independent sector providers</w:t>
            </w:r>
            <w:r w:rsidRPr="002E0A56">
              <w:rPr>
                <w:rFonts w:ascii="Calibri" w:eastAsia="Calibri" w:hAnsi="Calibri" w:cs="Times New Roman"/>
                <w:sz w:val="16"/>
                <w:szCs w:val="22"/>
                <w:lang w:val="en-US" w:bidi="en-GB"/>
              </w:rPr>
              <w:t xml:space="preserve"> led to a shift in demand for elective hip replacement</w:t>
            </w:r>
          </w:p>
        </w:tc>
        <w:tc>
          <w:tcPr>
            <w:tcW w:w="1456" w:type="dxa"/>
            <w:tcBorders>
              <w:top w:val="single" w:sz="4" w:space="0" w:color="000000"/>
              <w:left w:val="single" w:sz="4" w:space="0" w:color="000000"/>
              <w:bottom w:val="single" w:sz="4" w:space="0" w:color="000000"/>
              <w:right w:val="single" w:sz="4" w:space="0" w:color="000000"/>
            </w:tcBorders>
          </w:tcPr>
          <w:p w14:paraId="5AC3BB63"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21F8A241"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Elective hip replacement patients between April 2002 and March 2011 analyzed for 6 781 aggregated geographic areas.</w:t>
            </w:r>
          </w:p>
        </w:tc>
        <w:tc>
          <w:tcPr>
            <w:tcW w:w="4095" w:type="dxa"/>
            <w:tcBorders>
              <w:top w:val="single" w:sz="4" w:space="0" w:color="000000"/>
              <w:left w:val="single" w:sz="4" w:space="0" w:color="000000"/>
              <w:bottom w:val="single" w:sz="4" w:space="0" w:color="000000"/>
              <w:right w:val="single" w:sz="4" w:space="0" w:color="000000"/>
            </w:tcBorders>
          </w:tcPr>
          <w:p w14:paraId="5A75508F" w14:textId="0BA9A1B6"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The introduction of</w:t>
            </w:r>
            <w:r w:rsidR="00B90C60" w:rsidRPr="00B90C60">
              <w:rPr>
                <w:rFonts w:ascii="Calibri" w:eastAsia="Calibri" w:hAnsi="Calibri" w:cs="Times New Roman"/>
                <w:sz w:val="16"/>
                <w:szCs w:val="22"/>
                <w:lang w:val="en-US" w:bidi="en-GB"/>
              </w:rPr>
              <w:t xml:space="preserve"> independent sector providers </w:t>
            </w:r>
            <w:r w:rsidRPr="002E0A56">
              <w:rPr>
                <w:rFonts w:ascii="Calibri" w:eastAsia="Calibri" w:hAnsi="Calibri" w:cs="Times New Roman"/>
                <w:sz w:val="16"/>
                <w:szCs w:val="22"/>
                <w:lang w:val="en-US" w:bidi="en-GB"/>
              </w:rPr>
              <w:t>increases demand for elective hip replacements remains unchanged.</w:t>
            </w:r>
          </w:p>
        </w:tc>
      </w:tr>
      <w:tr w:rsidR="009273EC" w:rsidRPr="002E0A56" w14:paraId="19B3BEAF"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5F99AEF3" w14:textId="68007133" w:rsidR="002E0A56" w:rsidRPr="002E0A56" w:rsidRDefault="00E75891" w:rsidP="009273EC">
            <w:pPr>
              <w:spacing w:before="0" w:after="0" w:line="240" w:lineRule="auto"/>
              <w:rPr>
                <w:rFonts w:ascii="Calibri" w:eastAsia="Calibri" w:hAnsi="Calibri" w:cs="Times New Roman"/>
                <w:sz w:val="16"/>
                <w:szCs w:val="22"/>
                <w:lang w:val="en-US" w:bidi="en-GB"/>
              </w:rPr>
            </w:pPr>
            <w:r w:rsidRPr="00E75891">
              <w:rPr>
                <w:rFonts w:ascii="Calibri" w:eastAsia="Calibri" w:hAnsi="Calibri" w:cs="Times New Roman"/>
                <w:sz w:val="16"/>
                <w:szCs w:val="22"/>
                <w:lang w:bidi="en-GB"/>
              </w:rPr>
              <w:t>Kelly and Stoye</w:t>
            </w:r>
            <w:r w:rsidRPr="00E75891" w:rsidDel="00E75891">
              <w:rPr>
                <w:rFonts w:ascii="Calibri" w:eastAsia="Calibri" w:hAnsi="Calibri" w:cs="Times New Roman"/>
                <w:sz w:val="16"/>
                <w:szCs w:val="22"/>
                <w:lang w:val="en-US" w:bidi="en-GB"/>
              </w:rPr>
              <w:t xml:space="preserve"> </w:t>
            </w:r>
            <w:r w:rsidR="002E0A56" w:rsidRPr="002E0A56">
              <w:rPr>
                <w:rFonts w:ascii="Calibri" w:eastAsia="Calibri" w:hAnsi="Calibri" w:cs="Times New Roman"/>
                <w:sz w:val="16"/>
                <w:szCs w:val="22"/>
                <w:lang w:val="en-US" w:bidi="en-GB"/>
              </w:rPr>
              <w:t>2020</w:t>
            </w:r>
          </w:p>
        </w:tc>
        <w:tc>
          <w:tcPr>
            <w:tcW w:w="3466" w:type="dxa"/>
            <w:tcBorders>
              <w:top w:val="single" w:sz="4" w:space="0" w:color="000000"/>
              <w:left w:val="single" w:sz="4" w:space="0" w:color="000000"/>
              <w:bottom w:val="single" w:sz="4" w:space="0" w:color="000000"/>
              <w:right w:val="single" w:sz="4" w:space="0" w:color="000000"/>
            </w:tcBorders>
          </w:tcPr>
          <w:p w14:paraId="25D989DA"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evaluate the impacts of the entry of private hospitals on the publicly funded elective market for hip replacements</w:t>
            </w:r>
          </w:p>
        </w:tc>
        <w:tc>
          <w:tcPr>
            <w:tcW w:w="1456" w:type="dxa"/>
            <w:tcBorders>
              <w:top w:val="single" w:sz="4" w:space="0" w:color="000000"/>
              <w:left w:val="single" w:sz="4" w:space="0" w:color="000000"/>
              <w:bottom w:val="single" w:sz="4" w:space="0" w:color="000000"/>
              <w:right w:val="single" w:sz="4" w:space="0" w:color="000000"/>
            </w:tcBorders>
          </w:tcPr>
          <w:p w14:paraId="258A476A"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providers (including both ISTCs and private hospitals)</w:t>
            </w:r>
          </w:p>
        </w:tc>
        <w:tc>
          <w:tcPr>
            <w:tcW w:w="3155" w:type="dxa"/>
            <w:tcBorders>
              <w:top w:val="single" w:sz="4" w:space="0" w:color="000000"/>
              <w:left w:val="single" w:sz="4" w:space="0" w:color="000000"/>
              <w:bottom w:val="single" w:sz="4" w:space="0" w:color="000000"/>
              <w:right w:val="single" w:sz="4" w:space="0" w:color="000000"/>
            </w:tcBorders>
          </w:tcPr>
          <w:p w14:paraId="44E27178"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Elective hip replacement patients (</w:t>
            </w:r>
            <w:r w:rsidRPr="002E0A56">
              <w:rPr>
                <w:rFonts w:eastAsiaTheme="minorHAnsi" w:cstheme="minorBidi"/>
                <w:sz w:val="16"/>
                <w:szCs w:val="16"/>
                <w:lang w:val="en-US"/>
              </w:rPr>
              <w:t xml:space="preserve">615,281 patients) </w:t>
            </w:r>
            <w:r w:rsidRPr="002E0A56">
              <w:rPr>
                <w:rFonts w:ascii="Calibri" w:eastAsia="Calibri" w:hAnsi="Calibri" w:cs="Times New Roman"/>
                <w:sz w:val="16"/>
                <w:szCs w:val="22"/>
                <w:lang w:val="en-US" w:bidi="en-GB"/>
              </w:rPr>
              <w:t>between April 2002 and March 2013.</w:t>
            </w:r>
          </w:p>
        </w:tc>
        <w:tc>
          <w:tcPr>
            <w:tcW w:w="4095" w:type="dxa"/>
            <w:tcBorders>
              <w:top w:val="single" w:sz="4" w:space="0" w:color="000000"/>
              <w:left w:val="single" w:sz="4" w:space="0" w:color="000000"/>
              <w:bottom w:val="single" w:sz="4" w:space="0" w:color="000000"/>
              <w:right w:val="single" w:sz="4" w:space="0" w:color="000000"/>
            </w:tcBorders>
          </w:tcPr>
          <w:p w14:paraId="3E27D8C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The introduction of private sector increased publicly funded hip replacement capacity but did not improve quality at existing public hospitals. </w:t>
            </w:r>
          </w:p>
        </w:tc>
      </w:tr>
      <w:tr w:rsidR="009273EC" w:rsidRPr="002E0A56" w14:paraId="6DAFE9E4"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1FA6ED22" w14:textId="647A4C24" w:rsidR="002E0A56" w:rsidRPr="002E0A56" w:rsidRDefault="00383ACC" w:rsidP="009273EC">
            <w:pPr>
              <w:spacing w:before="0" w:after="0" w:line="240" w:lineRule="auto"/>
              <w:rPr>
                <w:rFonts w:ascii="Calibri" w:eastAsia="Calibri" w:hAnsi="Calibri" w:cs="Times New Roman"/>
                <w:sz w:val="16"/>
                <w:szCs w:val="22"/>
                <w:lang w:val="en-US" w:bidi="en-GB"/>
              </w:rPr>
            </w:pPr>
            <w:r w:rsidRPr="00383ACC">
              <w:rPr>
                <w:sz w:val="16"/>
                <w:szCs w:val="16"/>
              </w:rPr>
              <w:t>Kirkwood and Pollock</w:t>
            </w:r>
            <w:r w:rsidRPr="00383ACC">
              <w:rPr>
                <w:rFonts w:ascii="Calibri" w:eastAsia="Calibri" w:hAnsi="Calibri" w:cs="Times New Roman"/>
                <w:sz w:val="12"/>
                <w:szCs w:val="18"/>
                <w:lang w:val="en-US" w:bidi="en-GB"/>
              </w:rPr>
              <w:t xml:space="preserve"> </w:t>
            </w:r>
            <w:r w:rsidR="002E0A56" w:rsidRPr="002E0A56">
              <w:rPr>
                <w:rFonts w:ascii="Calibri" w:eastAsia="Calibri" w:hAnsi="Calibri" w:cs="Times New Roman"/>
                <w:sz w:val="16"/>
                <w:szCs w:val="22"/>
                <w:lang w:val="en-US" w:bidi="en-GB"/>
              </w:rPr>
              <w:t xml:space="preserve">2017 </w:t>
            </w:r>
          </w:p>
        </w:tc>
        <w:tc>
          <w:tcPr>
            <w:tcW w:w="3466" w:type="dxa"/>
            <w:tcBorders>
              <w:top w:val="single" w:sz="4" w:space="0" w:color="000000"/>
              <w:left w:val="single" w:sz="4" w:space="0" w:color="000000"/>
              <w:bottom w:val="single" w:sz="4" w:space="0" w:color="000000"/>
              <w:right w:val="single" w:sz="4" w:space="0" w:color="000000"/>
            </w:tcBorders>
          </w:tcPr>
          <w:p w14:paraId="61E3F59C"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analyze in equality of access to elective primary hip arthroplasty by sex, age and socio-economic deprivation by provider type</w:t>
            </w:r>
          </w:p>
        </w:tc>
        <w:tc>
          <w:tcPr>
            <w:tcW w:w="1456" w:type="dxa"/>
            <w:tcBorders>
              <w:top w:val="single" w:sz="4" w:space="0" w:color="000000"/>
              <w:left w:val="single" w:sz="4" w:space="0" w:color="000000"/>
              <w:bottom w:val="single" w:sz="4" w:space="0" w:color="000000"/>
              <w:right w:val="single" w:sz="4" w:space="0" w:color="000000"/>
            </w:tcBorders>
          </w:tcPr>
          <w:p w14:paraId="01524DB9"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4D7C62D6"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receiving publicly funded primary hip arthroplasty (105 872 elective and 48 894 emergency) in Scotland between April 1993 and March 2013.</w:t>
            </w:r>
          </w:p>
        </w:tc>
        <w:tc>
          <w:tcPr>
            <w:tcW w:w="4095" w:type="dxa"/>
            <w:tcBorders>
              <w:top w:val="single" w:sz="4" w:space="0" w:color="000000"/>
              <w:left w:val="single" w:sz="4" w:space="0" w:color="000000"/>
              <w:bottom w:val="single" w:sz="4" w:space="0" w:color="000000"/>
              <w:right w:val="single" w:sz="4" w:space="0" w:color="000000"/>
            </w:tcBorders>
          </w:tcPr>
          <w:p w14:paraId="37E8812A"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NHS funding of private sector provision for elective hip arthroplasty was associated with a decrease in public provision and may have contributed to an increase in age and socio-economic inequalities in treatment rates.</w:t>
            </w:r>
          </w:p>
        </w:tc>
      </w:tr>
      <w:tr w:rsidR="009273EC" w:rsidRPr="002E0A56" w14:paraId="2226F22B"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10ACD488" w14:textId="77777777" w:rsidR="002E0A56" w:rsidRPr="002E0A56" w:rsidRDefault="002E0A56" w:rsidP="009273EC">
            <w:pPr>
              <w:spacing w:before="0" w:after="0" w:line="240" w:lineRule="auto"/>
              <w:rPr>
                <w:rFonts w:ascii="Calibri" w:eastAsia="Calibri" w:hAnsi="Calibri" w:cs="Times New Roman"/>
                <w:sz w:val="16"/>
                <w:szCs w:val="22"/>
                <w:lang w:val="en-US" w:bidi="en-GB"/>
              </w:rPr>
            </w:pPr>
            <w:proofErr w:type="spellStart"/>
            <w:r w:rsidRPr="002E0A56">
              <w:rPr>
                <w:rFonts w:ascii="Calibri" w:eastAsia="Calibri" w:hAnsi="Calibri" w:cs="Times New Roman"/>
                <w:sz w:val="16"/>
                <w:szCs w:val="22"/>
                <w:lang w:val="en-US" w:bidi="en-GB"/>
              </w:rPr>
              <w:t>Koehoorn</w:t>
            </w:r>
            <w:proofErr w:type="spellEnd"/>
            <w:r w:rsidRPr="002E0A56">
              <w:rPr>
                <w:rFonts w:ascii="Calibri" w:eastAsia="Calibri" w:hAnsi="Calibri" w:cs="Times New Roman"/>
                <w:sz w:val="16"/>
                <w:szCs w:val="22"/>
                <w:lang w:val="en-US" w:bidi="en-GB"/>
              </w:rPr>
              <w:t xml:space="preserve"> et al. 2011</w:t>
            </w:r>
          </w:p>
        </w:tc>
        <w:tc>
          <w:tcPr>
            <w:tcW w:w="3466" w:type="dxa"/>
            <w:tcBorders>
              <w:top w:val="single" w:sz="4" w:space="0" w:color="000000"/>
              <w:left w:val="single" w:sz="4" w:space="0" w:color="000000"/>
              <w:bottom w:val="single" w:sz="4" w:space="0" w:color="000000"/>
              <w:right w:val="single" w:sz="4" w:space="0" w:color="000000"/>
            </w:tcBorders>
          </w:tcPr>
          <w:p w14:paraId="51620CE5" w14:textId="1E8DA575"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evaluate the effect of expedited surgical fees paid to physicians in reducing wait time and return to work time</w:t>
            </w:r>
          </w:p>
        </w:tc>
        <w:tc>
          <w:tcPr>
            <w:tcW w:w="1456" w:type="dxa"/>
            <w:tcBorders>
              <w:top w:val="single" w:sz="4" w:space="0" w:color="000000"/>
              <w:left w:val="single" w:sz="4" w:space="0" w:color="000000"/>
              <w:bottom w:val="single" w:sz="4" w:space="0" w:color="000000"/>
              <w:right w:val="single" w:sz="4" w:space="0" w:color="000000"/>
            </w:tcBorders>
          </w:tcPr>
          <w:p w14:paraId="39957C77"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Public compared with private facilities </w:t>
            </w:r>
          </w:p>
        </w:tc>
        <w:tc>
          <w:tcPr>
            <w:tcW w:w="3155" w:type="dxa"/>
            <w:tcBorders>
              <w:top w:val="single" w:sz="4" w:space="0" w:color="000000"/>
              <w:left w:val="single" w:sz="4" w:space="0" w:color="000000"/>
              <w:bottom w:val="single" w:sz="4" w:space="0" w:color="000000"/>
              <w:right w:val="single" w:sz="4" w:space="0" w:color="000000"/>
            </w:tcBorders>
          </w:tcPr>
          <w:p w14:paraId="36D4C1D0"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 Workers with accepted workers compensation claim for meniscal injury. 1380 surgeries from 2001 to 2005 in British Columbia, Canada.</w:t>
            </w:r>
          </w:p>
        </w:tc>
        <w:tc>
          <w:tcPr>
            <w:tcW w:w="4095" w:type="dxa"/>
            <w:tcBorders>
              <w:top w:val="single" w:sz="4" w:space="0" w:color="000000"/>
              <w:left w:val="single" w:sz="4" w:space="0" w:color="000000"/>
              <w:bottom w:val="single" w:sz="4" w:space="0" w:color="000000"/>
              <w:right w:val="single" w:sz="4" w:space="0" w:color="000000"/>
            </w:tcBorders>
          </w:tcPr>
          <w:p w14:paraId="1B1C2793"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The public expedited group had the shortest disability duration from surgical consult to return to work; the expedited fee reduced the surgery wait time (~2 work weeks), and surgeries performed in public hospitals had a shorter return-to-work time (~1 work week).</w:t>
            </w:r>
          </w:p>
        </w:tc>
      </w:tr>
      <w:tr w:rsidR="009273EC" w:rsidRPr="002E0A56" w14:paraId="2F96648D"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4B252533"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lastRenderedPageBreak/>
              <w:t>Kruse et al. 2019</w:t>
            </w:r>
          </w:p>
        </w:tc>
        <w:tc>
          <w:tcPr>
            <w:tcW w:w="3466" w:type="dxa"/>
            <w:tcBorders>
              <w:top w:val="single" w:sz="4" w:space="0" w:color="000000"/>
              <w:left w:val="single" w:sz="4" w:space="0" w:color="000000"/>
              <w:bottom w:val="single" w:sz="4" w:space="0" w:color="000000"/>
              <w:right w:val="single" w:sz="4" w:space="0" w:color="000000"/>
            </w:tcBorders>
          </w:tcPr>
          <w:p w14:paraId="6B10FD9A" w14:textId="1CE90B81"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identify differences between independent treatment </w:t>
            </w:r>
            <w:proofErr w:type="spellStart"/>
            <w:r w:rsidRPr="002E0A56">
              <w:rPr>
                <w:rFonts w:ascii="Calibri" w:eastAsia="Calibri" w:hAnsi="Calibri" w:cs="Times New Roman"/>
                <w:sz w:val="16"/>
                <w:szCs w:val="22"/>
                <w:lang w:val="en-US" w:bidi="en-GB"/>
              </w:rPr>
              <w:t>cent</w:t>
            </w:r>
            <w:r w:rsidR="005E282A">
              <w:rPr>
                <w:rFonts w:ascii="Calibri" w:eastAsia="Calibri" w:hAnsi="Calibri" w:cs="Times New Roman"/>
                <w:sz w:val="16"/>
                <w:szCs w:val="22"/>
                <w:lang w:val="en-US" w:bidi="en-GB"/>
              </w:rPr>
              <w:t>res</w:t>
            </w:r>
            <w:proofErr w:type="spellEnd"/>
            <w:r w:rsidRPr="002E0A56">
              <w:rPr>
                <w:rFonts w:ascii="Calibri" w:eastAsia="Calibri" w:hAnsi="Calibri" w:cs="Times New Roman"/>
                <w:sz w:val="16"/>
                <w:szCs w:val="22"/>
                <w:lang w:val="en-US" w:bidi="en-GB"/>
              </w:rPr>
              <w:t xml:space="preserve"> and general hospitals regarding costs, quality of care, and efficiency</w:t>
            </w:r>
          </w:p>
        </w:tc>
        <w:tc>
          <w:tcPr>
            <w:tcW w:w="1456" w:type="dxa"/>
            <w:tcBorders>
              <w:top w:val="single" w:sz="4" w:space="0" w:color="000000"/>
              <w:left w:val="single" w:sz="4" w:space="0" w:color="000000"/>
              <w:bottom w:val="single" w:sz="4" w:space="0" w:color="000000"/>
              <w:right w:val="single" w:sz="4" w:space="0" w:color="000000"/>
            </w:tcBorders>
          </w:tcPr>
          <w:p w14:paraId="05DDE241" w14:textId="3848C538" w:rsidR="002E0A56" w:rsidRPr="00267DA3" w:rsidRDefault="002E0A56" w:rsidP="009273EC">
            <w:pPr>
              <w:spacing w:before="0" w:after="0" w:line="240" w:lineRule="auto"/>
              <w:rPr>
                <w:rFonts w:ascii="Calibri" w:eastAsia="Calibri" w:hAnsi="Calibri" w:cs="Times New Roman"/>
                <w:sz w:val="16"/>
                <w:szCs w:val="22"/>
                <w:lang w:val="en-US" w:bidi="en-GB"/>
              </w:rPr>
            </w:pPr>
            <w:r w:rsidRPr="00267DA3">
              <w:rPr>
                <w:rFonts w:ascii="Calibri" w:eastAsia="Calibri" w:hAnsi="Calibri" w:cs="Times New Roman"/>
                <w:sz w:val="16"/>
                <w:szCs w:val="22"/>
                <w:lang w:val="en-US" w:bidi="en-GB"/>
              </w:rPr>
              <w:t xml:space="preserve">Public (general hospitals) compared with private facilities (independent treatment </w:t>
            </w:r>
            <w:proofErr w:type="spellStart"/>
            <w:r w:rsidRPr="00267DA3">
              <w:rPr>
                <w:rFonts w:ascii="Calibri" w:eastAsia="Calibri" w:hAnsi="Calibri" w:cs="Times New Roman"/>
                <w:sz w:val="16"/>
                <w:szCs w:val="22"/>
                <w:lang w:val="en-US" w:bidi="en-GB"/>
              </w:rPr>
              <w:t>cent</w:t>
            </w:r>
            <w:r w:rsidR="005E282A" w:rsidRPr="00267DA3">
              <w:rPr>
                <w:rFonts w:ascii="Calibri" w:eastAsia="Calibri" w:hAnsi="Calibri" w:cs="Times New Roman"/>
                <w:sz w:val="16"/>
                <w:szCs w:val="22"/>
                <w:lang w:val="en-US" w:bidi="en-GB"/>
              </w:rPr>
              <w:t>res</w:t>
            </w:r>
            <w:proofErr w:type="spellEnd"/>
            <w:r w:rsidRPr="00267DA3">
              <w:rPr>
                <w:rFonts w:ascii="Calibri" w:eastAsia="Calibri" w:hAnsi="Calibri" w:cs="Times New Roman"/>
                <w:sz w:val="16"/>
                <w:szCs w:val="22"/>
                <w:lang w:val="en-US" w:bidi="en-GB"/>
              </w:rPr>
              <w:t>)</w:t>
            </w:r>
          </w:p>
        </w:tc>
        <w:tc>
          <w:tcPr>
            <w:tcW w:w="3155" w:type="dxa"/>
            <w:tcBorders>
              <w:top w:val="single" w:sz="4" w:space="0" w:color="000000"/>
              <w:left w:val="single" w:sz="4" w:space="0" w:color="000000"/>
              <w:bottom w:val="single" w:sz="4" w:space="0" w:color="000000"/>
              <w:right w:val="single" w:sz="4" w:space="0" w:color="000000"/>
            </w:tcBorders>
          </w:tcPr>
          <w:p w14:paraId="2C3D7AE8" w14:textId="77777777" w:rsidR="002E0A56" w:rsidRPr="00267DA3" w:rsidRDefault="002E0A56" w:rsidP="009273EC">
            <w:pPr>
              <w:spacing w:before="0" w:after="0" w:line="240" w:lineRule="auto"/>
              <w:rPr>
                <w:rFonts w:ascii="Calibri" w:eastAsia="Calibri" w:hAnsi="Calibri" w:cs="Times New Roman"/>
                <w:sz w:val="16"/>
                <w:szCs w:val="22"/>
                <w:lang w:val="en-US" w:bidi="en-GB"/>
              </w:rPr>
            </w:pPr>
            <w:r w:rsidRPr="00267DA3">
              <w:rPr>
                <w:rFonts w:ascii="Calibri" w:eastAsia="Calibri" w:hAnsi="Calibri" w:cs="Times New Roman"/>
                <w:sz w:val="16"/>
                <w:szCs w:val="22"/>
                <w:lang w:val="en-US" w:bidi="en-GB"/>
              </w:rPr>
              <w:t>50 000 patients who received cataract care (including academic and tertiary hospitals) from 2013 to 2015.</w:t>
            </w:r>
          </w:p>
        </w:tc>
        <w:tc>
          <w:tcPr>
            <w:tcW w:w="4095" w:type="dxa"/>
            <w:tcBorders>
              <w:top w:val="single" w:sz="4" w:space="0" w:color="000000"/>
              <w:left w:val="single" w:sz="4" w:space="0" w:color="000000"/>
              <w:bottom w:val="single" w:sz="4" w:space="0" w:color="000000"/>
              <w:right w:val="single" w:sz="4" w:space="0" w:color="000000"/>
            </w:tcBorders>
          </w:tcPr>
          <w:p w14:paraId="4DA0DEF6" w14:textId="384B3445" w:rsidR="002E0A56" w:rsidRPr="00267DA3" w:rsidRDefault="002E0A56" w:rsidP="009273EC">
            <w:pPr>
              <w:spacing w:before="0" w:after="0" w:line="240" w:lineRule="auto"/>
              <w:rPr>
                <w:rFonts w:ascii="Calibri" w:eastAsia="Calibri" w:hAnsi="Calibri" w:cs="Times New Roman"/>
                <w:sz w:val="16"/>
                <w:szCs w:val="22"/>
                <w:highlight w:val="yellow"/>
                <w:lang w:val="en-US" w:bidi="en-GB"/>
              </w:rPr>
            </w:pPr>
            <w:r w:rsidRPr="00267DA3">
              <w:rPr>
                <w:rFonts w:ascii="Calibri" w:eastAsia="Calibri" w:hAnsi="Calibri" w:cs="Times New Roman"/>
                <w:sz w:val="16"/>
                <w:szCs w:val="22"/>
                <w:lang w:val="en-US" w:bidi="en-GB"/>
              </w:rPr>
              <w:t>I</w:t>
            </w:r>
            <w:r w:rsidR="00267DA3" w:rsidRPr="00267DA3">
              <w:rPr>
                <w:rFonts w:ascii="Calibri" w:eastAsia="Calibri" w:hAnsi="Calibri" w:cs="Times New Roman"/>
                <w:sz w:val="16"/>
                <w:szCs w:val="22"/>
                <w:lang w:val="en-US" w:bidi="en-GB"/>
              </w:rPr>
              <w:t>S</w:t>
            </w:r>
            <w:r w:rsidRPr="00267DA3">
              <w:rPr>
                <w:rFonts w:ascii="Calibri" w:eastAsia="Calibri" w:hAnsi="Calibri" w:cs="Times New Roman"/>
                <w:sz w:val="16"/>
                <w:szCs w:val="22"/>
                <w:lang w:val="en-US" w:bidi="en-GB"/>
              </w:rPr>
              <w:t xml:space="preserve">TCs can provide more value for cataract care than </w:t>
            </w:r>
            <w:r w:rsidR="006A579C" w:rsidRPr="00267DA3">
              <w:rPr>
                <w:rFonts w:ascii="Calibri" w:eastAsia="Calibri" w:hAnsi="Calibri" w:cs="Times New Roman"/>
                <w:sz w:val="16"/>
                <w:szCs w:val="22"/>
                <w:lang w:val="en-US" w:bidi="en-GB"/>
              </w:rPr>
              <w:t>general hospital</w:t>
            </w:r>
            <w:r w:rsidRPr="00267DA3">
              <w:rPr>
                <w:rFonts w:ascii="Calibri" w:eastAsia="Calibri" w:hAnsi="Calibri" w:cs="Times New Roman"/>
                <w:sz w:val="16"/>
                <w:szCs w:val="22"/>
                <w:lang w:val="en-US" w:bidi="en-GB"/>
              </w:rPr>
              <w:t>s.</w:t>
            </w:r>
          </w:p>
        </w:tc>
      </w:tr>
      <w:tr w:rsidR="009273EC" w:rsidRPr="002E0A56" w14:paraId="45DFA8BA"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79C3F41"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Li et al. 2004 </w:t>
            </w:r>
          </w:p>
        </w:tc>
        <w:tc>
          <w:tcPr>
            <w:tcW w:w="3466" w:type="dxa"/>
            <w:tcBorders>
              <w:top w:val="single" w:sz="4" w:space="0" w:color="000000"/>
              <w:left w:val="single" w:sz="4" w:space="0" w:color="000000"/>
              <w:bottom w:val="single" w:sz="4" w:space="0" w:color="000000"/>
              <w:right w:val="single" w:sz="4" w:space="0" w:color="000000"/>
            </w:tcBorders>
          </w:tcPr>
          <w:p w14:paraId="003365C7" w14:textId="218AA931"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identify sociodemographic, environmental, and clinical risk factors for the development of </w:t>
            </w:r>
            <w:r w:rsidR="006A579C" w:rsidRPr="006A579C">
              <w:rPr>
                <w:rFonts w:ascii="Calibri" w:eastAsia="Calibri" w:hAnsi="Calibri" w:cs="Times New Roman"/>
                <w:sz w:val="16"/>
                <w:szCs w:val="22"/>
                <w:lang w:bidi="en-GB"/>
              </w:rPr>
              <w:t>postoperative endophthalmitis</w:t>
            </w:r>
            <w:r w:rsidRPr="002E0A56">
              <w:rPr>
                <w:rFonts w:ascii="Calibri" w:eastAsia="Calibri" w:hAnsi="Calibri" w:cs="Times New Roman"/>
                <w:sz w:val="16"/>
                <w:szCs w:val="22"/>
                <w:lang w:val="en-US" w:bidi="en-GB"/>
              </w:rPr>
              <w:t>, using population-based administrative data from Western Australia</w:t>
            </w:r>
          </w:p>
        </w:tc>
        <w:tc>
          <w:tcPr>
            <w:tcW w:w="1456" w:type="dxa"/>
            <w:tcBorders>
              <w:top w:val="single" w:sz="4" w:space="0" w:color="000000"/>
              <w:left w:val="single" w:sz="4" w:space="0" w:color="000000"/>
              <w:bottom w:val="single" w:sz="4" w:space="0" w:color="000000"/>
              <w:right w:val="single" w:sz="4" w:space="0" w:color="000000"/>
            </w:tcBorders>
          </w:tcPr>
          <w:p w14:paraId="4ED42981"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(metropolitan public, rural public and teaching public hospitals)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3C492C22" w14:textId="6648F451" w:rsidR="002E0A56" w:rsidRPr="002E0A56" w:rsidDel="000935B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All patients who underwent cataract surgery (117 083 procedures), along with those in whom </w:t>
            </w:r>
            <w:r w:rsidR="006A579C" w:rsidRPr="006A579C">
              <w:rPr>
                <w:rFonts w:ascii="Calibri" w:eastAsia="Calibri" w:hAnsi="Calibri" w:cs="Times New Roman"/>
                <w:sz w:val="16"/>
                <w:szCs w:val="22"/>
                <w:lang w:bidi="en-GB"/>
              </w:rPr>
              <w:t>postoperative endophthalmitis subsequently</w:t>
            </w:r>
            <w:r w:rsidRPr="002E0A56">
              <w:rPr>
                <w:rFonts w:ascii="Calibri" w:eastAsia="Calibri" w:hAnsi="Calibri" w:cs="Times New Roman"/>
                <w:sz w:val="16"/>
                <w:szCs w:val="22"/>
                <w:lang w:val="en-US" w:bidi="en-GB"/>
              </w:rPr>
              <w:t xml:space="preserve"> developed from 1980 to 2000 in Western Australia.</w:t>
            </w:r>
          </w:p>
        </w:tc>
        <w:tc>
          <w:tcPr>
            <w:tcW w:w="4095" w:type="dxa"/>
            <w:tcBorders>
              <w:top w:val="single" w:sz="4" w:space="0" w:color="000000"/>
              <w:left w:val="single" w:sz="4" w:space="0" w:color="000000"/>
              <w:bottom w:val="single" w:sz="4" w:space="0" w:color="000000"/>
              <w:right w:val="single" w:sz="4" w:space="0" w:color="000000"/>
            </w:tcBorders>
          </w:tcPr>
          <w:p w14:paraId="5E2ED649" w14:textId="44FFB7D2"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It may be possible to reduce the incidence rate of </w:t>
            </w:r>
            <w:r w:rsidR="006A579C" w:rsidRPr="006A579C">
              <w:rPr>
                <w:rFonts w:ascii="Calibri" w:eastAsia="Calibri" w:hAnsi="Calibri" w:cs="Times New Roman"/>
                <w:sz w:val="16"/>
                <w:szCs w:val="22"/>
                <w:lang w:bidi="en-GB"/>
              </w:rPr>
              <w:t>postoperative endophthalmitis </w:t>
            </w:r>
            <w:r w:rsidRPr="002E0A56">
              <w:rPr>
                <w:rFonts w:ascii="Calibri" w:eastAsia="Calibri" w:hAnsi="Calibri" w:cs="Times New Roman"/>
                <w:sz w:val="16"/>
                <w:szCs w:val="22"/>
                <w:lang w:val="en-US" w:bidi="en-GB"/>
              </w:rPr>
              <w:t xml:space="preserve">by almost 80% with a systematic approach to the management of elderly patients, </w:t>
            </w:r>
            <w:r w:rsidR="006A579C" w:rsidRPr="006A579C">
              <w:rPr>
                <w:rFonts w:ascii="Calibri" w:eastAsia="Calibri" w:hAnsi="Calibri" w:cs="Times New Roman"/>
                <w:sz w:val="16"/>
                <w:szCs w:val="22"/>
                <w:lang w:val="en-US" w:bidi="en-GB"/>
              </w:rPr>
              <w:t>length of stay</w:t>
            </w:r>
            <w:r w:rsidRPr="002E0A56">
              <w:rPr>
                <w:rFonts w:ascii="Calibri" w:eastAsia="Calibri" w:hAnsi="Calibri" w:cs="Times New Roman"/>
                <w:sz w:val="16"/>
                <w:szCs w:val="22"/>
                <w:lang w:val="en-US" w:bidi="en-GB"/>
              </w:rPr>
              <w:t>, and clinical protocols.</w:t>
            </w:r>
          </w:p>
        </w:tc>
      </w:tr>
      <w:tr w:rsidR="009273EC" w:rsidRPr="002E0A56" w14:paraId="78425BF4"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058CB3A"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Moscone et al. 2019</w:t>
            </w:r>
          </w:p>
        </w:tc>
        <w:tc>
          <w:tcPr>
            <w:tcW w:w="3466" w:type="dxa"/>
            <w:tcBorders>
              <w:top w:val="single" w:sz="4" w:space="0" w:color="000000"/>
              <w:left w:val="single" w:sz="4" w:space="0" w:color="000000"/>
              <w:bottom w:val="single" w:sz="4" w:space="0" w:color="000000"/>
              <w:right w:val="single" w:sz="4" w:space="0" w:color="000000"/>
            </w:tcBorders>
          </w:tcPr>
          <w:p w14:paraId="597939E0" w14:textId="336B1B7F"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investigate empirically whether there are differences in healthcare quality between public and private hospitals treating publicly</w:t>
            </w:r>
            <w:r w:rsidR="00E154DD">
              <w:rPr>
                <w:rFonts w:ascii="Calibri" w:eastAsia="Calibri" w:hAnsi="Calibri" w:cs="Times New Roman"/>
                <w:sz w:val="16"/>
                <w:szCs w:val="22"/>
                <w:lang w:val="en-US" w:bidi="en-GB"/>
              </w:rPr>
              <w:t xml:space="preserve"> </w:t>
            </w:r>
            <w:r w:rsidRPr="002E0A56">
              <w:rPr>
                <w:rFonts w:ascii="Calibri" w:eastAsia="Calibri" w:hAnsi="Calibri" w:cs="Times New Roman"/>
                <w:sz w:val="16"/>
                <w:szCs w:val="22"/>
                <w:lang w:val="en-US" w:bidi="en-GB"/>
              </w:rPr>
              <w:t>funded patients in Italy, who seek elective and emergency treatments</w:t>
            </w:r>
          </w:p>
        </w:tc>
        <w:tc>
          <w:tcPr>
            <w:tcW w:w="1456" w:type="dxa"/>
            <w:tcBorders>
              <w:top w:val="single" w:sz="4" w:space="0" w:color="000000"/>
              <w:left w:val="single" w:sz="4" w:space="0" w:color="000000"/>
              <w:bottom w:val="single" w:sz="4" w:space="0" w:color="000000"/>
              <w:right w:val="single" w:sz="4" w:space="0" w:color="000000"/>
            </w:tcBorders>
          </w:tcPr>
          <w:p w14:paraId="1AAE1CF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249B1537"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Acute myocardial infarction, stroke, hip and knee replacement patients admitted to 189 Italian hospitals located in the Lombardy region between 2012 and 2014. </w:t>
            </w:r>
          </w:p>
        </w:tc>
        <w:tc>
          <w:tcPr>
            <w:tcW w:w="4095" w:type="dxa"/>
            <w:tcBorders>
              <w:top w:val="single" w:sz="4" w:space="0" w:color="000000"/>
              <w:left w:val="single" w:sz="4" w:space="0" w:color="000000"/>
              <w:bottom w:val="single" w:sz="4" w:space="0" w:color="000000"/>
              <w:right w:val="single" w:sz="4" w:space="0" w:color="000000"/>
            </w:tcBorders>
          </w:tcPr>
          <w:p w14:paraId="6C89A9C2"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When public and private hospitals are subject to the same payment system, the evidence on whether private hospitals provide higher quality than public hospitals is mixed.</w:t>
            </w:r>
          </w:p>
        </w:tc>
      </w:tr>
      <w:tr w:rsidR="009273EC" w:rsidRPr="002E0A56" w14:paraId="2BFD795E"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24CE8FCF"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Naylor et al. 2016 </w:t>
            </w:r>
          </w:p>
        </w:tc>
        <w:tc>
          <w:tcPr>
            <w:tcW w:w="3466" w:type="dxa"/>
            <w:tcBorders>
              <w:top w:val="single" w:sz="4" w:space="0" w:color="000000"/>
              <w:left w:val="single" w:sz="4" w:space="0" w:color="000000"/>
              <w:bottom w:val="single" w:sz="4" w:space="0" w:color="000000"/>
              <w:right w:val="single" w:sz="4" w:space="0" w:color="000000"/>
            </w:tcBorders>
          </w:tcPr>
          <w:p w14:paraId="236FCEE5"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determine in a knee or hip arthroplasty cohort, if surgery in the private sector predicts greater overall satisfaction with the acute-care experience and greater likelihood to recommend the same hospital</w:t>
            </w:r>
          </w:p>
        </w:tc>
        <w:tc>
          <w:tcPr>
            <w:tcW w:w="1456" w:type="dxa"/>
            <w:tcBorders>
              <w:top w:val="single" w:sz="4" w:space="0" w:color="000000"/>
              <w:left w:val="single" w:sz="4" w:space="0" w:color="000000"/>
              <w:bottom w:val="single" w:sz="4" w:space="0" w:color="000000"/>
              <w:right w:val="single" w:sz="4" w:space="0" w:color="000000"/>
            </w:tcBorders>
          </w:tcPr>
          <w:p w14:paraId="1360E0BD"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069A7952"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Hip and knee replacement patients in Australia from 2014-2015. Telephone survey with 457 survey responders (210 private).</w:t>
            </w:r>
          </w:p>
        </w:tc>
        <w:tc>
          <w:tcPr>
            <w:tcW w:w="4095" w:type="dxa"/>
            <w:tcBorders>
              <w:top w:val="single" w:sz="4" w:space="0" w:color="000000"/>
              <w:left w:val="single" w:sz="4" w:space="0" w:color="000000"/>
              <w:bottom w:val="single" w:sz="4" w:space="0" w:color="000000"/>
              <w:right w:val="single" w:sz="4" w:space="0" w:color="000000"/>
            </w:tcBorders>
          </w:tcPr>
          <w:p w14:paraId="6F2CFD47"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Arthroplasty consumers treated in the private sector are not more satisfied with their acute-care experience nor are they more likely to recommend their hospital provider. Rather, avoidance of complications in either sector appears to result in improved satisfaction as well as a greater likelihood that patients would recommend their hospital provider.</w:t>
            </w:r>
          </w:p>
        </w:tc>
      </w:tr>
      <w:tr w:rsidR="009273EC" w:rsidRPr="002E0A56" w14:paraId="3FC9A30D"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625C645" w14:textId="2FCFCD92" w:rsidR="002E0A56" w:rsidRPr="002E0A56" w:rsidRDefault="009E4EC3" w:rsidP="009273EC">
            <w:pPr>
              <w:spacing w:before="0" w:after="0" w:line="240" w:lineRule="auto"/>
              <w:rPr>
                <w:rFonts w:ascii="Calibri" w:eastAsia="Calibri" w:hAnsi="Calibri" w:cs="Times New Roman"/>
                <w:sz w:val="16"/>
                <w:szCs w:val="22"/>
                <w:lang w:val="en-US" w:bidi="en-GB"/>
              </w:rPr>
            </w:pPr>
            <w:r w:rsidRPr="009E4EC3">
              <w:rPr>
                <w:rFonts w:ascii="Calibri" w:eastAsia="Calibri" w:hAnsi="Calibri" w:cs="Times New Roman"/>
                <w:sz w:val="16"/>
                <w:szCs w:val="22"/>
                <w:lang w:bidi="en-GB"/>
              </w:rPr>
              <w:t>Pager and McCluskey</w:t>
            </w:r>
            <w:r>
              <w:rPr>
                <w:rFonts w:ascii="Calibri" w:eastAsia="Calibri" w:hAnsi="Calibri" w:cs="Times New Roman"/>
                <w:sz w:val="16"/>
                <w:szCs w:val="22"/>
                <w:lang w:val="en-US" w:bidi="en-GB"/>
              </w:rPr>
              <w:t xml:space="preserve"> </w:t>
            </w:r>
            <w:r w:rsidR="002E0A56" w:rsidRPr="002E0A56">
              <w:rPr>
                <w:rFonts w:ascii="Calibri" w:eastAsia="Calibri" w:hAnsi="Calibri" w:cs="Times New Roman"/>
                <w:sz w:val="16"/>
                <w:szCs w:val="22"/>
                <w:lang w:val="en-US" w:bidi="en-GB"/>
              </w:rPr>
              <w:t>2004</w:t>
            </w:r>
          </w:p>
        </w:tc>
        <w:tc>
          <w:tcPr>
            <w:tcW w:w="3466" w:type="dxa"/>
            <w:tcBorders>
              <w:top w:val="single" w:sz="4" w:space="0" w:color="000000"/>
              <w:left w:val="single" w:sz="4" w:space="0" w:color="000000"/>
              <w:bottom w:val="single" w:sz="4" w:space="0" w:color="000000"/>
              <w:right w:val="single" w:sz="4" w:space="0" w:color="000000"/>
            </w:tcBorders>
          </w:tcPr>
          <w:p w14:paraId="6234049B" w14:textId="3909BA5B"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compare samples of private and public patients</w:t>
            </w:r>
            <w:r w:rsidR="006D4DB7">
              <w:rPr>
                <w:rFonts w:ascii="Calibri" w:eastAsia="Calibri" w:hAnsi="Calibri" w:cs="Times New Roman"/>
                <w:sz w:val="16"/>
                <w:szCs w:val="22"/>
                <w:lang w:val="en-US" w:bidi="en-GB"/>
              </w:rPr>
              <w:t>’</w:t>
            </w:r>
            <w:r w:rsidRPr="002E0A56">
              <w:rPr>
                <w:rFonts w:ascii="Calibri" w:eastAsia="Calibri" w:hAnsi="Calibri" w:cs="Times New Roman"/>
                <w:sz w:val="16"/>
                <w:szCs w:val="22"/>
                <w:lang w:val="en-US" w:bidi="en-GB"/>
              </w:rPr>
              <w:t xml:space="preserve"> priorities and satisfaction undergoing day-stay cataract surgery</w:t>
            </w:r>
          </w:p>
        </w:tc>
        <w:tc>
          <w:tcPr>
            <w:tcW w:w="1456" w:type="dxa"/>
            <w:tcBorders>
              <w:top w:val="single" w:sz="4" w:space="0" w:color="000000"/>
              <w:left w:val="single" w:sz="4" w:space="0" w:color="000000"/>
              <w:bottom w:val="single" w:sz="4" w:space="0" w:color="000000"/>
              <w:right w:val="single" w:sz="4" w:space="0" w:color="000000"/>
            </w:tcBorders>
          </w:tcPr>
          <w:p w14:paraId="00A1895A"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501EE968"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Cataract surgery patients. Forty-two public patients and 39 private patients in Sydney, Australia between April and June 2002. </w:t>
            </w:r>
          </w:p>
        </w:tc>
        <w:tc>
          <w:tcPr>
            <w:tcW w:w="4095" w:type="dxa"/>
            <w:tcBorders>
              <w:top w:val="single" w:sz="4" w:space="0" w:color="000000"/>
              <w:left w:val="single" w:sz="4" w:space="0" w:color="000000"/>
              <w:bottom w:val="single" w:sz="4" w:space="0" w:color="000000"/>
              <w:right w:val="single" w:sz="4" w:space="0" w:color="000000"/>
            </w:tcBorders>
          </w:tcPr>
          <w:p w14:paraId="4CED1EF6"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The dearth of information received by public patients raises important questions whether their surgery decision was sufficiently individualized or adequately consented. Patient satisfaction is an important health outcome, and understanding both the domains of satisfaction, as well as their relative importance to patients, is necessary to improve the overall quality of patient care.</w:t>
            </w:r>
          </w:p>
        </w:tc>
      </w:tr>
      <w:tr w:rsidR="009273EC" w:rsidRPr="002E0A56" w14:paraId="1F19FE79"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58101D7" w14:textId="77777777" w:rsidR="002E0A56" w:rsidRPr="002E0A56" w:rsidRDefault="002E0A56" w:rsidP="009273EC">
            <w:pPr>
              <w:spacing w:before="0" w:after="0" w:line="240" w:lineRule="auto"/>
              <w:rPr>
                <w:rFonts w:ascii="Calibri" w:eastAsia="Calibri" w:hAnsi="Calibri" w:cs="Times New Roman"/>
                <w:sz w:val="16"/>
                <w:szCs w:val="22"/>
                <w:lang w:val="en-US" w:bidi="en-GB"/>
              </w:rPr>
            </w:pPr>
            <w:proofErr w:type="spellStart"/>
            <w:r w:rsidRPr="002E0A56">
              <w:rPr>
                <w:rFonts w:ascii="Calibri" w:eastAsia="Calibri" w:hAnsi="Calibri" w:cs="Times New Roman"/>
                <w:sz w:val="16"/>
                <w:szCs w:val="22"/>
                <w:lang w:val="en-US" w:bidi="en-GB"/>
              </w:rPr>
              <w:lastRenderedPageBreak/>
              <w:t>Perotin</w:t>
            </w:r>
            <w:proofErr w:type="spellEnd"/>
            <w:r w:rsidRPr="002E0A56">
              <w:rPr>
                <w:rFonts w:ascii="Calibri" w:eastAsia="Calibri" w:hAnsi="Calibri" w:cs="Times New Roman"/>
                <w:sz w:val="16"/>
                <w:szCs w:val="22"/>
                <w:lang w:val="en-US" w:bidi="en-GB"/>
              </w:rPr>
              <w:t xml:space="preserve"> et al. 2013 </w:t>
            </w:r>
          </w:p>
        </w:tc>
        <w:tc>
          <w:tcPr>
            <w:tcW w:w="3466" w:type="dxa"/>
            <w:tcBorders>
              <w:top w:val="single" w:sz="4" w:space="0" w:color="000000"/>
              <w:left w:val="single" w:sz="4" w:space="0" w:color="000000"/>
              <w:bottom w:val="single" w:sz="4" w:space="0" w:color="000000"/>
              <w:right w:val="single" w:sz="4" w:space="0" w:color="000000"/>
            </w:tcBorders>
          </w:tcPr>
          <w:p w14:paraId="31305FF6"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investigate whether hospital ownership has an effect on the level of quality reported by patients in the areas of information and interpersonal care, respect for privacy, dignity, hospitality and delays</w:t>
            </w:r>
          </w:p>
        </w:tc>
        <w:tc>
          <w:tcPr>
            <w:tcW w:w="1456" w:type="dxa"/>
            <w:tcBorders>
              <w:top w:val="single" w:sz="4" w:space="0" w:color="000000"/>
              <w:left w:val="single" w:sz="4" w:space="0" w:color="000000"/>
              <w:bottom w:val="single" w:sz="4" w:space="0" w:color="000000"/>
              <w:right w:val="single" w:sz="4" w:space="0" w:color="000000"/>
            </w:tcBorders>
          </w:tcPr>
          <w:p w14:paraId="27DE257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hospitals</w:t>
            </w:r>
          </w:p>
        </w:tc>
        <w:tc>
          <w:tcPr>
            <w:tcW w:w="3155" w:type="dxa"/>
            <w:tcBorders>
              <w:top w:val="single" w:sz="4" w:space="0" w:color="000000"/>
              <w:left w:val="single" w:sz="4" w:space="0" w:color="000000"/>
              <w:bottom w:val="single" w:sz="4" w:space="0" w:color="000000"/>
              <w:right w:val="single" w:sz="4" w:space="0" w:color="000000"/>
            </w:tcBorders>
          </w:tcPr>
          <w:p w14:paraId="104F98C1"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following discharge from public (NHS) and private (ISTC) facilities from 2007 to 2008 in the UK, who are selected to complete a postal questionnaire. 21 680 cases in NHS hospitals and 16 767 cases in ISTCs (linked to 2007 NHS trust Inpatient Survey and the 2007 and 2008 ISTC Inpatient and Day Case quarterly patient surveys)</w:t>
            </w:r>
          </w:p>
        </w:tc>
        <w:tc>
          <w:tcPr>
            <w:tcW w:w="4095" w:type="dxa"/>
            <w:tcBorders>
              <w:top w:val="single" w:sz="4" w:space="0" w:color="000000"/>
              <w:left w:val="single" w:sz="4" w:space="0" w:color="000000"/>
              <w:bottom w:val="single" w:sz="4" w:space="0" w:color="000000"/>
              <w:right w:val="single" w:sz="4" w:space="0" w:color="000000"/>
            </w:tcBorders>
          </w:tcPr>
          <w:p w14:paraId="58A3CDC6"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ISTCs scored better on the all-round quality and prompt discharge factors, but the analysis revealed a pattern in the data in which some hospitals score higher on the series of questions regarding the information provided to patients and relatively lower on questions regarding comfort while others score more highly on questions regarding comfort and relatively less on information questions. Public sector hospitals were closer to the more information end and private sector ones to the comfort one.</w:t>
            </w:r>
          </w:p>
        </w:tc>
      </w:tr>
      <w:tr w:rsidR="009273EC" w:rsidRPr="002E0A56" w14:paraId="4065D8BD"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43441DC1"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Siciliani et al. 2013 </w:t>
            </w:r>
          </w:p>
        </w:tc>
        <w:tc>
          <w:tcPr>
            <w:tcW w:w="3466" w:type="dxa"/>
            <w:tcBorders>
              <w:top w:val="single" w:sz="4" w:space="0" w:color="000000"/>
              <w:left w:val="single" w:sz="4" w:space="0" w:color="000000"/>
              <w:bottom w:val="single" w:sz="4" w:space="0" w:color="000000"/>
              <w:right w:val="single" w:sz="4" w:space="0" w:color="000000"/>
            </w:tcBorders>
          </w:tcPr>
          <w:p w14:paraId="27365EFD" w14:textId="193AD8EC"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investigate differences in patients’ length of stay between public hospitals, specialized public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and private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that provide elective (non- emergency) hip replacement to publicly funded patients</w:t>
            </w:r>
          </w:p>
        </w:tc>
        <w:tc>
          <w:tcPr>
            <w:tcW w:w="1456" w:type="dxa"/>
            <w:tcBorders>
              <w:top w:val="single" w:sz="4" w:space="0" w:color="000000"/>
              <w:left w:val="single" w:sz="4" w:space="0" w:color="000000"/>
              <w:bottom w:val="single" w:sz="4" w:space="0" w:color="000000"/>
              <w:right w:val="single" w:sz="4" w:space="0" w:color="000000"/>
            </w:tcBorders>
          </w:tcPr>
          <w:p w14:paraId="6BE6DCA2"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Public hospitals compared to specialized public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and private treatment </w:t>
            </w:r>
            <w:proofErr w:type="spellStart"/>
            <w:r w:rsidRPr="002E0A56">
              <w:rPr>
                <w:rFonts w:ascii="Calibri" w:eastAsia="Calibri" w:hAnsi="Calibri" w:cs="Times New Roman"/>
                <w:sz w:val="16"/>
                <w:szCs w:val="22"/>
                <w:lang w:val="en-US" w:bidi="en-GB"/>
              </w:rPr>
              <w:t>centres</w:t>
            </w:r>
            <w:proofErr w:type="spellEnd"/>
          </w:p>
        </w:tc>
        <w:tc>
          <w:tcPr>
            <w:tcW w:w="3155" w:type="dxa"/>
            <w:tcBorders>
              <w:top w:val="single" w:sz="4" w:space="0" w:color="000000"/>
              <w:left w:val="single" w:sz="4" w:space="0" w:color="000000"/>
              <w:bottom w:val="single" w:sz="4" w:space="0" w:color="000000"/>
              <w:right w:val="single" w:sz="4" w:space="0" w:color="000000"/>
            </w:tcBorders>
          </w:tcPr>
          <w:p w14:paraId="12AB330F" w14:textId="7775EAEB"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Patients who received primary hip replacement funded by the English NHS for financial year 2006-2007. (42 948 patients, of which 1 841 were treated at 173 public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and 6 specialized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and 938 by 14 private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w:t>
            </w:r>
          </w:p>
        </w:tc>
        <w:tc>
          <w:tcPr>
            <w:tcW w:w="4095" w:type="dxa"/>
            <w:tcBorders>
              <w:top w:val="single" w:sz="4" w:space="0" w:color="000000"/>
              <w:left w:val="single" w:sz="4" w:space="0" w:color="000000"/>
              <w:bottom w:val="single" w:sz="4" w:space="0" w:color="000000"/>
              <w:right w:val="single" w:sz="4" w:space="0" w:color="000000"/>
            </w:tcBorders>
          </w:tcPr>
          <w:p w14:paraId="4CD271D5"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The specialized public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and private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have, on average, respectively 18% and 40% shorter length of stay compared with NHS public hospitals, even after controlling for differences in age, gender, number and type of diagnoses, deprivation and regional variation.</w:t>
            </w:r>
          </w:p>
        </w:tc>
      </w:tr>
      <w:tr w:rsidR="009273EC" w:rsidRPr="002E0A56" w14:paraId="49FDC70B"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1E3894C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Solborg- Bjerrum et al. 2015 </w:t>
            </w:r>
          </w:p>
        </w:tc>
        <w:tc>
          <w:tcPr>
            <w:tcW w:w="3466" w:type="dxa"/>
            <w:tcBorders>
              <w:top w:val="single" w:sz="4" w:space="0" w:color="000000"/>
              <w:left w:val="single" w:sz="4" w:space="0" w:color="000000"/>
              <w:bottom w:val="single" w:sz="4" w:space="0" w:color="000000"/>
              <w:right w:val="single" w:sz="4" w:space="0" w:color="000000"/>
            </w:tcBorders>
          </w:tcPr>
          <w:p w14:paraId="7BAFEF5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study the epidemiology and mortality in patients who had cataract surgery in public hospitals and private clinics </w:t>
            </w:r>
          </w:p>
        </w:tc>
        <w:tc>
          <w:tcPr>
            <w:tcW w:w="1456" w:type="dxa"/>
            <w:tcBorders>
              <w:top w:val="single" w:sz="4" w:space="0" w:color="000000"/>
              <w:left w:val="single" w:sz="4" w:space="0" w:color="000000"/>
              <w:bottom w:val="single" w:sz="4" w:space="0" w:color="000000"/>
              <w:right w:val="single" w:sz="4" w:space="0" w:color="000000"/>
            </w:tcBorders>
          </w:tcPr>
          <w:p w14:paraId="277D5856"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0EB2A799" w14:textId="77777777" w:rsidR="002E0A56" w:rsidRPr="002E0A56" w:rsidDel="000935B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Cataract Surgery patients in Denmark between 2004 and 2012. 243 856 patients (411 140 cataract operations).</w:t>
            </w:r>
          </w:p>
        </w:tc>
        <w:tc>
          <w:tcPr>
            <w:tcW w:w="4095" w:type="dxa"/>
            <w:tcBorders>
              <w:top w:val="single" w:sz="4" w:space="0" w:color="000000"/>
              <w:left w:val="single" w:sz="4" w:space="0" w:color="000000"/>
              <w:bottom w:val="single" w:sz="4" w:space="0" w:color="000000"/>
              <w:right w:val="single" w:sz="4" w:space="0" w:color="000000"/>
            </w:tcBorders>
          </w:tcPr>
          <w:p w14:paraId="76D44F9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In general, patients who had cataract surgery in private hospitals/clinics were healthier, had first eye cataract surgery at an increasingly younger age and had a reduced time interval between cataract surgeries in the two eyes compared to patients who had cataract surgery in public hospitals. The lack of registration of cataract surgery by the private hospitals/clinics limits the quality of the registries.</w:t>
            </w:r>
          </w:p>
        </w:tc>
      </w:tr>
      <w:tr w:rsidR="009273EC" w:rsidRPr="002E0A56" w14:paraId="1F0C863A" w14:textId="77777777" w:rsidTr="00F131CF">
        <w:trPr>
          <w:trHeight w:val="1637"/>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27C9C897"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Solborg- Bjerrum et al. 2013 </w:t>
            </w:r>
          </w:p>
        </w:tc>
        <w:tc>
          <w:tcPr>
            <w:tcW w:w="3466" w:type="dxa"/>
            <w:tcBorders>
              <w:top w:val="single" w:sz="4" w:space="0" w:color="000000"/>
              <w:left w:val="single" w:sz="4" w:space="0" w:color="000000"/>
              <w:bottom w:val="single" w:sz="4" w:space="0" w:color="000000"/>
              <w:right w:val="single" w:sz="4" w:space="0" w:color="000000"/>
            </w:tcBorders>
          </w:tcPr>
          <w:p w14:paraId="0321094C" w14:textId="5082B735"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compare the risk of postoperative endophthalmitis after cataract surgery at eye departments in public hospitals</w:t>
            </w:r>
          </w:p>
        </w:tc>
        <w:tc>
          <w:tcPr>
            <w:tcW w:w="1456" w:type="dxa"/>
            <w:tcBorders>
              <w:top w:val="single" w:sz="4" w:space="0" w:color="000000"/>
              <w:left w:val="single" w:sz="4" w:space="0" w:color="000000"/>
              <w:bottom w:val="single" w:sz="4" w:space="0" w:color="000000"/>
              <w:right w:val="single" w:sz="4" w:space="0" w:color="000000"/>
            </w:tcBorders>
          </w:tcPr>
          <w:p w14:paraId="256E642E"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1705FBB4" w14:textId="54047C24"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PE cases in cataract surgery patients identified via the National Public Registry in Denmark between 2002 and 2010 (107 701 registered operations).</w:t>
            </w:r>
          </w:p>
        </w:tc>
        <w:tc>
          <w:tcPr>
            <w:tcW w:w="4095" w:type="dxa"/>
            <w:tcBorders>
              <w:top w:val="single" w:sz="4" w:space="0" w:color="000000"/>
              <w:left w:val="single" w:sz="4" w:space="0" w:color="000000"/>
              <w:bottom w:val="single" w:sz="4" w:space="0" w:color="000000"/>
              <w:right w:val="single" w:sz="4" w:space="0" w:color="000000"/>
            </w:tcBorders>
          </w:tcPr>
          <w:p w14:paraId="5B95DB57" w14:textId="1DFE3F16"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A few private hospitals/eye clinics had a statistically significantly higher </w:t>
            </w:r>
            <w:r w:rsidR="00D15C28" w:rsidRPr="00D15C28">
              <w:rPr>
                <w:rFonts w:ascii="Calibri" w:eastAsia="Calibri" w:hAnsi="Calibri" w:cs="Times New Roman"/>
                <w:sz w:val="16"/>
                <w:szCs w:val="22"/>
                <w:lang w:val="en-US" w:bidi="en-GB"/>
              </w:rPr>
              <w:t>postoperative endophthalmitis</w:t>
            </w:r>
            <w:r w:rsidRPr="002E0A56">
              <w:rPr>
                <w:rFonts w:ascii="Calibri" w:eastAsia="Calibri" w:hAnsi="Calibri" w:cs="Times New Roman"/>
                <w:sz w:val="16"/>
                <w:szCs w:val="22"/>
                <w:lang w:val="en-US" w:bidi="en-GB"/>
              </w:rPr>
              <w:t xml:space="preserve"> risk than the </w:t>
            </w:r>
            <w:r w:rsidR="00D15C28" w:rsidRPr="00D15C28">
              <w:rPr>
                <w:rFonts w:ascii="Calibri" w:eastAsia="Calibri" w:hAnsi="Calibri" w:cs="Times New Roman"/>
                <w:sz w:val="16"/>
                <w:szCs w:val="22"/>
                <w:lang w:val="en-US" w:bidi="en-GB"/>
              </w:rPr>
              <w:t>postoperative endophthalmitis</w:t>
            </w:r>
            <w:r w:rsidRPr="002E0A56">
              <w:rPr>
                <w:rFonts w:ascii="Calibri" w:eastAsia="Calibri" w:hAnsi="Calibri" w:cs="Times New Roman"/>
                <w:sz w:val="16"/>
                <w:szCs w:val="22"/>
                <w:lang w:val="en-US" w:bidi="en-GB"/>
              </w:rPr>
              <w:t xml:space="preserve"> risk at the eye departments in public hospitals. The lack of registration with the </w:t>
            </w:r>
            <w:r w:rsidR="00D15C28" w:rsidRPr="00D15C28">
              <w:rPr>
                <w:rFonts w:ascii="Calibri" w:eastAsia="Calibri" w:hAnsi="Calibri" w:cs="Times New Roman"/>
                <w:sz w:val="16"/>
                <w:szCs w:val="22"/>
                <w:lang w:val="en-US" w:bidi="en-GB"/>
              </w:rPr>
              <w:t xml:space="preserve">National Public Registry </w:t>
            </w:r>
            <w:r w:rsidRPr="002E0A56">
              <w:rPr>
                <w:rFonts w:ascii="Calibri" w:eastAsia="Calibri" w:hAnsi="Calibri" w:cs="Times New Roman"/>
                <w:sz w:val="16"/>
                <w:szCs w:val="22"/>
                <w:lang w:val="en-US" w:bidi="en-GB"/>
              </w:rPr>
              <w:t>by the private hospitals/eye clinics suggests that better monitoring of cataract surgery is needed in Denmark to reduce risk and to improve quality.</w:t>
            </w:r>
          </w:p>
        </w:tc>
      </w:tr>
      <w:tr w:rsidR="009273EC" w:rsidRPr="002E0A56" w14:paraId="0BA6FE29" w14:textId="77777777" w:rsidTr="00F131CF">
        <w:trPr>
          <w:trHeight w:val="1093"/>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3E862EF2"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Street et al. 2010</w:t>
            </w:r>
          </w:p>
        </w:tc>
        <w:tc>
          <w:tcPr>
            <w:tcW w:w="3466" w:type="dxa"/>
            <w:tcBorders>
              <w:top w:val="single" w:sz="4" w:space="0" w:color="000000"/>
              <w:left w:val="single" w:sz="4" w:space="0" w:color="000000"/>
              <w:bottom w:val="single" w:sz="4" w:space="0" w:color="000000"/>
              <w:right w:val="single" w:sz="4" w:space="0" w:color="000000"/>
            </w:tcBorders>
          </w:tcPr>
          <w:p w14:paraId="3CC3C584" w14:textId="548C8DB9"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assess the characteristics of patients treated in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and hospitals using the hospital episode statistics (HES) for 2006/7</w:t>
            </w:r>
          </w:p>
        </w:tc>
        <w:tc>
          <w:tcPr>
            <w:tcW w:w="1456" w:type="dxa"/>
            <w:tcBorders>
              <w:top w:val="single" w:sz="4" w:space="0" w:color="000000"/>
              <w:left w:val="single" w:sz="4" w:space="0" w:color="000000"/>
              <w:bottom w:val="single" w:sz="4" w:space="0" w:color="000000"/>
              <w:right w:val="single" w:sz="4" w:space="0" w:color="000000"/>
            </w:tcBorders>
          </w:tcPr>
          <w:p w14:paraId="3D7D3D5C"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Hospitals compared with private treatment </w:t>
            </w:r>
            <w:proofErr w:type="spellStart"/>
            <w:r w:rsidRPr="002E0A56">
              <w:rPr>
                <w:rFonts w:ascii="Calibri" w:eastAsia="Calibri" w:hAnsi="Calibri" w:cs="Times New Roman"/>
                <w:sz w:val="16"/>
                <w:szCs w:val="22"/>
                <w:lang w:val="en-US" w:bidi="en-GB"/>
              </w:rPr>
              <w:t>centres</w:t>
            </w:r>
            <w:proofErr w:type="spellEnd"/>
          </w:p>
        </w:tc>
        <w:tc>
          <w:tcPr>
            <w:tcW w:w="3155" w:type="dxa"/>
            <w:tcBorders>
              <w:top w:val="single" w:sz="4" w:space="0" w:color="000000"/>
              <w:left w:val="single" w:sz="4" w:space="0" w:color="000000"/>
              <w:bottom w:val="single" w:sz="4" w:space="0" w:color="000000"/>
              <w:right w:val="single" w:sz="4" w:space="0" w:color="000000"/>
            </w:tcBorders>
          </w:tcPr>
          <w:p w14:paraId="08A7B530"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Patients receiving care for one of several defined healthcare resource groups (including hip and knee replacements) in the UK in financial year 2006/07. A total of 3 334 535 patients are included in the analysis, of which 77 358 (2.3%) were treated in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w:t>
            </w:r>
          </w:p>
        </w:tc>
        <w:tc>
          <w:tcPr>
            <w:tcW w:w="4095" w:type="dxa"/>
            <w:tcBorders>
              <w:top w:val="single" w:sz="4" w:space="0" w:color="000000"/>
              <w:left w:val="single" w:sz="4" w:space="0" w:color="000000"/>
              <w:bottom w:val="single" w:sz="4" w:space="0" w:color="000000"/>
              <w:right w:val="single" w:sz="4" w:space="0" w:color="000000"/>
            </w:tcBorders>
          </w:tcPr>
          <w:p w14:paraId="24DE9FD9"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Patients treated in NHS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tended to have significantly more diagnostic and procedure codes than those treated in private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w:t>
            </w:r>
          </w:p>
        </w:tc>
      </w:tr>
      <w:tr w:rsidR="009273EC" w:rsidRPr="002E0A56" w14:paraId="447148D4" w14:textId="77777777" w:rsidTr="00F131CF">
        <w:trPr>
          <w:trHeight w:val="1093"/>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20711275"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Tulp et al. 2020</w:t>
            </w:r>
          </w:p>
        </w:tc>
        <w:tc>
          <w:tcPr>
            <w:tcW w:w="3466" w:type="dxa"/>
            <w:tcBorders>
              <w:top w:val="single" w:sz="4" w:space="0" w:color="000000"/>
              <w:left w:val="single" w:sz="4" w:space="0" w:color="000000"/>
              <w:bottom w:val="single" w:sz="4" w:space="0" w:color="000000"/>
              <w:right w:val="single" w:sz="4" w:space="0" w:color="000000"/>
            </w:tcBorders>
          </w:tcPr>
          <w:p w14:paraId="2CDDE8BF" w14:textId="57E69BF8"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To examine if independent treatment </w:t>
            </w:r>
            <w:proofErr w:type="spellStart"/>
            <w:r w:rsidRPr="002E0A56">
              <w:rPr>
                <w:rFonts w:ascii="Calibri" w:eastAsia="Calibri" w:hAnsi="Calibri" w:cs="Times New Roman"/>
                <w:sz w:val="16"/>
                <w:szCs w:val="22"/>
                <w:lang w:val="en-US" w:bidi="en-GB"/>
              </w:rPr>
              <w:t>centre</w:t>
            </w:r>
            <w:proofErr w:type="spellEnd"/>
            <w:r w:rsidRPr="002E0A56">
              <w:rPr>
                <w:rFonts w:ascii="Calibri" w:eastAsia="Calibri" w:hAnsi="Calibri" w:cs="Times New Roman"/>
                <w:sz w:val="16"/>
                <w:szCs w:val="22"/>
                <w:lang w:val="en-US" w:bidi="en-GB"/>
              </w:rPr>
              <w:t xml:space="preserve"> care outperforms general hospital care within the regulated competition system in Netherlands, by focusing on differences in healthcare quality and price</w:t>
            </w:r>
          </w:p>
        </w:tc>
        <w:tc>
          <w:tcPr>
            <w:tcW w:w="1456" w:type="dxa"/>
            <w:tcBorders>
              <w:top w:val="single" w:sz="4" w:space="0" w:color="000000"/>
              <w:left w:val="single" w:sz="4" w:space="0" w:color="000000"/>
              <w:bottom w:val="single" w:sz="4" w:space="0" w:color="000000"/>
              <w:right w:val="single" w:sz="4" w:space="0" w:color="000000"/>
            </w:tcBorders>
          </w:tcPr>
          <w:p w14:paraId="5836C3D9"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 xml:space="preserve">Independent treatment </w:t>
            </w:r>
            <w:proofErr w:type="spellStart"/>
            <w:r w:rsidRPr="002E0A56">
              <w:rPr>
                <w:rFonts w:ascii="Calibri" w:eastAsia="Calibri" w:hAnsi="Calibri" w:cs="Times New Roman"/>
                <w:sz w:val="16"/>
                <w:szCs w:val="22"/>
                <w:lang w:val="en-US" w:bidi="en-GB"/>
              </w:rPr>
              <w:t>centres</w:t>
            </w:r>
            <w:proofErr w:type="spellEnd"/>
            <w:r w:rsidRPr="002E0A56">
              <w:rPr>
                <w:rFonts w:ascii="Calibri" w:eastAsia="Calibri" w:hAnsi="Calibri" w:cs="Times New Roman"/>
                <w:sz w:val="16"/>
                <w:szCs w:val="22"/>
                <w:lang w:val="en-US" w:bidi="en-GB"/>
              </w:rPr>
              <w:t xml:space="preserve"> compared with general hospitals</w:t>
            </w:r>
          </w:p>
        </w:tc>
        <w:tc>
          <w:tcPr>
            <w:tcW w:w="3155" w:type="dxa"/>
            <w:tcBorders>
              <w:top w:val="single" w:sz="4" w:space="0" w:color="000000"/>
              <w:left w:val="single" w:sz="4" w:space="0" w:color="000000"/>
              <w:bottom w:val="single" w:sz="4" w:space="0" w:color="000000"/>
              <w:right w:val="single" w:sz="4" w:space="0" w:color="000000"/>
            </w:tcBorders>
          </w:tcPr>
          <w:p w14:paraId="48043B37" w14:textId="1FB0DA91"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Patients who had anterior cruciate ligament surgery, cataract surgery, total hip replacement, total knee replacement, and carpal tunnel syndrome surgery in Dutch hospitals and I</w:t>
            </w:r>
            <w:r w:rsidR="00D15C28">
              <w:rPr>
                <w:rFonts w:ascii="Calibri" w:eastAsia="Calibri" w:hAnsi="Calibri" w:cs="Times New Roman"/>
                <w:sz w:val="16"/>
                <w:szCs w:val="22"/>
                <w:lang w:val="en-US" w:bidi="en-GB"/>
              </w:rPr>
              <w:t>S</w:t>
            </w:r>
            <w:r w:rsidRPr="002E0A56">
              <w:rPr>
                <w:rFonts w:ascii="Calibri" w:eastAsia="Calibri" w:hAnsi="Calibri" w:cs="Times New Roman"/>
                <w:sz w:val="16"/>
                <w:szCs w:val="22"/>
                <w:lang w:val="en-US" w:bidi="en-GB"/>
              </w:rPr>
              <w:t xml:space="preserve">TCs in 2017. </w:t>
            </w:r>
          </w:p>
        </w:tc>
        <w:tc>
          <w:tcPr>
            <w:tcW w:w="4095" w:type="dxa"/>
            <w:tcBorders>
              <w:top w:val="single" w:sz="4" w:space="0" w:color="000000"/>
              <w:left w:val="single" w:sz="4" w:space="0" w:color="000000"/>
              <w:bottom w:val="single" w:sz="4" w:space="0" w:color="000000"/>
              <w:right w:val="single" w:sz="4" w:space="0" w:color="000000"/>
            </w:tcBorders>
          </w:tcPr>
          <w:p w14:paraId="65608F96" w14:textId="3D9D4633"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I</w:t>
            </w:r>
            <w:r w:rsidR="00D15C28">
              <w:rPr>
                <w:rFonts w:ascii="Calibri" w:eastAsia="Calibri" w:hAnsi="Calibri" w:cs="Times New Roman"/>
                <w:sz w:val="16"/>
                <w:szCs w:val="22"/>
                <w:lang w:val="en-US" w:bidi="en-GB"/>
              </w:rPr>
              <w:t>S</w:t>
            </w:r>
            <w:r w:rsidRPr="002E0A56">
              <w:rPr>
                <w:rFonts w:ascii="Calibri" w:eastAsia="Calibri" w:hAnsi="Calibri" w:cs="Times New Roman"/>
                <w:sz w:val="16"/>
                <w:szCs w:val="22"/>
                <w:lang w:val="en-US" w:bidi="en-GB"/>
              </w:rPr>
              <w:t xml:space="preserve">TCs do not seem to deliver higher quality of care compared to general hospitals. </w:t>
            </w:r>
          </w:p>
        </w:tc>
      </w:tr>
      <w:tr w:rsidR="009273EC" w:rsidRPr="002E0A56" w14:paraId="4DA012A3" w14:textId="77777777" w:rsidTr="00F131CF">
        <w:trPr>
          <w:trHeight w:val="488"/>
        </w:trPr>
        <w:tc>
          <w:tcPr>
            <w:tcW w:w="778" w:type="dxa"/>
            <w:tcBorders>
              <w:top w:val="single" w:sz="4" w:space="0" w:color="000000"/>
              <w:left w:val="single" w:sz="4" w:space="0" w:color="000000"/>
              <w:bottom w:val="single" w:sz="4" w:space="0" w:color="000000"/>
              <w:right w:val="single" w:sz="4" w:space="0" w:color="000000"/>
            </w:tcBorders>
            <w:shd w:val="clear" w:color="auto" w:fill="F1F1F1"/>
          </w:tcPr>
          <w:p w14:paraId="4903D6F7" w14:textId="77777777" w:rsidR="002E0A56" w:rsidRPr="002E0A56" w:rsidRDefault="002E0A56" w:rsidP="009273EC">
            <w:pPr>
              <w:spacing w:before="0" w:after="0" w:line="240" w:lineRule="auto"/>
              <w:rPr>
                <w:rFonts w:ascii="Calibri" w:eastAsia="Calibri" w:hAnsi="Calibri" w:cs="Times New Roman"/>
                <w:sz w:val="16"/>
                <w:szCs w:val="22"/>
                <w:lang w:val="en-US" w:bidi="en-GB"/>
              </w:rPr>
            </w:pPr>
            <w:proofErr w:type="spellStart"/>
            <w:r w:rsidRPr="002E0A56">
              <w:rPr>
                <w:rFonts w:ascii="Calibri" w:eastAsia="Calibri" w:hAnsi="Calibri" w:cs="Times New Roman"/>
                <w:sz w:val="16"/>
                <w:szCs w:val="22"/>
                <w:lang w:val="en-US" w:bidi="en-GB"/>
              </w:rPr>
              <w:lastRenderedPageBreak/>
              <w:t>Vanhegan</w:t>
            </w:r>
            <w:proofErr w:type="spellEnd"/>
            <w:r w:rsidRPr="002E0A56">
              <w:rPr>
                <w:rFonts w:ascii="Calibri" w:eastAsia="Calibri" w:hAnsi="Calibri" w:cs="Times New Roman"/>
                <w:sz w:val="16"/>
                <w:szCs w:val="22"/>
                <w:lang w:val="en-US" w:bidi="en-GB"/>
              </w:rPr>
              <w:t xml:space="preserve"> et al. 2015 </w:t>
            </w:r>
          </w:p>
        </w:tc>
        <w:tc>
          <w:tcPr>
            <w:tcW w:w="3466" w:type="dxa"/>
            <w:tcBorders>
              <w:top w:val="single" w:sz="4" w:space="0" w:color="000000"/>
              <w:left w:val="single" w:sz="4" w:space="0" w:color="000000"/>
              <w:bottom w:val="single" w:sz="4" w:space="0" w:color="000000"/>
              <w:right w:val="single" w:sz="4" w:space="0" w:color="000000"/>
            </w:tcBorders>
          </w:tcPr>
          <w:p w14:paraId="335A956D"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To investigate the effect on productivity of operating theatres (individual surgeons) working in the ISTCs compared with those working in the Acute Hospital Trust</w:t>
            </w:r>
          </w:p>
        </w:tc>
        <w:tc>
          <w:tcPr>
            <w:tcW w:w="1456" w:type="dxa"/>
            <w:tcBorders>
              <w:top w:val="single" w:sz="4" w:space="0" w:color="000000"/>
              <w:left w:val="single" w:sz="4" w:space="0" w:color="000000"/>
              <w:bottom w:val="single" w:sz="4" w:space="0" w:color="000000"/>
              <w:right w:val="single" w:sz="4" w:space="0" w:color="000000"/>
            </w:tcBorders>
          </w:tcPr>
          <w:p w14:paraId="35234C51"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Public compared with private facilities</w:t>
            </w:r>
          </w:p>
        </w:tc>
        <w:tc>
          <w:tcPr>
            <w:tcW w:w="3155" w:type="dxa"/>
            <w:tcBorders>
              <w:top w:val="single" w:sz="4" w:space="0" w:color="000000"/>
              <w:left w:val="single" w:sz="4" w:space="0" w:color="000000"/>
              <w:bottom w:val="single" w:sz="4" w:space="0" w:color="000000"/>
              <w:right w:val="single" w:sz="4" w:space="0" w:color="000000"/>
            </w:tcBorders>
          </w:tcPr>
          <w:p w14:paraId="26339179"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Orthopedic surgery patients whose provider held contracts at both a public facility in 2011 and a private facility in 2012. Events from May-July for both years were included. 66 surgeries in 2011, 32 in 2012.</w:t>
            </w:r>
          </w:p>
        </w:tc>
        <w:tc>
          <w:tcPr>
            <w:tcW w:w="4095" w:type="dxa"/>
            <w:tcBorders>
              <w:top w:val="single" w:sz="4" w:space="0" w:color="000000"/>
              <w:left w:val="single" w:sz="4" w:space="0" w:color="000000"/>
              <w:bottom w:val="single" w:sz="4" w:space="0" w:color="000000"/>
              <w:right w:val="single" w:sz="4" w:space="0" w:color="000000"/>
            </w:tcBorders>
          </w:tcPr>
          <w:p w14:paraId="2360A4D4" w14:textId="77777777" w:rsidR="002E0A56" w:rsidRPr="002E0A56" w:rsidRDefault="002E0A56" w:rsidP="009273EC">
            <w:pPr>
              <w:spacing w:before="0" w:after="0" w:line="240" w:lineRule="auto"/>
              <w:rPr>
                <w:rFonts w:ascii="Calibri" w:eastAsia="Calibri" w:hAnsi="Calibri" w:cs="Times New Roman"/>
                <w:sz w:val="16"/>
                <w:szCs w:val="22"/>
                <w:lang w:val="en-US" w:bidi="en-GB"/>
              </w:rPr>
            </w:pPr>
            <w:r w:rsidRPr="002E0A56">
              <w:rPr>
                <w:rFonts w:ascii="Calibri" w:eastAsia="Calibri" w:hAnsi="Calibri" w:cs="Times New Roman"/>
                <w:sz w:val="16"/>
                <w:szCs w:val="22"/>
                <w:lang w:val="en-US" w:bidi="en-GB"/>
              </w:rPr>
              <w:t>Implementation of the ISTC was detrimental to departmental efficiency, with &lt;50% of the number of patients being treated and a marked reduction in financial productivity.</w:t>
            </w:r>
          </w:p>
        </w:tc>
      </w:tr>
    </w:tbl>
    <w:p w14:paraId="6327D2D8" w14:textId="1CA8BB6C" w:rsidR="00412509" w:rsidRPr="008A2ED7" w:rsidRDefault="008A2ED7" w:rsidP="008A2ED7">
      <w:pPr>
        <w:rPr>
          <w:lang w:val="en-US"/>
        </w:rPr>
      </w:pPr>
      <w:r w:rsidRPr="008A2ED7">
        <w:rPr>
          <w:lang w:val="en-US"/>
        </w:rPr>
        <w:t>Only primary studies are included in the ta</w:t>
      </w:r>
      <w:r w:rsidR="00DA69D1">
        <w:rPr>
          <w:lang w:val="en-US"/>
        </w:rPr>
        <w:t>ble</w:t>
      </w:r>
      <w:r w:rsidRPr="008A2ED7">
        <w:rPr>
          <w:lang w:val="en-US"/>
        </w:rPr>
        <w:t xml:space="preserve">. Study size, location, and dates are included in the population column. Acronyms: ISTCs: </w:t>
      </w:r>
      <w:r w:rsidR="00A42396">
        <w:rPr>
          <w:lang w:val="en-US"/>
        </w:rPr>
        <w:t>I</w:t>
      </w:r>
      <w:r w:rsidRPr="008A2ED7">
        <w:rPr>
          <w:lang w:val="en-US"/>
        </w:rPr>
        <w:t xml:space="preserve">ndependent </w:t>
      </w:r>
      <w:r w:rsidR="00A42396">
        <w:rPr>
          <w:lang w:val="en-US"/>
        </w:rPr>
        <w:t>S</w:t>
      </w:r>
      <w:r w:rsidRPr="008A2ED7">
        <w:rPr>
          <w:lang w:val="en-US"/>
        </w:rPr>
        <w:t xml:space="preserve">ector </w:t>
      </w:r>
      <w:r w:rsidR="00A42396">
        <w:rPr>
          <w:lang w:val="en-US"/>
        </w:rPr>
        <w:t>T</w:t>
      </w:r>
      <w:r w:rsidRPr="008A2ED7">
        <w:rPr>
          <w:lang w:val="en-US"/>
        </w:rPr>
        <w:t xml:space="preserve">reatment </w:t>
      </w:r>
      <w:proofErr w:type="spellStart"/>
      <w:r w:rsidR="00A42396">
        <w:rPr>
          <w:lang w:val="en-US"/>
        </w:rPr>
        <w:t>C</w:t>
      </w:r>
      <w:r w:rsidRPr="008A2ED7">
        <w:rPr>
          <w:lang w:val="en-US"/>
        </w:rPr>
        <w:t>entres</w:t>
      </w:r>
      <w:proofErr w:type="spellEnd"/>
      <w:r w:rsidRPr="008A2ED7">
        <w:rPr>
          <w:lang w:val="en-US"/>
        </w:rPr>
        <w:t xml:space="preserve">, </w:t>
      </w:r>
      <w:r w:rsidR="00835B51">
        <w:rPr>
          <w:lang w:val="en-US"/>
        </w:rPr>
        <w:t>NHS: National Health Service</w:t>
      </w:r>
    </w:p>
    <w:sectPr w:rsidR="00412509" w:rsidRPr="008A2ED7" w:rsidSect="0041250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B3B8E" w14:textId="77777777" w:rsidR="00245553" w:rsidRDefault="00245553" w:rsidP="00EF3363">
      <w:r>
        <w:separator/>
      </w:r>
    </w:p>
  </w:endnote>
  <w:endnote w:type="continuationSeparator" w:id="0">
    <w:p w14:paraId="62AF3702" w14:textId="77777777" w:rsidR="00245553" w:rsidRDefault="00245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45713" w14:textId="77777777" w:rsidR="00245553" w:rsidRDefault="00245553" w:rsidP="00F717DD">
      <w:r>
        <w:separator/>
      </w:r>
    </w:p>
  </w:footnote>
  <w:footnote w:type="continuationSeparator" w:id="0">
    <w:p w14:paraId="3E7AB9C1" w14:textId="77777777" w:rsidR="00245553" w:rsidRDefault="00245553" w:rsidP="00F717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C431E"/>
    <w:multiLevelType w:val="multilevel"/>
    <w:tmpl w:val="88967B42"/>
    <w:lvl w:ilvl="0">
      <w:start w:val="2"/>
      <w:numFmt w:val="decimal"/>
      <w:lvlText w:val="%1."/>
      <w:lvlJc w:val="left"/>
      <w:pPr>
        <w:ind w:left="54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 w15:restartNumberingAfterBreak="0">
    <w:nsid w:val="05720478"/>
    <w:multiLevelType w:val="multilevel"/>
    <w:tmpl w:val="96744E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F352955"/>
    <w:multiLevelType w:val="multilevel"/>
    <w:tmpl w:val="96744E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7507F3D"/>
    <w:multiLevelType w:val="hybridMultilevel"/>
    <w:tmpl w:val="33247DDE"/>
    <w:lvl w:ilvl="0" w:tplc="1818A5D4">
      <w:numFmt w:val="bullet"/>
      <w:lvlText w:val=""/>
      <w:lvlJc w:val="left"/>
      <w:pPr>
        <w:ind w:left="840" w:hanging="360"/>
      </w:pPr>
      <w:rPr>
        <w:rFonts w:ascii="Symbol" w:eastAsia="Symbol" w:hAnsi="Symbol" w:cs="Symbol" w:hint="default"/>
        <w:w w:val="100"/>
        <w:sz w:val="24"/>
        <w:szCs w:val="24"/>
        <w:lang w:val="en-GB" w:eastAsia="en-GB" w:bidi="en-GB"/>
      </w:rPr>
    </w:lvl>
    <w:lvl w:ilvl="1" w:tplc="68842CC6">
      <w:numFmt w:val="bullet"/>
      <w:lvlText w:val="•"/>
      <w:lvlJc w:val="left"/>
      <w:pPr>
        <w:ind w:left="1716" w:hanging="360"/>
      </w:pPr>
      <w:rPr>
        <w:rFonts w:hint="default"/>
        <w:lang w:val="en-GB" w:eastAsia="en-GB" w:bidi="en-GB"/>
      </w:rPr>
    </w:lvl>
    <w:lvl w:ilvl="2" w:tplc="235CD67E">
      <w:numFmt w:val="bullet"/>
      <w:lvlText w:val="•"/>
      <w:lvlJc w:val="left"/>
      <w:pPr>
        <w:ind w:left="2592" w:hanging="360"/>
      </w:pPr>
      <w:rPr>
        <w:rFonts w:hint="default"/>
        <w:lang w:val="en-GB" w:eastAsia="en-GB" w:bidi="en-GB"/>
      </w:rPr>
    </w:lvl>
    <w:lvl w:ilvl="3" w:tplc="5EE63422">
      <w:numFmt w:val="bullet"/>
      <w:lvlText w:val="•"/>
      <w:lvlJc w:val="left"/>
      <w:pPr>
        <w:ind w:left="3468" w:hanging="360"/>
      </w:pPr>
      <w:rPr>
        <w:rFonts w:hint="default"/>
        <w:lang w:val="en-GB" w:eastAsia="en-GB" w:bidi="en-GB"/>
      </w:rPr>
    </w:lvl>
    <w:lvl w:ilvl="4" w:tplc="4C40A04E">
      <w:numFmt w:val="bullet"/>
      <w:lvlText w:val="•"/>
      <w:lvlJc w:val="left"/>
      <w:pPr>
        <w:ind w:left="4344" w:hanging="360"/>
      </w:pPr>
      <w:rPr>
        <w:rFonts w:hint="default"/>
        <w:lang w:val="en-GB" w:eastAsia="en-GB" w:bidi="en-GB"/>
      </w:rPr>
    </w:lvl>
    <w:lvl w:ilvl="5" w:tplc="4122097A">
      <w:numFmt w:val="bullet"/>
      <w:lvlText w:val="•"/>
      <w:lvlJc w:val="left"/>
      <w:pPr>
        <w:ind w:left="5220" w:hanging="360"/>
      </w:pPr>
      <w:rPr>
        <w:rFonts w:hint="default"/>
        <w:lang w:val="en-GB" w:eastAsia="en-GB" w:bidi="en-GB"/>
      </w:rPr>
    </w:lvl>
    <w:lvl w:ilvl="6" w:tplc="09346FA6">
      <w:numFmt w:val="bullet"/>
      <w:lvlText w:val="•"/>
      <w:lvlJc w:val="left"/>
      <w:pPr>
        <w:ind w:left="6096" w:hanging="360"/>
      </w:pPr>
      <w:rPr>
        <w:rFonts w:hint="default"/>
        <w:lang w:val="en-GB" w:eastAsia="en-GB" w:bidi="en-GB"/>
      </w:rPr>
    </w:lvl>
    <w:lvl w:ilvl="7" w:tplc="C644DC58">
      <w:numFmt w:val="bullet"/>
      <w:lvlText w:val="•"/>
      <w:lvlJc w:val="left"/>
      <w:pPr>
        <w:ind w:left="6972" w:hanging="360"/>
      </w:pPr>
      <w:rPr>
        <w:rFonts w:hint="default"/>
        <w:lang w:val="en-GB" w:eastAsia="en-GB" w:bidi="en-GB"/>
      </w:rPr>
    </w:lvl>
    <w:lvl w:ilvl="8" w:tplc="B29C98DE">
      <w:numFmt w:val="bullet"/>
      <w:lvlText w:val="•"/>
      <w:lvlJc w:val="left"/>
      <w:pPr>
        <w:ind w:left="7848" w:hanging="360"/>
      </w:pPr>
      <w:rPr>
        <w:rFonts w:hint="default"/>
        <w:lang w:val="en-GB" w:eastAsia="en-GB" w:bidi="en-GB"/>
      </w:rPr>
    </w:lvl>
  </w:abstractNum>
  <w:abstractNum w:abstractNumId="4" w15:restartNumberingAfterBreak="0">
    <w:nsid w:val="1F6A5589"/>
    <w:multiLevelType w:val="hybridMultilevel"/>
    <w:tmpl w:val="8E2CC2DA"/>
    <w:lvl w:ilvl="0" w:tplc="0FA691FA">
      <w:start w:val="3"/>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5B32A6"/>
    <w:multiLevelType w:val="hybridMultilevel"/>
    <w:tmpl w:val="86A02032"/>
    <w:lvl w:ilvl="0" w:tplc="A544B6A4">
      <w:start w:val="10"/>
      <w:numFmt w:val="decimal"/>
      <w:lvlText w:val="%1"/>
      <w:lvlJc w:val="left"/>
      <w:pPr>
        <w:ind w:left="828" w:hanging="720"/>
      </w:pPr>
      <w:rPr>
        <w:rFonts w:asciiTheme="minorHAnsi" w:eastAsia="Arial" w:hAnsiTheme="minorHAnsi" w:cstheme="minorHAnsi" w:hint="default"/>
        <w:w w:val="99"/>
        <w:sz w:val="20"/>
        <w:szCs w:val="20"/>
        <w:lang w:val="en-GB" w:eastAsia="en-GB" w:bidi="en-GB"/>
      </w:rPr>
    </w:lvl>
    <w:lvl w:ilvl="1" w:tplc="A5A68312">
      <w:numFmt w:val="bullet"/>
      <w:lvlText w:val="•"/>
      <w:lvlJc w:val="left"/>
      <w:pPr>
        <w:ind w:left="1408" w:hanging="720"/>
      </w:pPr>
      <w:rPr>
        <w:rFonts w:hint="default"/>
        <w:lang w:val="en-GB" w:eastAsia="en-GB" w:bidi="en-GB"/>
      </w:rPr>
    </w:lvl>
    <w:lvl w:ilvl="2" w:tplc="E4868D22">
      <w:numFmt w:val="bullet"/>
      <w:lvlText w:val="•"/>
      <w:lvlJc w:val="left"/>
      <w:pPr>
        <w:ind w:left="1997" w:hanging="720"/>
      </w:pPr>
      <w:rPr>
        <w:rFonts w:hint="default"/>
        <w:lang w:val="en-GB" w:eastAsia="en-GB" w:bidi="en-GB"/>
      </w:rPr>
    </w:lvl>
    <w:lvl w:ilvl="3" w:tplc="EF3C647C">
      <w:numFmt w:val="bullet"/>
      <w:lvlText w:val="•"/>
      <w:lvlJc w:val="left"/>
      <w:pPr>
        <w:ind w:left="2585" w:hanging="720"/>
      </w:pPr>
      <w:rPr>
        <w:rFonts w:hint="default"/>
        <w:lang w:val="en-GB" w:eastAsia="en-GB" w:bidi="en-GB"/>
      </w:rPr>
    </w:lvl>
    <w:lvl w:ilvl="4" w:tplc="631A39D0">
      <w:numFmt w:val="bullet"/>
      <w:lvlText w:val="•"/>
      <w:lvlJc w:val="left"/>
      <w:pPr>
        <w:ind w:left="3174" w:hanging="720"/>
      </w:pPr>
      <w:rPr>
        <w:rFonts w:hint="default"/>
        <w:lang w:val="en-GB" w:eastAsia="en-GB" w:bidi="en-GB"/>
      </w:rPr>
    </w:lvl>
    <w:lvl w:ilvl="5" w:tplc="651662C0">
      <w:numFmt w:val="bullet"/>
      <w:lvlText w:val="•"/>
      <w:lvlJc w:val="left"/>
      <w:pPr>
        <w:ind w:left="3763" w:hanging="720"/>
      </w:pPr>
      <w:rPr>
        <w:rFonts w:hint="default"/>
        <w:lang w:val="en-GB" w:eastAsia="en-GB" w:bidi="en-GB"/>
      </w:rPr>
    </w:lvl>
    <w:lvl w:ilvl="6" w:tplc="CF5ED55C">
      <w:numFmt w:val="bullet"/>
      <w:lvlText w:val="•"/>
      <w:lvlJc w:val="left"/>
      <w:pPr>
        <w:ind w:left="4351" w:hanging="720"/>
      </w:pPr>
      <w:rPr>
        <w:rFonts w:hint="default"/>
        <w:lang w:val="en-GB" w:eastAsia="en-GB" w:bidi="en-GB"/>
      </w:rPr>
    </w:lvl>
    <w:lvl w:ilvl="7" w:tplc="CBC85982">
      <w:numFmt w:val="bullet"/>
      <w:lvlText w:val="•"/>
      <w:lvlJc w:val="left"/>
      <w:pPr>
        <w:ind w:left="4940" w:hanging="720"/>
      </w:pPr>
      <w:rPr>
        <w:rFonts w:hint="default"/>
        <w:lang w:val="en-GB" w:eastAsia="en-GB" w:bidi="en-GB"/>
      </w:rPr>
    </w:lvl>
    <w:lvl w:ilvl="8" w:tplc="662AAE64">
      <w:numFmt w:val="bullet"/>
      <w:lvlText w:val="•"/>
      <w:lvlJc w:val="left"/>
      <w:pPr>
        <w:ind w:left="5528" w:hanging="720"/>
      </w:pPr>
      <w:rPr>
        <w:rFonts w:hint="default"/>
        <w:lang w:val="en-GB" w:eastAsia="en-GB" w:bidi="en-GB"/>
      </w:rPr>
    </w:lvl>
  </w:abstractNum>
  <w:abstractNum w:abstractNumId="6" w15:restartNumberingAfterBreak="0">
    <w:nsid w:val="293C1D37"/>
    <w:multiLevelType w:val="hybridMultilevel"/>
    <w:tmpl w:val="EC063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B25C12"/>
    <w:multiLevelType w:val="multilevel"/>
    <w:tmpl w:val="EB2C7790"/>
    <w:lvl w:ilvl="0">
      <w:start w:val="1"/>
      <w:numFmt w:val="decimal"/>
      <w:lvlText w:val="%1."/>
      <w:lvlJc w:val="left"/>
      <w:pPr>
        <w:ind w:left="54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8" w15:restartNumberingAfterBreak="0">
    <w:nsid w:val="4915679D"/>
    <w:multiLevelType w:val="multilevel"/>
    <w:tmpl w:val="67E0878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FF3652E"/>
    <w:multiLevelType w:val="multilevel"/>
    <w:tmpl w:val="EB2C7790"/>
    <w:lvl w:ilvl="0">
      <w:start w:val="1"/>
      <w:numFmt w:val="decimal"/>
      <w:lvlText w:val="%1."/>
      <w:lvlJc w:val="left"/>
      <w:pPr>
        <w:ind w:left="54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0" w15:restartNumberingAfterBreak="0">
    <w:nsid w:val="53D67119"/>
    <w:multiLevelType w:val="hybridMultilevel"/>
    <w:tmpl w:val="4E14E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8C6E15"/>
    <w:multiLevelType w:val="hybridMultilevel"/>
    <w:tmpl w:val="5410793A"/>
    <w:lvl w:ilvl="0" w:tplc="0809000F">
      <w:start w:val="1"/>
      <w:numFmt w:val="decimal"/>
      <w:lvlText w:val="%1."/>
      <w:lvlJc w:val="left"/>
      <w:pPr>
        <w:ind w:left="360" w:hanging="360"/>
      </w:pPr>
      <w:rPr>
        <w:rFonts w:hint="default"/>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7CE3396"/>
    <w:multiLevelType w:val="hybridMultilevel"/>
    <w:tmpl w:val="431C101E"/>
    <w:lvl w:ilvl="0" w:tplc="A6D2361E">
      <w:start w:val="10"/>
      <w:numFmt w:val="decimal"/>
      <w:lvlText w:val="%1"/>
      <w:lvlJc w:val="left"/>
      <w:pPr>
        <w:ind w:left="828" w:hanging="720"/>
      </w:pPr>
      <w:rPr>
        <w:rFonts w:asciiTheme="minorHAnsi" w:eastAsia="Arial" w:hAnsiTheme="minorHAnsi" w:cstheme="minorHAnsi" w:hint="default"/>
        <w:w w:val="99"/>
        <w:sz w:val="20"/>
        <w:szCs w:val="20"/>
        <w:lang w:val="en-GB" w:eastAsia="en-GB" w:bidi="en-GB"/>
      </w:rPr>
    </w:lvl>
    <w:lvl w:ilvl="1" w:tplc="B858B6B0">
      <w:numFmt w:val="bullet"/>
      <w:lvlText w:val="•"/>
      <w:lvlJc w:val="left"/>
      <w:pPr>
        <w:ind w:left="1408" w:hanging="720"/>
      </w:pPr>
      <w:rPr>
        <w:rFonts w:hint="default"/>
        <w:lang w:val="en-GB" w:eastAsia="en-GB" w:bidi="en-GB"/>
      </w:rPr>
    </w:lvl>
    <w:lvl w:ilvl="2" w:tplc="331E6164">
      <w:numFmt w:val="bullet"/>
      <w:lvlText w:val="•"/>
      <w:lvlJc w:val="left"/>
      <w:pPr>
        <w:ind w:left="1997" w:hanging="720"/>
      </w:pPr>
      <w:rPr>
        <w:rFonts w:hint="default"/>
        <w:lang w:val="en-GB" w:eastAsia="en-GB" w:bidi="en-GB"/>
      </w:rPr>
    </w:lvl>
    <w:lvl w:ilvl="3" w:tplc="CDEEA626">
      <w:numFmt w:val="bullet"/>
      <w:lvlText w:val="•"/>
      <w:lvlJc w:val="left"/>
      <w:pPr>
        <w:ind w:left="2585" w:hanging="720"/>
      </w:pPr>
      <w:rPr>
        <w:rFonts w:hint="default"/>
        <w:lang w:val="en-GB" w:eastAsia="en-GB" w:bidi="en-GB"/>
      </w:rPr>
    </w:lvl>
    <w:lvl w:ilvl="4" w:tplc="A906CB64">
      <w:numFmt w:val="bullet"/>
      <w:lvlText w:val="•"/>
      <w:lvlJc w:val="left"/>
      <w:pPr>
        <w:ind w:left="3174" w:hanging="720"/>
      </w:pPr>
      <w:rPr>
        <w:rFonts w:hint="default"/>
        <w:lang w:val="en-GB" w:eastAsia="en-GB" w:bidi="en-GB"/>
      </w:rPr>
    </w:lvl>
    <w:lvl w:ilvl="5" w:tplc="5D307EF4">
      <w:numFmt w:val="bullet"/>
      <w:lvlText w:val="•"/>
      <w:lvlJc w:val="left"/>
      <w:pPr>
        <w:ind w:left="3763" w:hanging="720"/>
      </w:pPr>
      <w:rPr>
        <w:rFonts w:hint="default"/>
        <w:lang w:val="en-GB" w:eastAsia="en-GB" w:bidi="en-GB"/>
      </w:rPr>
    </w:lvl>
    <w:lvl w:ilvl="6" w:tplc="D5443E0C">
      <w:numFmt w:val="bullet"/>
      <w:lvlText w:val="•"/>
      <w:lvlJc w:val="left"/>
      <w:pPr>
        <w:ind w:left="4351" w:hanging="720"/>
      </w:pPr>
      <w:rPr>
        <w:rFonts w:hint="default"/>
        <w:lang w:val="en-GB" w:eastAsia="en-GB" w:bidi="en-GB"/>
      </w:rPr>
    </w:lvl>
    <w:lvl w:ilvl="7" w:tplc="D81E7A3C">
      <w:numFmt w:val="bullet"/>
      <w:lvlText w:val="•"/>
      <w:lvlJc w:val="left"/>
      <w:pPr>
        <w:ind w:left="4940" w:hanging="720"/>
      </w:pPr>
      <w:rPr>
        <w:rFonts w:hint="default"/>
        <w:lang w:val="en-GB" w:eastAsia="en-GB" w:bidi="en-GB"/>
      </w:rPr>
    </w:lvl>
    <w:lvl w:ilvl="8" w:tplc="C92EA8B6">
      <w:numFmt w:val="bullet"/>
      <w:lvlText w:val="•"/>
      <w:lvlJc w:val="left"/>
      <w:pPr>
        <w:ind w:left="5528" w:hanging="720"/>
      </w:pPr>
      <w:rPr>
        <w:rFonts w:hint="default"/>
        <w:lang w:val="en-GB" w:eastAsia="en-GB" w:bidi="en-GB"/>
      </w:rPr>
    </w:lvl>
  </w:abstractNum>
  <w:abstractNum w:abstractNumId="13" w15:restartNumberingAfterBreak="0">
    <w:nsid w:val="5F90710B"/>
    <w:multiLevelType w:val="hybridMultilevel"/>
    <w:tmpl w:val="ACDE5192"/>
    <w:lvl w:ilvl="0" w:tplc="DB7A9008">
      <w:start w:val="1"/>
      <w:numFmt w:val="decimal"/>
      <w:lvlText w:val="%1"/>
      <w:lvlJc w:val="left"/>
      <w:pPr>
        <w:ind w:left="108" w:hanging="720"/>
      </w:pPr>
      <w:rPr>
        <w:rFonts w:asciiTheme="minorHAnsi" w:eastAsia="Arial" w:hAnsiTheme="minorHAnsi" w:cstheme="minorHAnsi" w:hint="default"/>
        <w:w w:val="99"/>
        <w:sz w:val="20"/>
        <w:szCs w:val="20"/>
        <w:lang w:val="en-GB" w:eastAsia="en-GB" w:bidi="en-GB"/>
      </w:rPr>
    </w:lvl>
    <w:lvl w:ilvl="1" w:tplc="A450265C">
      <w:numFmt w:val="bullet"/>
      <w:lvlText w:val="•"/>
      <w:lvlJc w:val="left"/>
      <w:pPr>
        <w:ind w:left="760" w:hanging="720"/>
      </w:pPr>
      <w:rPr>
        <w:rFonts w:hint="default"/>
        <w:lang w:val="en-GB" w:eastAsia="en-GB" w:bidi="en-GB"/>
      </w:rPr>
    </w:lvl>
    <w:lvl w:ilvl="2" w:tplc="0D4EDCD0">
      <w:numFmt w:val="bullet"/>
      <w:lvlText w:val="•"/>
      <w:lvlJc w:val="left"/>
      <w:pPr>
        <w:ind w:left="1421" w:hanging="720"/>
      </w:pPr>
      <w:rPr>
        <w:rFonts w:hint="default"/>
        <w:lang w:val="en-GB" w:eastAsia="en-GB" w:bidi="en-GB"/>
      </w:rPr>
    </w:lvl>
    <w:lvl w:ilvl="3" w:tplc="AA36483C">
      <w:numFmt w:val="bullet"/>
      <w:lvlText w:val="•"/>
      <w:lvlJc w:val="left"/>
      <w:pPr>
        <w:ind w:left="2081" w:hanging="720"/>
      </w:pPr>
      <w:rPr>
        <w:rFonts w:hint="default"/>
        <w:lang w:val="en-GB" w:eastAsia="en-GB" w:bidi="en-GB"/>
      </w:rPr>
    </w:lvl>
    <w:lvl w:ilvl="4" w:tplc="A4DE77F0">
      <w:numFmt w:val="bullet"/>
      <w:lvlText w:val="•"/>
      <w:lvlJc w:val="left"/>
      <w:pPr>
        <w:ind w:left="2742" w:hanging="720"/>
      </w:pPr>
      <w:rPr>
        <w:rFonts w:hint="default"/>
        <w:lang w:val="en-GB" w:eastAsia="en-GB" w:bidi="en-GB"/>
      </w:rPr>
    </w:lvl>
    <w:lvl w:ilvl="5" w:tplc="CDF4B4B8">
      <w:numFmt w:val="bullet"/>
      <w:lvlText w:val="•"/>
      <w:lvlJc w:val="left"/>
      <w:pPr>
        <w:ind w:left="3403" w:hanging="720"/>
      </w:pPr>
      <w:rPr>
        <w:rFonts w:hint="default"/>
        <w:lang w:val="en-GB" w:eastAsia="en-GB" w:bidi="en-GB"/>
      </w:rPr>
    </w:lvl>
    <w:lvl w:ilvl="6" w:tplc="8B40926E">
      <w:numFmt w:val="bullet"/>
      <w:lvlText w:val="•"/>
      <w:lvlJc w:val="left"/>
      <w:pPr>
        <w:ind w:left="4063" w:hanging="720"/>
      </w:pPr>
      <w:rPr>
        <w:rFonts w:hint="default"/>
        <w:lang w:val="en-GB" w:eastAsia="en-GB" w:bidi="en-GB"/>
      </w:rPr>
    </w:lvl>
    <w:lvl w:ilvl="7" w:tplc="02CA4FDC">
      <w:numFmt w:val="bullet"/>
      <w:lvlText w:val="•"/>
      <w:lvlJc w:val="left"/>
      <w:pPr>
        <w:ind w:left="4724" w:hanging="720"/>
      </w:pPr>
      <w:rPr>
        <w:rFonts w:hint="default"/>
        <w:lang w:val="en-GB" w:eastAsia="en-GB" w:bidi="en-GB"/>
      </w:rPr>
    </w:lvl>
    <w:lvl w:ilvl="8" w:tplc="17685AFE">
      <w:numFmt w:val="bullet"/>
      <w:lvlText w:val="•"/>
      <w:lvlJc w:val="left"/>
      <w:pPr>
        <w:ind w:left="5384" w:hanging="720"/>
      </w:pPr>
      <w:rPr>
        <w:rFonts w:hint="default"/>
        <w:lang w:val="en-GB" w:eastAsia="en-GB" w:bidi="en-GB"/>
      </w:rPr>
    </w:lvl>
  </w:abstractNum>
  <w:abstractNum w:abstractNumId="14" w15:restartNumberingAfterBreak="0">
    <w:nsid w:val="61C350CD"/>
    <w:multiLevelType w:val="hybridMultilevel"/>
    <w:tmpl w:val="2A660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3D3CCC"/>
    <w:multiLevelType w:val="hybridMultilevel"/>
    <w:tmpl w:val="3614F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7F449C"/>
    <w:multiLevelType w:val="hybridMultilevel"/>
    <w:tmpl w:val="052E27BA"/>
    <w:lvl w:ilvl="0" w:tplc="5F28D5DA">
      <w:start w:val="1"/>
      <w:numFmt w:val="decimal"/>
      <w:lvlText w:val="%1"/>
      <w:lvlJc w:val="left"/>
      <w:pPr>
        <w:ind w:left="828" w:hanging="720"/>
      </w:pPr>
      <w:rPr>
        <w:rFonts w:asciiTheme="minorHAnsi" w:eastAsia="Arial" w:hAnsiTheme="minorHAnsi" w:cstheme="minorHAnsi" w:hint="default"/>
        <w:w w:val="99"/>
        <w:sz w:val="20"/>
        <w:szCs w:val="20"/>
        <w:lang w:val="en-GB" w:eastAsia="en-GB" w:bidi="en-GB"/>
      </w:rPr>
    </w:lvl>
    <w:lvl w:ilvl="1" w:tplc="D7126992">
      <w:numFmt w:val="bullet"/>
      <w:lvlText w:val="•"/>
      <w:lvlJc w:val="left"/>
      <w:pPr>
        <w:ind w:left="1408" w:hanging="720"/>
      </w:pPr>
      <w:rPr>
        <w:rFonts w:hint="default"/>
        <w:lang w:val="en-GB" w:eastAsia="en-GB" w:bidi="en-GB"/>
      </w:rPr>
    </w:lvl>
    <w:lvl w:ilvl="2" w:tplc="95E4DACE">
      <w:numFmt w:val="bullet"/>
      <w:lvlText w:val="•"/>
      <w:lvlJc w:val="left"/>
      <w:pPr>
        <w:ind w:left="1997" w:hanging="720"/>
      </w:pPr>
      <w:rPr>
        <w:rFonts w:hint="default"/>
        <w:lang w:val="en-GB" w:eastAsia="en-GB" w:bidi="en-GB"/>
      </w:rPr>
    </w:lvl>
    <w:lvl w:ilvl="3" w:tplc="8A64B7FA">
      <w:numFmt w:val="bullet"/>
      <w:lvlText w:val="•"/>
      <w:lvlJc w:val="left"/>
      <w:pPr>
        <w:ind w:left="2585" w:hanging="720"/>
      </w:pPr>
      <w:rPr>
        <w:rFonts w:hint="default"/>
        <w:lang w:val="en-GB" w:eastAsia="en-GB" w:bidi="en-GB"/>
      </w:rPr>
    </w:lvl>
    <w:lvl w:ilvl="4" w:tplc="91CCDCAE">
      <w:numFmt w:val="bullet"/>
      <w:lvlText w:val="•"/>
      <w:lvlJc w:val="left"/>
      <w:pPr>
        <w:ind w:left="3174" w:hanging="720"/>
      </w:pPr>
      <w:rPr>
        <w:rFonts w:hint="default"/>
        <w:lang w:val="en-GB" w:eastAsia="en-GB" w:bidi="en-GB"/>
      </w:rPr>
    </w:lvl>
    <w:lvl w:ilvl="5" w:tplc="7FDA6C2C">
      <w:numFmt w:val="bullet"/>
      <w:lvlText w:val="•"/>
      <w:lvlJc w:val="left"/>
      <w:pPr>
        <w:ind w:left="3763" w:hanging="720"/>
      </w:pPr>
      <w:rPr>
        <w:rFonts w:hint="default"/>
        <w:lang w:val="en-GB" w:eastAsia="en-GB" w:bidi="en-GB"/>
      </w:rPr>
    </w:lvl>
    <w:lvl w:ilvl="6" w:tplc="3E48B4AA">
      <w:numFmt w:val="bullet"/>
      <w:lvlText w:val="•"/>
      <w:lvlJc w:val="left"/>
      <w:pPr>
        <w:ind w:left="4351" w:hanging="720"/>
      </w:pPr>
      <w:rPr>
        <w:rFonts w:hint="default"/>
        <w:lang w:val="en-GB" w:eastAsia="en-GB" w:bidi="en-GB"/>
      </w:rPr>
    </w:lvl>
    <w:lvl w:ilvl="7" w:tplc="52B422B0">
      <w:numFmt w:val="bullet"/>
      <w:lvlText w:val="•"/>
      <w:lvlJc w:val="left"/>
      <w:pPr>
        <w:ind w:left="4940" w:hanging="720"/>
      </w:pPr>
      <w:rPr>
        <w:rFonts w:hint="default"/>
        <w:lang w:val="en-GB" w:eastAsia="en-GB" w:bidi="en-GB"/>
      </w:rPr>
    </w:lvl>
    <w:lvl w:ilvl="8" w:tplc="FBE8A9B0">
      <w:numFmt w:val="bullet"/>
      <w:lvlText w:val="•"/>
      <w:lvlJc w:val="left"/>
      <w:pPr>
        <w:ind w:left="5528" w:hanging="720"/>
      </w:pPr>
      <w:rPr>
        <w:rFonts w:hint="default"/>
        <w:lang w:val="en-GB" w:eastAsia="en-GB" w:bidi="en-GB"/>
      </w:rPr>
    </w:lvl>
  </w:abstractNum>
  <w:abstractNum w:abstractNumId="17" w15:restartNumberingAfterBreak="0">
    <w:nsid w:val="79881912"/>
    <w:multiLevelType w:val="multilevel"/>
    <w:tmpl w:val="97089E06"/>
    <w:lvl w:ilvl="0">
      <w:start w:val="3"/>
      <w:numFmt w:val="decimal"/>
      <w:lvlText w:val="%1."/>
      <w:lvlJc w:val="left"/>
      <w:pPr>
        <w:ind w:left="54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8" w15:restartNumberingAfterBreak="0">
    <w:nsid w:val="79F44AB0"/>
    <w:multiLevelType w:val="multilevel"/>
    <w:tmpl w:val="2192544E"/>
    <w:lvl w:ilvl="0">
      <w:start w:val="3"/>
      <w:numFmt w:val="decimal"/>
      <w:lvlText w:val="%1."/>
      <w:lvlJc w:val="left"/>
      <w:pPr>
        <w:ind w:left="54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abstractNumId w:val="7"/>
  </w:num>
  <w:num w:numId="2">
    <w:abstractNumId w:val="10"/>
  </w:num>
  <w:num w:numId="3">
    <w:abstractNumId w:val="14"/>
  </w:num>
  <w:num w:numId="4">
    <w:abstractNumId w:val="15"/>
  </w:num>
  <w:num w:numId="5">
    <w:abstractNumId w:val="6"/>
  </w:num>
  <w:num w:numId="6">
    <w:abstractNumId w:val="3"/>
  </w:num>
  <w:num w:numId="7">
    <w:abstractNumId w:val="12"/>
  </w:num>
  <w:num w:numId="8">
    <w:abstractNumId w:val="16"/>
  </w:num>
  <w:num w:numId="9">
    <w:abstractNumId w:val="5"/>
  </w:num>
  <w:num w:numId="10">
    <w:abstractNumId w:val="13"/>
  </w:num>
  <w:num w:numId="11">
    <w:abstractNumId w:val="9"/>
  </w:num>
  <w:num w:numId="12">
    <w:abstractNumId w:val="0"/>
  </w:num>
  <w:num w:numId="13">
    <w:abstractNumId w:val="17"/>
  </w:num>
  <w:num w:numId="14">
    <w:abstractNumId w:val="18"/>
  </w:num>
  <w:num w:numId="15">
    <w:abstractNumId w:val="11"/>
  </w:num>
  <w:num w:numId="16">
    <w:abstractNumId w:val="8"/>
  </w:num>
  <w:num w:numId="17">
    <w:abstractNumId w:val="2"/>
  </w:num>
  <w:num w:numId="18">
    <w:abstractNumId w:val="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wMrA0MzU1MLawMDNW0lEKTi0uzszPAykwqQUAsPYsAiwAAAA="/>
    <w:docVar w:name="EN.CategoryHeadingStyles" w:val="&lt;section-heading-styles&gt;&lt;category-title alignment=&quot;1&quot;&gt;&lt;/category-title&gt;&lt;category-heading bold=&quot;1&quot; alignment=&quot;5825561&quot;&gt;&lt;/category-heading&gt;&lt;/section-heading-styles&gt;"/>
    <w:docVar w:name="EN.DefaultReferenceGroups" w:val="&lt;reference-groups&gt;&lt;reference-group&gt;&lt;kind&gt;0&lt;/kind&gt;&lt;heading&gt;&lt;/heading&gt;&lt;alignment&gt;0&lt;/alignment&gt;&lt;records&gt;&lt;/records&gt;&lt;/reference-group&gt;&lt;/reference-groups&gt;"/>
    <w:docVar w:name="EN.InstantFormat" w:val="&lt;ENInstantFormat&gt;&lt;Enabled&gt;0&lt;/Enabled&gt;&lt;ScanUnformatted&gt;1&lt;/ScanUnformatted&gt;&lt;ScanChanges&gt;1&lt;/ScanChanges&gt;&lt;Suspended&gt;0&lt;/Suspended&gt;&lt;/ENInstantFormat&gt;"/>
    <w:docVar w:name="EN.Layout" w:val="&lt;ENLayout&gt;&lt;Style&gt;Vancouver edit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9r09rptratx3e2t9mxp2985vsep529pwst&quot;&gt;2021_Private Surgery Cataracts Final IS Search&lt;record-ids&gt;&lt;item&gt;5&lt;/item&gt;&lt;item&gt;15&lt;/item&gt;&lt;item&gt;28&lt;/item&gt;&lt;item&gt;74&lt;/item&gt;&lt;item&gt;117&lt;/item&gt;&lt;item&gt;149&lt;/item&gt;&lt;item&gt;195&lt;/item&gt;&lt;item&gt;206&lt;/item&gt;&lt;item&gt;211&lt;/item&gt;&lt;item&gt;270&lt;/item&gt;&lt;item&gt;291&lt;/item&gt;&lt;item&gt;351&lt;/item&gt;&lt;item&gt;352&lt;/item&gt;&lt;item&gt;388&lt;/item&gt;&lt;item&gt;433&lt;/item&gt;&lt;item&gt;436&lt;/item&gt;&lt;item&gt;524&lt;/item&gt;&lt;item&gt;899&lt;/item&gt;&lt;item&gt;999&lt;/item&gt;&lt;item&gt;1003&lt;/item&gt;&lt;item&gt;1009&lt;/item&gt;&lt;item&gt;1016&lt;/item&gt;&lt;item&gt;1017&lt;/item&gt;&lt;item&gt;1018&lt;/item&gt;&lt;item&gt;1019&lt;/item&gt;&lt;item&gt;1022&lt;/item&gt;&lt;item&gt;1023&lt;/item&gt;&lt;item&gt;1024&lt;/item&gt;&lt;item&gt;1026&lt;/item&gt;&lt;item&gt;1029&lt;/item&gt;&lt;item&gt;1031&lt;/item&gt;&lt;item&gt;1041&lt;/item&gt;&lt;item&gt;1042&lt;/item&gt;&lt;item&gt;1044&lt;/item&gt;&lt;item&gt;1045&lt;/item&gt;&lt;item&gt;1050&lt;/item&gt;&lt;item&gt;1051&lt;/item&gt;&lt;item&gt;1052&lt;/item&gt;&lt;item&gt;1053&lt;/item&gt;&lt;item&gt;1054&lt;/item&gt;&lt;item&gt;5556&lt;/item&gt;&lt;item&gt;5562&lt;/item&gt;&lt;item&gt;5587&lt;/item&gt;&lt;item&gt;5640&lt;/item&gt;&lt;item&gt;5737&lt;/item&gt;&lt;item&gt;5739&lt;/item&gt;&lt;item&gt;5740&lt;/item&gt;&lt;/record-ids&gt;&lt;/item&gt;&lt;/Libraries&gt;"/>
  </w:docVars>
  <w:rsids>
    <w:rsidRoot w:val="001622EC"/>
    <w:rsid w:val="00000EC5"/>
    <w:rsid w:val="000017C7"/>
    <w:rsid w:val="00001F39"/>
    <w:rsid w:val="0000264C"/>
    <w:rsid w:val="00004414"/>
    <w:rsid w:val="000061F1"/>
    <w:rsid w:val="0000795D"/>
    <w:rsid w:val="000079B9"/>
    <w:rsid w:val="00007C9C"/>
    <w:rsid w:val="00013301"/>
    <w:rsid w:val="00013E08"/>
    <w:rsid w:val="00015048"/>
    <w:rsid w:val="00015564"/>
    <w:rsid w:val="0001598E"/>
    <w:rsid w:val="00015E48"/>
    <w:rsid w:val="00017330"/>
    <w:rsid w:val="00017381"/>
    <w:rsid w:val="000213D3"/>
    <w:rsid w:val="000217CA"/>
    <w:rsid w:val="00022BA3"/>
    <w:rsid w:val="00023255"/>
    <w:rsid w:val="000251F2"/>
    <w:rsid w:val="00025F68"/>
    <w:rsid w:val="00026BE1"/>
    <w:rsid w:val="00026C02"/>
    <w:rsid w:val="000316A2"/>
    <w:rsid w:val="00033D0B"/>
    <w:rsid w:val="00034C06"/>
    <w:rsid w:val="000360B3"/>
    <w:rsid w:val="0003632F"/>
    <w:rsid w:val="000375D9"/>
    <w:rsid w:val="000377FB"/>
    <w:rsid w:val="00037DB8"/>
    <w:rsid w:val="0004396C"/>
    <w:rsid w:val="00044038"/>
    <w:rsid w:val="00046CED"/>
    <w:rsid w:val="000474E7"/>
    <w:rsid w:val="00047BB0"/>
    <w:rsid w:val="0005029B"/>
    <w:rsid w:val="00051367"/>
    <w:rsid w:val="00051F12"/>
    <w:rsid w:val="00053B5F"/>
    <w:rsid w:val="00055ED7"/>
    <w:rsid w:val="000577A7"/>
    <w:rsid w:val="0006014B"/>
    <w:rsid w:val="00061910"/>
    <w:rsid w:val="0006328E"/>
    <w:rsid w:val="00063EC9"/>
    <w:rsid w:val="0006489C"/>
    <w:rsid w:val="00065004"/>
    <w:rsid w:val="0006618F"/>
    <w:rsid w:val="00066E96"/>
    <w:rsid w:val="00066EDD"/>
    <w:rsid w:val="00067627"/>
    <w:rsid w:val="00067A13"/>
    <w:rsid w:val="00072C3E"/>
    <w:rsid w:val="00073B1C"/>
    <w:rsid w:val="000754BE"/>
    <w:rsid w:val="00075572"/>
    <w:rsid w:val="00075F77"/>
    <w:rsid w:val="0008156E"/>
    <w:rsid w:val="00081BA8"/>
    <w:rsid w:val="00081E3E"/>
    <w:rsid w:val="0008459B"/>
    <w:rsid w:val="000926E1"/>
    <w:rsid w:val="0009606B"/>
    <w:rsid w:val="00096153"/>
    <w:rsid w:val="00096C8F"/>
    <w:rsid w:val="0009764A"/>
    <w:rsid w:val="000A1E2E"/>
    <w:rsid w:val="000A4D7C"/>
    <w:rsid w:val="000A5641"/>
    <w:rsid w:val="000A59EE"/>
    <w:rsid w:val="000A6F15"/>
    <w:rsid w:val="000B4BBC"/>
    <w:rsid w:val="000B5C79"/>
    <w:rsid w:val="000B69C6"/>
    <w:rsid w:val="000C104A"/>
    <w:rsid w:val="000C12EC"/>
    <w:rsid w:val="000C2B2D"/>
    <w:rsid w:val="000C383A"/>
    <w:rsid w:val="000C5CCB"/>
    <w:rsid w:val="000D0511"/>
    <w:rsid w:val="000D0745"/>
    <w:rsid w:val="000D111F"/>
    <w:rsid w:val="000D2B1E"/>
    <w:rsid w:val="000D2F6C"/>
    <w:rsid w:val="000D30C5"/>
    <w:rsid w:val="000D4050"/>
    <w:rsid w:val="000D464D"/>
    <w:rsid w:val="000D5853"/>
    <w:rsid w:val="000E06CE"/>
    <w:rsid w:val="000E10EE"/>
    <w:rsid w:val="000E1103"/>
    <w:rsid w:val="000E12B2"/>
    <w:rsid w:val="000E1443"/>
    <w:rsid w:val="000E39E3"/>
    <w:rsid w:val="000E3C21"/>
    <w:rsid w:val="000E498E"/>
    <w:rsid w:val="000E49AC"/>
    <w:rsid w:val="000E5BC2"/>
    <w:rsid w:val="000E5BC9"/>
    <w:rsid w:val="000E5E50"/>
    <w:rsid w:val="000F0C4F"/>
    <w:rsid w:val="000F24A1"/>
    <w:rsid w:val="000F3FD2"/>
    <w:rsid w:val="000F79E7"/>
    <w:rsid w:val="000F7AB9"/>
    <w:rsid w:val="0010152D"/>
    <w:rsid w:val="001021E1"/>
    <w:rsid w:val="001026B3"/>
    <w:rsid w:val="00102EAE"/>
    <w:rsid w:val="00110760"/>
    <w:rsid w:val="0011093F"/>
    <w:rsid w:val="00110BC5"/>
    <w:rsid w:val="00111A9B"/>
    <w:rsid w:val="001126E4"/>
    <w:rsid w:val="00112C7E"/>
    <w:rsid w:val="00114E01"/>
    <w:rsid w:val="001178C9"/>
    <w:rsid w:val="0012012D"/>
    <w:rsid w:val="00121A6D"/>
    <w:rsid w:val="00122542"/>
    <w:rsid w:val="001228A5"/>
    <w:rsid w:val="001261EE"/>
    <w:rsid w:val="001308DA"/>
    <w:rsid w:val="0013120D"/>
    <w:rsid w:val="00131CD0"/>
    <w:rsid w:val="00133E56"/>
    <w:rsid w:val="0013508F"/>
    <w:rsid w:val="0014010C"/>
    <w:rsid w:val="00140C7E"/>
    <w:rsid w:val="00140D3D"/>
    <w:rsid w:val="00145B8F"/>
    <w:rsid w:val="00150569"/>
    <w:rsid w:val="00153970"/>
    <w:rsid w:val="00153BDE"/>
    <w:rsid w:val="001540F2"/>
    <w:rsid w:val="00154172"/>
    <w:rsid w:val="00155F7E"/>
    <w:rsid w:val="00156628"/>
    <w:rsid w:val="00157D24"/>
    <w:rsid w:val="00161DA4"/>
    <w:rsid w:val="001622EC"/>
    <w:rsid w:val="00162DB0"/>
    <w:rsid w:val="00164E41"/>
    <w:rsid w:val="00165FB7"/>
    <w:rsid w:val="00172412"/>
    <w:rsid w:val="00173513"/>
    <w:rsid w:val="00174629"/>
    <w:rsid w:val="001754B2"/>
    <w:rsid w:val="00175564"/>
    <w:rsid w:val="00175B30"/>
    <w:rsid w:val="00176F52"/>
    <w:rsid w:val="001820DC"/>
    <w:rsid w:val="00182E6E"/>
    <w:rsid w:val="0018390D"/>
    <w:rsid w:val="001842F7"/>
    <w:rsid w:val="00184E58"/>
    <w:rsid w:val="00186949"/>
    <w:rsid w:val="00186971"/>
    <w:rsid w:val="00186F2A"/>
    <w:rsid w:val="001875AF"/>
    <w:rsid w:val="001877FD"/>
    <w:rsid w:val="001877FF"/>
    <w:rsid w:val="001903C1"/>
    <w:rsid w:val="00190844"/>
    <w:rsid w:val="001915BA"/>
    <w:rsid w:val="00191F3C"/>
    <w:rsid w:val="001935B7"/>
    <w:rsid w:val="0019516C"/>
    <w:rsid w:val="0019762C"/>
    <w:rsid w:val="00197892"/>
    <w:rsid w:val="00197D36"/>
    <w:rsid w:val="001A0DF7"/>
    <w:rsid w:val="001A2B4D"/>
    <w:rsid w:val="001A2DCE"/>
    <w:rsid w:val="001A3E5B"/>
    <w:rsid w:val="001A413C"/>
    <w:rsid w:val="001A4960"/>
    <w:rsid w:val="001A4BF0"/>
    <w:rsid w:val="001B0F54"/>
    <w:rsid w:val="001B3347"/>
    <w:rsid w:val="001B3939"/>
    <w:rsid w:val="001B3CB1"/>
    <w:rsid w:val="001B4A26"/>
    <w:rsid w:val="001C0674"/>
    <w:rsid w:val="001C2505"/>
    <w:rsid w:val="001C5009"/>
    <w:rsid w:val="001C59DB"/>
    <w:rsid w:val="001C64BF"/>
    <w:rsid w:val="001D08EF"/>
    <w:rsid w:val="001D51FF"/>
    <w:rsid w:val="001D5D1E"/>
    <w:rsid w:val="001D777C"/>
    <w:rsid w:val="001E1950"/>
    <w:rsid w:val="001E1B72"/>
    <w:rsid w:val="001E4C40"/>
    <w:rsid w:val="001E641A"/>
    <w:rsid w:val="001E7C5F"/>
    <w:rsid w:val="001F05A5"/>
    <w:rsid w:val="001F0C88"/>
    <w:rsid w:val="001F0F21"/>
    <w:rsid w:val="001F28A6"/>
    <w:rsid w:val="001F3992"/>
    <w:rsid w:val="001F6801"/>
    <w:rsid w:val="00201C7C"/>
    <w:rsid w:val="0020241F"/>
    <w:rsid w:val="00205200"/>
    <w:rsid w:val="00205CFD"/>
    <w:rsid w:val="002061F0"/>
    <w:rsid w:val="00210832"/>
    <w:rsid w:val="00213051"/>
    <w:rsid w:val="00213A36"/>
    <w:rsid w:val="00216991"/>
    <w:rsid w:val="00217A2E"/>
    <w:rsid w:val="00221B1C"/>
    <w:rsid w:val="00221DB5"/>
    <w:rsid w:val="00222375"/>
    <w:rsid w:val="00223B9F"/>
    <w:rsid w:val="00226782"/>
    <w:rsid w:val="00230E0B"/>
    <w:rsid w:val="00231968"/>
    <w:rsid w:val="00233772"/>
    <w:rsid w:val="00234368"/>
    <w:rsid w:val="00234634"/>
    <w:rsid w:val="00234EB7"/>
    <w:rsid w:val="00235BA3"/>
    <w:rsid w:val="00235D46"/>
    <w:rsid w:val="002364E4"/>
    <w:rsid w:val="0023764C"/>
    <w:rsid w:val="00237FC2"/>
    <w:rsid w:val="002422AB"/>
    <w:rsid w:val="0024369E"/>
    <w:rsid w:val="00243AB3"/>
    <w:rsid w:val="00244188"/>
    <w:rsid w:val="00245553"/>
    <w:rsid w:val="00245700"/>
    <w:rsid w:val="0024581C"/>
    <w:rsid w:val="0024776A"/>
    <w:rsid w:val="00247D5D"/>
    <w:rsid w:val="002530AA"/>
    <w:rsid w:val="0025355D"/>
    <w:rsid w:val="00253C70"/>
    <w:rsid w:val="00253DB5"/>
    <w:rsid w:val="0025782B"/>
    <w:rsid w:val="00257951"/>
    <w:rsid w:val="00260C20"/>
    <w:rsid w:val="00265474"/>
    <w:rsid w:val="00265C64"/>
    <w:rsid w:val="00266F62"/>
    <w:rsid w:val="00267DA3"/>
    <w:rsid w:val="00270CA7"/>
    <w:rsid w:val="00271754"/>
    <w:rsid w:val="00276216"/>
    <w:rsid w:val="00277119"/>
    <w:rsid w:val="00277DE7"/>
    <w:rsid w:val="00280660"/>
    <w:rsid w:val="00282940"/>
    <w:rsid w:val="00283148"/>
    <w:rsid w:val="002839DD"/>
    <w:rsid w:val="0028565D"/>
    <w:rsid w:val="00285CFC"/>
    <w:rsid w:val="00285D4B"/>
    <w:rsid w:val="00286824"/>
    <w:rsid w:val="00287DCA"/>
    <w:rsid w:val="00296E63"/>
    <w:rsid w:val="002A15F1"/>
    <w:rsid w:val="002A277E"/>
    <w:rsid w:val="002A3661"/>
    <w:rsid w:val="002A3E0A"/>
    <w:rsid w:val="002A4B0A"/>
    <w:rsid w:val="002A4EA0"/>
    <w:rsid w:val="002B14A1"/>
    <w:rsid w:val="002B4032"/>
    <w:rsid w:val="002B44A2"/>
    <w:rsid w:val="002B557D"/>
    <w:rsid w:val="002B6183"/>
    <w:rsid w:val="002B673C"/>
    <w:rsid w:val="002C0813"/>
    <w:rsid w:val="002C1234"/>
    <w:rsid w:val="002C1605"/>
    <w:rsid w:val="002C347D"/>
    <w:rsid w:val="002C51F4"/>
    <w:rsid w:val="002C5279"/>
    <w:rsid w:val="002D070B"/>
    <w:rsid w:val="002D29B0"/>
    <w:rsid w:val="002D3505"/>
    <w:rsid w:val="002D376C"/>
    <w:rsid w:val="002D66BE"/>
    <w:rsid w:val="002D6EE2"/>
    <w:rsid w:val="002D7EE6"/>
    <w:rsid w:val="002E0448"/>
    <w:rsid w:val="002E0920"/>
    <w:rsid w:val="002E0A56"/>
    <w:rsid w:val="002E0A83"/>
    <w:rsid w:val="002E139A"/>
    <w:rsid w:val="002E1910"/>
    <w:rsid w:val="002E2EA8"/>
    <w:rsid w:val="002E3206"/>
    <w:rsid w:val="002E4A97"/>
    <w:rsid w:val="002E528B"/>
    <w:rsid w:val="002E7687"/>
    <w:rsid w:val="002F0017"/>
    <w:rsid w:val="002F00AB"/>
    <w:rsid w:val="002F091E"/>
    <w:rsid w:val="002F1B9E"/>
    <w:rsid w:val="002F4450"/>
    <w:rsid w:val="002F4BBB"/>
    <w:rsid w:val="002F54BC"/>
    <w:rsid w:val="00303273"/>
    <w:rsid w:val="003064E8"/>
    <w:rsid w:val="00306FED"/>
    <w:rsid w:val="00310E68"/>
    <w:rsid w:val="00311DDB"/>
    <w:rsid w:val="00312255"/>
    <w:rsid w:val="0031603E"/>
    <w:rsid w:val="00316BE4"/>
    <w:rsid w:val="00316CA7"/>
    <w:rsid w:val="003230DF"/>
    <w:rsid w:val="00324A3B"/>
    <w:rsid w:val="003264EA"/>
    <w:rsid w:val="00327E99"/>
    <w:rsid w:val="003313C8"/>
    <w:rsid w:val="00332D7F"/>
    <w:rsid w:val="00332E1C"/>
    <w:rsid w:val="0033309B"/>
    <w:rsid w:val="003330D7"/>
    <w:rsid w:val="0033701E"/>
    <w:rsid w:val="00337C38"/>
    <w:rsid w:val="00344EC9"/>
    <w:rsid w:val="00345301"/>
    <w:rsid w:val="003455A7"/>
    <w:rsid w:val="00345E50"/>
    <w:rsid w:val="0034646B"/>
    <w:rsid w:val="003503AC"/>
    <w:rsid w:val="00353F0D"/>
    <w:rsid w:val="00354620"/>
    <w:rsid w:val="00357610"/>
    <w:rsid w:val="003617BC"/>
    <w:rsid w:val="003619BF"/>
    <w:rsid w:val="00361F2A"/>
    <w:rsid w:val="00363B9C"/>
    <w:rsid w:val="003653A0"/>
    <w:rsid w:val="003703C3"/>
    <w:rsid w:val="00370F9A"/>
    <w:rsid w:val="00371AB5"/>
    <w:rsid w:val="00371C2B"/>
    <w:rsid w:val="00377C8C"/>
    <w:rsid w:val="003801D9"/>
    <w:rsid w:val="00380D46"/>
    <w:rsid w:val="00381141"/>
    <w:rsid w:val="003813A7"/>
    <w:rsid w:val="00382ECA"/>
    <w:rsid w:val="00383747"/>
    <w:rsid w:val="00383ACC"/>
    <w:rsid w:val="00387F10"/>
    <w:rsid w:val="00391596"/>
    <w:rsid w:val="003924E5"/>
    <w:rsid w:val="003925AA"/>
    <w:rsid w:val="0039321A"/>
    <w:rsid w:val="003A0CF0"/>
    <w:rsid w:val="003A153E"/>
    <w:rsid w:val="003A43CB"/>
    <w:rsid w:val="003A44AF"/>
    <w:rsid w:val="003A4874"/>
    <w:rsid w:val="003A5777"/>
    <w:rsid w:val="003A610A"/>
    <w:rsid w:val="003A7DCD"/>
    <w:rsid w:val="003B7DD2"/>
    <w:rsid w:val="003C09A9"/>
    <w:rsid w:val="003C38FD"/>
    <w:rsid w:val="003C3BBB"/>
    <w:rsid w:val="003C3CDE"/>
    <w:rsid w:val="003C48EE"/>
    <w:rsid w:val="003C70F7"/>
    <w:rsid w:val="003C7E0E"/>
    <w:rsid w:val="003D125B"/>
    <w:rsid w:val="003D3E46"/>
    <w:rsid w:val="003E04D4"/>
    <w:rsid w:val="003E1DCB"/>
    <w:rsid w:val="003E1FD1"/>
    <w:rsid w:val="003E3ADC"/>
    <w:rsid w:val="003E7480"/>
    <w:rsid w:val="003F11A7"/>
    <w:rsid w:val="003F25E0"/>
    <w:rsid w:val="003F2C06"/>
    <w:rsid w:val="003F3872"/>
    <w:rsid w:val="003F5EFE"/>
    <w:rsid w:val="003F6B6B"/>
    <w:rsid w:val="003F6C20"/>
    <w:rsid w:val="00404CF6"/>
    <w:rsid w:val="0040554C"/>
    <w:rsid w:val="00407DEB"/>
    <w:rsid w:val="00407FAF"/>
    <w:rsid w:val="00411211"/>
    <w:rsid w:val="00411730"/>
    <w:rsid w:val="00411DC8"/>
    <w:rsid w:val="00412473"/>
    <w:rsid w:val="00412509"/>
    <w:rsid w:val="00413496"/>
    <w:rsid w:val="004143EF"/>
    <w:rsid w:val="00415252"/>
    <w:rsid w:val="00415DD3"/>
    <w:rsid w:val="00416330"/>
    <w:rsid w:val="00416364"/>
    <w:rsid w:val="00416BD7"/>
    <w:rsid w:val="00421149"/>
    <w:rsid w:val="004218CA"/>
    <w:rsid w:val="004235D8"/>
    <w:rsid w:val="00425DA2"/>
    <w:rsid w:val="0043051A"/>
    <w:rsid w:val="00430B27"/>
    <w:rsid w:val="00430D4F"/>
    <w:rsid w:val="00432178"/>
    <w:rsid w:val="00436880"/>
    <w:rsid w:val="00436CA3"/>
    <w:rsid w:val="00437946"/>
    <w:rsid w:val="00437A4E"/>
    <w:rsid w:val="00437AD2"/>
    <w:rsid w:val="00440027"/>
    <w:rsid w:val="004400EF"/>
    <w:rsid w:val="00440497"/>
    <w:rsid w:val="00440C97"/>
    <w:rsid w:val="004413AC"/>
    <w:rsid w:val="004427F8"/>
    <w:rsid w:val="004449A5"/>
    <w:rsid w:val="00445E54"/>
    <w:rsid w:val="00446E5E"/>
    <w:rsid w:val="00450601"/>
    <w:rsid w:val="00452DA3"/>
    <w:rsid w:val="00453E7B"/>
    <w:rsid w:val="004544E5"/>
    <w:rsid w:val="00454B83"/>
    <w:rsid w:val="00455354"/>
    <w:rsid w:val="00455763"/>
    <w:rsid w:val="004563B6"/>
    <w:rsid w:val="00456AA0"/>
    <w:rsid w:val="004570C4"/>
    <w:rsid w:val="00461087"/>
    <w:rsid w:val="00461250"/>
    <w:rsid w:val="0046344C"/>
    <w:rsid w:val="004654D8"/>
    <w:rsid w:val="004657E8"/>
    <w:rsid w:val="004669D9"/>
    <w:rsid w:val="00470CDE"/>
    <w:rsid w:val="00470F43"/>
    <w:rsid w:val="0047241D"/>
    <w:rsid w:val="00473755"/>
    <w:rsid w:val="0047499C"/>
    <w:rsid w:val="00474A2F"/>
    <w:rsid w:val="004758B2"/>
    <w:rsid w:val="00477252"/>
    <w:rsid w:val="00477516"/>
    <w:rsid w:val="00482377"/>
    <w:rsid w:val="00482542"/>
    <w:rsid w:val="00486AA3"/>
    <w:rsid w:val="00487326"/>
    <w:rsid w:val="00490EC3"/>
    <w:rsid w:val="00491A12"/>
    <w:rsid w:val="004958FC"/>
    <w:rsid w:val="004959A1"/>
    <w:rsid w:val="00497712"/>
    <w:rsid w:val="004A0F69"/>
    <w:rsid w:val="004A0FE5"/>
    <w:rsid w:val="004A1680"/>
    <w:rsid w:val="004A28A4"/>
    <w:rsid w:val="004A33C6"/>
    <w:rsid w:val="004A3E75"/>
    <w:rsid w:val="004A41B8"/>
    <w:rsid w:val="004A5A66"/>
    <w:rsid w:val="004A619B"/>
    <w:rsid w:val="004A7ABA"/>
    <w:rsid w:val="004B0121"/>
    <w:rsid w:val="004B1725"/>
    <w:rsid w:val="004B208F"/>
    <w:rsid w:val="004B7A75"/>
    <w:rsid w:val="004C1539"/>
    <w:rsid w:val="004C1ADE"/>
    <w:rsid w:val="004C2403"/>
    <w:rsid w:val="004C2522"/>
    <w:rsid w:val="004C43ED"/>
    <w:rsid w:val="004C4E8A"/>
    <w:rsid w:val="004D026E"/>
    <w:rsid w:val="004D179B"/>
    <w:rsid w:val="004D4DD4"/>
    <w:rsid w:val="004E0742"/>
    <w:rsid w:val="004E1517"/>
    <w:rsid w:val="004E332F"/>
    <w:rsid w:val="004E4CC5"/>
    <w:rsid w:val="004E56F9"/>
    <w:rsid w:val="004F04FF"/>
    <w:rsid w:val="004F0D58"/>
    <w:rsid w:val="004F2199"/>
    <w:rsid w:val="004F2BAB"/>
    <w:rsid w:val="004F4706"/>
    <w:rsid w:val="004F55AC"/>
    <w:rsid w:val="004F6DE8"/>
    <w:rsid w:val="004F741A"/>
    <w:rsid w:val="00504B73"/>
    <w:rsid w:val="005057E5"/>
    <w:rsid w:val="00505FAC"/>
    <w:rsid w:val="005107FE"/>
    <w:rsid w:val="00510B22"/>
    <w:rsid w:val="0051119D"/>
    <w:rsid w:val="00511B98"/>
    <w:rsid w:val="00512299"/>
    <w:rsid w:val="00514A0A"/>
    <w:rsid w:val="00514BD0"/>
    <w:rsid w:val="0051557E"/>
    <w:rsid w:val="00515D6E"/>
    <w:rsid w:val="00516287"/>
    <w:rsid w:val="0051767E"/>
    <w:rsid w:val="00520392"/>
    <w:rsid w:val="005215AF"/>
    <w:rsid w:val="00521F0C"/>
    <w:rsid w:val="00522280"/>
    <w:rsid w:val="00522782"/>
    <w:rsid w:val="00523D3B"/>
    <w:rsid w:val="0052504F"/>
    <w:rsid w:val="00530488"/>
    <w:rsid w:val="005313F4"/>
    <w:rsid w:val="00531D09"/>
    <w:rsid w:val="00535E2C"/>
    <w:rsid w:val="00536C05"/>
    <w:rsid w:val="00537BA9"/>
    <w:rsid w:val="0054088C"/>
    <w:rsid w:val="00541A6A"/>
    <w:rsid w:val="00541C11"/>
    <w:rsid w:val="00542635"/>
    <w:rsid w:val="005447BF"/>
    <w:rsid w:val="0054781E"/>
    <w:rsid w:val="00550A5C"/>
    <w:rsid w:val="00550F77"/>
    <w:rsid w:val="00553135"/>
    <w:rsid w:val="00553F97"/>
    <w:rsid w:val="005562E9"/>
    <w:rsid w:val="005566E5"/>
    <w:rsid w:val="00557655"/>
    <w:rsid w:val="005577C2"/>
    <w:rsid w:val="00561784"/>
    <w:rsid w:val="00562AE9"/>
    <w:rsid w:val="005637A6"/>
    <w:rsid w:val="00564EAE"/>
    <w:rsid w:val="00565A6C"/>
    <w:rsid w:val="00565F85"/>
    <w:rsid w:val="00570850"/>
    <w:rsid w:val="005737ED"/>
    <w:rsid w:val="00573B62"/>
    <w:rsid w:val="00574DD7"/>
    <w:rsid w:val="005752D6"/>
    <w:rsid w:val="005763BE"/>
    <w:rsid w:val="0057668C"/>
    <w:rsid w:val="005809FD"/>
    <w:rsid w:val="005812BA"/>
    <w:rsid w:val="00581627"/>
    <w:rsid w:val="00581B4B"/>
    <w:rsid w:val="00582065"/>
    <w:rsid w:val="0058794A"/>
    <w:rsid w:val="00593A09"/>
    <w:rsid w:val="00593DCD"/>
    <w:rsid w:val="0059441D"/>
    <w:rsid w:val="005952EF"/>
    <w:rsid w:val="00596B63"/>
    <w:rsid w:val="0059788E"/>
    <w:rsid w:val="005A1049"/>
    <w:rsid w:val="005A37A9"/>
    <w:rsid w:val="005A39FF"/>
    <w:rsid w:val="005A4F6C"/>
    <w:rsid w:val="005A5E51"/>
    <w:rsid w:val="005A6A79"/>
    <w:rsid w:val="005B10DB"/>
    <w:rsid w:val="005B3247"/>
    <w:rsid w:val="005B3AAC"/>
    <w:rsid w:val="005B67FC"/>
    <w:rsid w:val="005C1DA9"/>
    <w:rsid w:val="005C2840"/>
    <w:rsid w:val="005C2C7F"/>
    <w:rsid w:val="005C3382"/>
    <w:rsid w:val="005C4596"/>
    <w:rsid w:val="005C6214"/>
    <w:rsid w:val="005C655A"/>
    <w:rsid w:val="005C7EF0"/>
    <w:rsid w:val="005D02C2"/>
    <w:rsid w:val="005D20C6"/>
    <w:rsid w:val="005D2FBD"/>
    <w:rsid w:val="005D32FE"/>
    <w:rsid w:val="005D38D9"/>
    <w:rsid w:val="005D3985"/>
    <w:rsid w:val="005D5F55"/>
    <w:rsid w:val="005D7643"/>
    <w:rsid w:val="005E183E"/>
    <w:rsid w:val="005E24BA"/>
    <w:rsid w:val="005E282A"/>
    <w:rsid w:val="005E32AB"/>
    <w:rsid w:val="005E493D"/>
    <w:rsid w:val="005E5387"/>
    <w:rsid w:val="005F0DE2"/>
    <w:rsid w:val="005F2870"/>
    <w:rsid w:val="005F4317"/>
    <w:rsid w:val="005F6605"/>
    <w:rsid w:val="005F773C"/>
    <w:rsid w:val="005F7C78"/>
    <w:rsid w:val="0060144A"/>
    <w:rsid w:val="00601FB5"/>
    <w:rsid w:val="00602716"/>
    <w:rsid w:val="00602B04"/>
    <w:rsid w:val="006036C0"/>
    <w:rsid w:val="00604F14"/>
    <w:rsid w:val="00604F99"/>
    <w:rsid w:val="00605CD8"/>
    <w:rsid w:val="00606EB5"/>
    <w:rsid w:val="00611A5F"/>
    <w:rsid w:val="0061348C"/>
    <w:rsid w:val="00613DA3"/>
    <w:rsid w:val="00616009"/>
    <w:rsid w:val="00616FD2"/>
    <w:rsid w:val="00621A00"/>
    <w:rsid w:val="00622986"/>
    <w:rsid w:val="00622A55"/>
    <w:rsid w:val="006255DC"/>
    <w:rsid w:val="006317F3"/>
    <w:rsid w:val="00631E07"/>
    <w:rsid w:val="00633840"/>
    <w:rsid w:val="00636482"/>
    <w:rsid w:val="00636EA7"/>
    <w:rsid w:val="00640492"/>
    <w:rsid w:val="00640B23"/>
    <w:rsid w:val="0064143A"/>
    <w:rsid w:val="00641A1E"/>
    <w:rsid w:val="00643D05"/>
    <w:rsid w:val="00653339"/>
    <w:rsid w:val="00654068"/>
    <w:rsid w:val="0065612C"/>
    <w:rsid w:val="00661AD2"/>
    <w:rsid w:val="00661EB8"/>
    <w:rsid w:val="0066362A"/>
    <w:rsid w:val="00663E1E"/>
    <w:rsid w:val="006706C0"/>
    <w:rsid w:val="00670854"/>
    <w:rsid w:val="006711B2"/>
    <w:rsid w:val="006714A4"/>
    <w:rsid w:val="00672369"/>
    <w:rsid w:val="0067577F"/>
    <w:rsid w:val="00676798"/>
    <w:rsid w:val="00680CD4"/>
    <w:rsid w:val="0068133D"/>
    <w:rsid w:val="00681678"/>
    <w:rsid w:val="00681A7D"/>
    <w:rsid w:val="00682DDF"/>
    <w:rsid w:val="00683690"/>
    <w:rsid w:val="00684911"/>
    <w:rsid w:val="00684B09"/>
    <w:rsid w:val="006876B6"/>
    <w:rsid w:val="0069232E"/>
    <w:rsid w:val="00694D18"/>
    <w:rsid w:val="006960EF"/>
    <w:rsid w:val="006A1871"/>
    <w:rsid w:val="006A1DDD"/>
    <w:rsid w:val="006A3AB5"/>
    <w:rsid w:val="006A4053"/>
    <w:rsid w:val="006A579C"/>
    <w:rsid w:val="006A5A8C"/>
    <w:rsid w:val="006A613A"/>
    <w:rsid w:val="006A7194"/>
    <w:rsid w:val="006A79AA"/>
    <w:rsid w:val="006B2937"/>
    <w:rsid w:val="006B2BA2"/>
    <w:rsid w:val="006B55A6"/>
    <w:rsid w:val="006B666F"/>
    <w:rsid w:val="006B73FF"/>
    <w:rsid w:val="006C0CBF"/>
    <w:rsid w:val="006C0F4E"/>
    <w:rsid w:val="006C3D63"/>
    <w:rsid w:val="006C5676"/>
    <w:rsid w:val="006C690C"/>
    <w:rsid w:val="006C6AAD"/>
    <w:rsid w:val="006D06D4"/>
    <w:rsid w:val="006D1E71"/>
    <w:rsid w:val="006D4DB7"/>
    <w:rsid w:val="006D5EA3"/>
    <w:rsid w:val="006D7C24"/>
    <w:rsid w:val="006E1C1C"/>
    <w:rsid w:val="006E1F71"/>
    <w:rsid w:val="006E49E2"/>
    <w:rsid w:val="006E6657"/>
    <w:rsid w:val="006E6E6F"/>
    <w:rsid w:val="006E7CCB"/>
    <w:rsid w:val="006F10E1"/>
    <w:rsid w:val="006F15C8"/>
    <w:rsid w:val="006F1833"/>
    <w:rsid w:val="006F1E25"/>
    <w:rsid w:val="006F321E"/>
    <w:rsid w:val="006F43AF"/>
    <w:rsid w:val="006F5C9A"/>
    <w:rsid w:val="006F724C"/>
    <w:rsid w:val="006F77FE"/>
    <w:rsid w:val="006F7D41"/>
    <w:rsid w:val="00700451"/>
    <w:rsid w:val="00701317"/>
    <w:rsid w:val="00702764"/>
    <w:rsid w:val="00703E61"/>
    <w:rsid w:val="00705139"/>
    <w:rsid w:val="00707F63"/>
    <w:rsid w:val="00710896"/>
    <w:rsid w:val="00710A9D"/>
    <w:rsid w:val="00712DD5"/>
    <w:rsid w:val="00717738"/>
    <w:rsid w:val="00721B71"/>
    <w:rsid w:val="007225FB"/>
    <w:rsid w:val="0072581F"/>
    <w:rsid w:val="0072734C"/>
    <w:rsid w:val="00730C0A"/>
    <w:rsid w:val="00731017"/>
    <w:rsid w:val="00733870"/>
    <w:rsid w:val="00733979"/>
    <w:rsid w:val="00733DBC"/>
    <w:rsid w:val="007346E8"/>
    <w:rsid w:val="0073499C"/>
    <w:rsid w:val="00736F0D"/>
    <w:rsid w:val="007411E3"/>
    <w:rsid w:val="00743672"/>
    <w:rsid w:val="00744E38"/>
    <w:rsid w:val="00750E40"/>
    <w:rsid w:val="00751E96"/>
    <w:rsid w:val="007527F5"/>
    <w:rsid w:val="007528F4"/>
    <w:rsid w:val="0075324C"/>
    <w:rsid w:val="00754A07"/>
    <w:rsid w:val="007554F1"/>
    <w:rsid w:val="00760011"/>
    <w:rsid w:val="007629BD"/>
    <w:rsid w:val="0076321B"/>
    <w:rsid w:val="00764A82"/>
    <w:rsid w:val="0076558B"/>
    <w:rsid w:val="00767D6B"/>
    <w:rsid w:val="007709BE"/>
    <w:rsid w:val="0077379D"/>
    <w:rsid w:val="00773BEF"/>
    <w:rsid w:val="00777167"/>
    <w:rsid w:val="00780BAE"/>
    <w:rsid w:val="00783F44"/>
    <w:rsid w:val="00783F55"/>
    <w:rsid w:val="00786D77"/>
    <w:rsid w:val="00787772"/>
    <w:rsid w:val="00791996"/>
    <w:rsid w:val="00793536"/>
    <w:rsid w:val="007943D2"/>
    <w:rsid w:val="00795C40"/>
    <w:rsid w:val="00796BEC"/>
    <w:rsid w:val="00797024"/>
    <w:rsid w:val="00797854"/>
    <w:rsid w:val="007A01F9"/>
    <w:rsid w:val="007A02A3"/>
    <w:rsid w:val="007A0B2D"/>
    <w:rsid w:val="007A250A"/>
    <w:rsid w:val="007A56C9"/>
    <w:rsid w:val="007A572F"/>
    <w:rsid w:val="007A5BCF"/>
    <w:rsid w:val="007A6273"/>
    <w:rsid w:val="007A6FA7"/>
    <w:rsid w:val="007A730A"/>
    <w:rsid w:val="007A75EC"/>
    <w:rsid w:val="007B1429"/>
    <w:rsid w:val="007B1C1B"/>
    <w:rsid w:val="007C02EE"/>
    <w:rsid w:val="007C085A"/>
    <w:rsid w:val="007C1214"/>
    <w:rsid w:val="007C2FE7"/>
    <w:rsid w:val="007C3328"/>
    <w:rsid w:val="007D0226"/>
    <w:rsid w:val="007D48E0"/>
    <w:rsid w:val="007D4F65"/>
    <w:rsid w:val="007D5657"/>
    <w:rsid w:val="007D6BB1"/>
    <w:rsid w:val="007D7081"/>
    <w:rsid w:val="007D7506"/>
    <w:rsid w:val="007E1FCB"/>
    <w:rsid w:val="007E2F10"/>
    <w:rsid w:val="007E39AD"/>
    <w:rsid w:val="007E3ADC"/>
    <w:rsid w:val="007E465E"/>
    <w:rsid w:val="007E47FA"/>
    <w:rsid w:val="007E5646"/>
    <w:rsid w:val="007E6578"/>
    <w:rsid w:val="007E7D41"/>
    <w:rsid w:val="007F14D0"/>
    <w:rsid w:val="007F19D7"/>
    <w:rsid w:val="007F28C3"/>
    <w:rsid w:val="007F29B3"/>
    <w:rsid w:val="007F723F"/>
    <w:rsid w:val="00805F87"/>
    <w:rsid w:val="008063BA"/>
    <w:rsid w:val="00807A89"/>
    <w:rsid w:val="00810452"/>
    <w:rsid w:val="008104B7"/>
    <w:rsid w:val="00811B37"/>
    <w:rsid w:val="00812140"/>
    <w:rsid w:val="008121B5"/>
    <w:rsid w:val="008128FD"/>
    <w:rsid w:val="00812B74"/>
    <w:rsid w:val="008135A6"/>
    <w:rsid w:val="008139AD"/>
    <w:rsid w:val="008240A6"/>
    <w:rsid w:val="008271DB"/>
    <w:rsid w:val="00830386"/>
    <w:rsid w:val="00831296"/>
    <w:rsid w:val="00831479"/>
    <w:rsid w:val="00832794"/>
    <w:rsid w:val="00833481"/>
    <w:rsid w:val="00833CA2"/>
    <w:rsid w:val="0083510D"/>
    <w:rsid w:val="00835B51"/>
    <w:rsid w:val="00836556"/>
    <w:rsid w:val="00837959"/>
    <w:rsid w:val="0084175D"/>
    <w:rsid w:val="00842624"/>
    <w:rsid w:val="00842681"/>
    <w:rsid w:val="00844962"/>
    <w:rsid w:val="00847026"/>
    <w:rsid w:val="00847C12"/>
    <w:rsid w:val="0085012E"/>
    <w:rsid w:val="00851417"/>
    <w:rsid w:val="008517FA"/>
    <w:rsid w:val="00854B28"/>
    <w:rsid w:val="00854F7F"/>
    <w:rsid w:val="00854FB1"/>
    <w:rsid w:val="00855541"/>
    <w:rsid w:val="00855B28"/>
    <w:rsid w:val="0085627B"/>
    <w:rsid w:val="008569DE"/>
    <w:rsid w:val="00862AA3"/>
    <w:rsid w:val="00862D98"/>
    <w:rsid w:val="00865F87"/>
    <w:rsid w:val="008671B8"/>
    <w:rsid w:val="00871E52"/>
    <w:rsid w:val="0087204E"/>
    <w:rsid w:val="008736C1"/>
    <w:rsid w:val="0087545D"/>
    <w:rsid w:val="00876E1A"/>
    <w:rsid w:val="00877DDA"/>
    <w:rsid w:val="00882D07"/>
    <w:rsid w:val="00884B68"/>
    <w:rsid w:val="00884F2D"/>
    <w:rsid w:val="008855E4"/>
    <w:rsid w:val="00885FB2"/>
    <w:rsid w:val="008919C6"/>
    <w:rsid w:val="00891D2F"/>
    <w:rsid w:val="008921EB"/>
    <w:rsid w:val="008933C9"/>
    <w:rsid w:val="00894890"/>
    <w:rsid w:val="00897641"/>
    <w:rsid w:val="008A1F4B"/>
    <w:rsid w:val="008A282F"/>
    <w:rsid w:val="008A2ED7"/>
    <w:rsid w:val="008A3C9A"/>
    <w:rsid w:val="008A6116"/>
    <w:rsid w:val="008A6404"/>
    <w:rsid w:val="008A6B5C"/>
    <w:rsid w:val="008B0FBA"/>
    <w:rsid w:val="008B1625"/>
    <w:rsid w:val="008B24EB"/>
    <w:rsid w:val="008B46D4"/>
    <w:rsid w:val="008B4C1E"/>
    <w:rsid w:val="008B515C"/>
    <w:rsid w:val="008C1C1D"/>
    <w:rsid w:val="008D1F66"/>
    <w:rsid w:val="008D283E"/>
    <w:rsid w:val="008D29EA"/>
    <w:rsid w:val="008D2B86"/>
    <w:rsid w:val="008D357C"/>
    <w:rsid w:val="008D49C0"/>
    <w:rsid w:val="008D4C9A"/>
    <w:rsid w:val="008D5676"/>
    <w:rsid w:val="008E31B2"/>
    <w:rsid w:val="008E377C"/>
    <w:rsid w:val="008E5B9F"/>
    <w:rsid w:val="008E6249"/>
    <w:rsid w:val="008E6F22"/>
    <w:rsid w:val="008F40BF"/>
    <w:rsid w:val="008F57FB"/>
    <w:rsid w:val="008F5992"/>
    <w:rsid w:val="008F5E3A"/>
    <w:rsid w:val="008F7CC6"/>
    <w:rsid w:val="009000E1"/>
    <w:rsid w:val="0090130A"/>
    <w:rsid w:val="0090409F"/>
    <w:rsid w:val="009046A2"/>
    <w:rsid w:val="00906DEC"/>
    <w:rsid w:val="00913611"/>
    <w:rsid w:val="009164D2"/>
    <w:rsid w:val="00916C46"/>
    <w:rsid w:val="00917359"/>
    <w:rsid w:val="0092002A"/>
    <w:rsid w:val="00921A6B"/>
    <w:rsid w:val="009222EF"/>
    <w:rsid w:val="00923311"/>
    <w:rsid w:val="0092427A"/>
    <w:rsid w:val="0092649D"/>
    <w:rsid w:val="009273EC"/>
    <w:rsid w:val="00931F6E"/>
    <w:rsid w:val="00932889"/>
    <w:rsid w:val="009350D9"/>
    <w:rsid w:val="009366D6"/>
    <w:rsid w:val="009402B5"/>
    <w:rsid w:val="0094137A"/>
    <w:rsid w:val="00942C87"/>
    <w:rsid w:val="00942F57"/>
    <w:rsid w:val="00943F6D"/>
    <w:rsid w:val="0094514C"/>
    <w:rsid w:val="009458B5"/>
    <w:rsid w:val="00947EEF"/>
    <w:rsid w:val="0095022F"/>
    <w:rsid w:val="00952BD3"/>
    <w:rsid w:val="00953589"/>
    <w:rsid w:val="00953B81"/>
    <w:rsid w:val="00954820"/>
    <w:rsid w:val="009557A5"/>
    <w:rsid w:val="00956CEC"/>
    <w:rsid w:val="00962214"/>
    <w:rsid w:val="009623B1"/>
    <w:rsid w:val="009629BB"/>
    <w:rsid w:val="00965EF5"/>
    <w:rsid w:val="00966AB5"/>
    <w:rsid w:val="00970520"/>
    <w:rsid w:val="00971339"/>
    <w:rsid w:val="009737C5"/>
    <w:rsid w:val="0097472B"/>
    <w:rsid w:val="0097676C"/>
    <w:rsid w:val="00977390"/>
    <w:rsid w:val="00977F68"/>
    <w:rsid w:val="00981329"/>
    <w:rsid w:val="00982C2C"/>
    <w:rsid w:val="00982F28"/>
    <w:rsid w:val="00984840"/>
    <w:rsid w:val="00984EE3"/>
    <w:rsid w:val="00986205"/>
    <w:rsid w:val="009900A3"/>
    <w:rsid w:val="00991267"/>
    <w:rsid w:val="00991ADC"/>
    <w:rsid w:val="00993FF3"/>
    <w:rsid w:val="00994BD1"/>
    <w:rsid w:val="009A0620"/>
    <w:rsid w:val="009A196C"/>
    <w:rsid w:val="009A1CF5"/>
    <w:rsid w:val="009A2367"/>
    <w:rsid w:val="009A4F6F"/>
    <w:rsid w:val="009A5A8B"/>
    <w:rsid w:val="009A6C0E"/>
    <w:rsid w:val="009A7130"/>
    <w:rsid w:val="009B1040"/>
    <w:rsid w:val="009B26B4"/>
    <w:rsid w:val="009B278A"/>
    <w:rsid w:val="009B3CD6"/>
    <w:rsid w:val="009B40F0"/>
    <w:rsid w:val="009B4AA5"/>
    <w:rsid w:val="009B59A5"/>
    <w:rsid w:val="009B61F2"/>
    <w:rsid w:val="009B7116"/>
    <w:rsid w:val="009B787D"/>
    <w:rsid w:val="009C001C"/>
    <w:rsid w:val="009C039C"/>
    <w:rsid w:val="009C0602"/>
    <w:rsid w:val="009C3E59"/>
    <w:rsid w:val="009C5BC6"/>
    <w:rsid w:val="009C6968"/>
    <w:rsid w:val="009D16F5"/>
    <w:rsid w:val="009D2520"/>
    <w:rsid w:val="009D2FE5"/>
    <w:rsid w:val="009D3427"/>
    <w:rsid w:val="009D3584"/>
    <w:rsid w:val="009D46CD"/>
    <w:rsid w:val="009D518A"/>
    <w:rsid w:val="009D587E"/>
    <w:rsid w:val="009D79F4"/>
    <w:rsid w:val="009E0F9F"/>
    <w:rsid w:val="009E1192"/>
    <w:rsid w:val="009E18C9"/>
    <w:rsid w:val="009E4EC3"/>
    <w:rsid w:val="009E4F84"/>
    <w:rsid w:val="009E6DA4"/>
    <w:rsid w:val="009F0E6E"/>
    <w:rsid w:val="009F1C91"/>
    <w:rsid w:val="009F26B4"/>
    <w:rsid w:val="009F29EB"/>
    <w:rsid w:val="009F2F8C"/>
    <w:rsid w:val="009F611B"/>
    <w:rsid w:val="009F6A42"/>
    <w:rsid w:val="00A03E69"/>
    <w:rsid w:val="00A052C6"/>
    <w:rsid w:val="00A05F86"/>
    <w:rsid w:val="00A07160"/>
    <w:rsid w:val="00A072C6"/>
    <w:rsid w:val="00A07392"/>
    <w:rsid w:val="00A10A5B"/>
    <w:rsid w:val="00A11091"/>
    <w:rsid w:val="00A1229C"/>
    <w:rsid w:val="00A1275B"/>
    <w:rsid w:val="00A1302A"/>
    <w:rsid w:val="00A1519D"/>
    <w:rsid w:val="00A204F7"/>
    <w:rsid w:val="00A220D5"/>
    <w:rsid w:val="00A25C7B"/>
    <w:rsid w:val="00A26869"/>
    <w:rsid w:val="00A30D3F"/>
    <w:rsid w:val="00A31B2D"/>
    <w:rsid w:val="00A36F78"/>
    <w:rsid w:val="00A402C4"/>
    <w:rsid w:val="00A4065C"/>
    <w:rsid w:val="00A4175B"/>
    <w:rsid w:val="00A42396"/>
    <w:rsid w:val="00A42BF3"/>
    <w:rsid w:val="00A434E9"/>
    <w:rsid w:val="00A441F3"/>
    <w:rsid w:val="00A46254"/>
    <w:rsid w:val="00A468A3"/>
    <w:rsid w:val="00A46EC6"/>
    <w:rsid w:val="00A473BC"/>
    <w:rsid w:val="00A5153D"/>
    <w:rsid w:val="00A5329B"/>
    <w:rsid w:val="00A53F2B"/>
    <w:rsid w:val="00A54A48"/>
    <w:rsid w:val="00A570ED"/>
    <w:rsid w:val="00A57A3D"/>
    <w:rsid w:val="00A61843"/>
    <w:rsid w:val="00A61D87"/>
    <w:rsid w:val="00A62BF6"/>
    <w:rsid w:val="00A63797"/>
    <w:rsid w:val="00A63EAC"/>
    <w:rsid w:val="00A6451B"/>
    <w:rsid w:val="00A653B1"/>
    <w:rsid w:val="00A65C47"/>
    <w:rsid w:val="00A66A4A"/>
    <w:rsid w:val="00A73256"/>
    <w:rsid w:val="00A75E00"/>
    <w:rsid w:val="00A76420"/>
    <w:rsid w:val="00A76BDC"/>
    <w:rsid w:val="00A770B9"/>
    <w:rsid w:val="00A778BA"/>
    <w:rsid w:val="00A8019D"/>
    <w:rsid w:val="00A80BDD"/>
    <w:rsid w:val="00A81BCF"/>
    <w:rsid w:val="00A82999"/>
    <w:rsid w:val="00A83310"/>
    <w:rsid w:val="00A839F5"/>
    <w:rsid w:val="00A83E31"/>
    <w:rsid w:val="00A83F7E"/>
    <w:rsid w:val="00A84F38"/>
    <w:rsid w:val="00A85708"/>
    <w:rsid w:val="00A87022"/>
    <w:rsid w:val="00A873F2"/>
    <w:rsid w:val="00A90931"/>
    <w:rsid w:val="00A909E8"/>
    <w:rsid w:val="00A90DE4"/>
    <w:rsid w:val="00A92873"/>
    <w:rsid w:val="00A92BF3"/>
    <w:rsid w:val="00A9414B"/>
    <w:rsid w:val="00A94F03"/>
    <w:rsid w:val="00A95C8A"/>
    <w:rsid w:val="00A96EFB"/>
    <w:rsid w:val="00A97868"/>
    <w:rsid w:val="00AA3E36"/>
    <w:rsid w:val="00AA4141"/>
    <w:rsid w:val="00AA553B"/>
    <w:rsid w:val="00AA7705"/>
    <w:rsid w:val="00AB0723"/>
    <w:rsid w:val="00AB1CEA"/>
    <w:rsid w:val="00AB47A0"/>
    <w:rsid w:val="00AB524D"/>
    <w:rsid w:val="00AB5303"/>
    <w:rsid w:val="00AB6390"/>
    <w:rsid w:val="00AC0485"/>
    <w:rsid w:val="00AC0CC2"/>
    <w:rsid w:val="00AC1251"/>
    <w:rsid w:val="00AC274E"/>
    <w:rsid w:val="00AC2C3C"/>
    <w:rsid w:val="00AC3B35"/>
    <w:rsid w:val="00AC4A0C"/>
    <w:rsid w:val="00AC663A"/>
    <w:rsid w:val="00AC711C"/>
    <w:rsid w:val="00AC7AB0"/>
    <w:rsid w:val="00AD0ABA"/>
    <w:rsid w:val="00AD2399"/>
    <w:rsid w:val="00AD603A"/>
    <w:rsid w:val="00AD636E"/>
    <w:rsid w:val="00AD7634"/>
    <w:rsid w:val="00AD7DDB"/>
    <w:rsid w:val="00AE05DC"/>
    <w:rsid w:val="00AE0F0A"/>
    <w:rsid w:val="00AE1421"/>
    <w:rsid w:val="00AE23CB"/>
    <w:rsid w:val="00AE654B"/>
    <w:rsid w:val="00AE6562"/>
    <w:rsid w:val="00AE6A49"/>
    <w:rsid w:val="00AF0473"/>
    <w:rsid w:val="00AF1BFC"/>
    <w:rsid w:val="00AF2426"/>
    <w:rsid w:val="00AF3C91"/>
    <w:rsid w:val="00AF67E6"/>
    <w:rsid w:val="00AF6837"/>
    <w:rsid w:val="00B00BD7"/>
    <w:rsid w:val="00B00DA7"/>
    <w:rsid w:val="00B02670"/>
    <w:rsid w:val="00B02F46"/>
    <w:rsid w:val="00B07956"/>
    <w:rsid w:val="00B079B2"/>
    <w:rsid w:val="00B07FDE"/>
    <w:rsid w:val="00B104F6"/>
    <w:rsid w:val="00B10F09"/>
    <w:rsid w:val="00B1143D"/>
    <w:rsid w:val="00B11A10"/>
    <w:rsid w:val="00B134FF"/>
    <w:rsid w:val="00B139D5"/>
    <w:rsid w:val="00B13C31"/>
    <w:rsid w:val="00B141B6"/>
    <w:rsid w:val="00B155D2"/>
    <w:rsid w:val="00B16DDD"/>
    <w:rsid w:val="00B22A45"/>
    <w:rsid w:val="00B235B2"/>
    <w:rsid w:val="00B242A2"/>
    <w:rsid w:val="00B24F1D"/>
    <w:rsid w:val="00B26598"/>
    <w:rsid w:val="00B31362"/>
    <w:rsid w:val="00B31471"/>
    <w:rsid w:val="00B329F7"/>
    <w:rsid w:val="00B32AA4"/>
    <w:rsid w:val="00B36418"/>
    <w:rsid w:val="00B3659B"/>
    <w:rsid w:val="00B36F15"/>
    <w:rsid w:val="00B4013A"/>
    <w:rsid w:val="00B42930"/>
    <w:rsid w:val="00B4645A"/>
    <w:rsid w:val="00B4777E"/>
    <w:rsid w:val="00B5190F"/>
    <w:rsid w:val="00B51BFA"/>
    <w:rsid w:val="00B51C87"/>
    <w:rsid w:val="00B5546A"/>
    <w:rsid w:val="00B56108"/>
    <w:rsid w:val="00B56F64"/>
    <w:rsid w:val="00B606CD"/>
    <w:rsid w:val="00B6207F"/>
    <w:rsid w:val="00B6258E"/>
    <w:rsid w:val="00B639F8"/>
    <w:rsid w:val="00B63A1D"/>
    <w:rsid w:val="00B64674"/>
    <w:rsid w:val="00B65700"/>
    <w:rsid w:val="00B658EB"/>
    <w:rsid w:val="00B65B92"/>
    <w:rsid w:val="00B65EAD"/>
    <w:rsid w:val="00B67536"/>
    <w:rsid w:val="00B7012A"/>
    <w:rsid w:val="00B70600"/>
    <w:rsid w:val="00B7073C"/>
    <w:rsid w:val="00B73C44"/>
    <w:rsid w:val="00B73E25"/>
    <w:rsid w:val="00B74892"/>
    <w:rsid w:val="00B75C72"/>
    <w:rsid w:val="00B77C30"/>
    <w:rsid w:val="00B81568"/>
    <w:rsid w:val="00B81D0C"/>
    <w:rsid w:val="00B84905"/>
    <w:rsid w:val="00B84F9B"/>
    <w:rsid w:val="00B85C5F"/>
    <w:rsid w:val="00B85DCC"/>
    <w:rsid w:val="00B865DF"/>
    <w:rsid w:val="00B87139"/>
    <w:rsid w:val="00B90C60"/>
    <w:rsid w:val="00B91BCF"/>
    <w:rsid w:val="00B9652F"/>
    <w:rsid w:val="00B97F0F"/>
    <w:rsid w:val="00BA06A1"/>
    <w:rsid w:val="00BA29ED"/>
    <w:rsid w:val="00BA3CA0"/>
    <w:rsid w:val="00BA3EE3"/>
    <w:rsid w:val="00BA47F4"/>
    <w:rsid w:val="00BA56BA"/>
    <w:rsid w:val="00BA726F"/>
    <w:rsid w:val="00BA76E6"/>
    <w:rsid w:val="00BB0BE5"/>
    <w:rsid w:val="00BB4403"/>
    <w:rsid w:val="00BB7744"/>
    <w:rsid w:val="00BB77C6"/>
    <w:rsid w:val="00BC02A0"/>
    <w:rsid w:val="00BC04B0"/>
    <w:rsid w:val="00BC07BC"/>
    <w:rsid w:val="00BC125E"/>
    <w:rsid w:val="00BC1846"/>
    <w:rsid w:val="00BC39BB"/>
    <w:rsid w:val="00BC646A"/>
    <w:rsid w:val="00BD1DF6"/>
    <w:rsid w:val="00BD5233"/>
    <w:rsid w:val="00BD699A"/>
    <w:rsid w:val="00BE0200"/>
    <w:rsid w:val="00BE1A3A"/>
    <w:rsid w:val="00BE28BD"/>
    <w:rsid w:val="00BE5BA0"/>
    <w:rsid w:val="00BE65ED"/>
    <w:rsid w:val="00BE6FE3"/>
    <w:rsid w:val="00BE74B4"/>
    <w:rsid w:val="00BF0590"/>
    <w:rsid w:val="00BF0B68"/>
    <w:rsid w:val="00BF0E73"/>
    <w:rsid w:val="00BF2D2F"/>
    <w:rsid w:val="00BF2EF5"/>
    <w:rsid w:val="00BF3A6A"/>
    <w:rsid w:val="00BF4DC6"/>
    <w:rsid w:val="00BF5A7D"/>
    <w:rsid w:val="00BF7A87"/>
    <w:rsid w:val="00BF7C73"/>
    <w:rsid w:val="00C0005E"/>
    <w:rsid w:val="00C00723"/>
    <w:rsid w:val="00C0144B"/>
    <w:rsid w:val="00C014CC"/>
    <w:rsid w:val="00C0191B"/>
    <w:rsid w:val="00C0327A"/>
    <w:rsid w:val="00C057A3"/>
    <w:rsid w:val="00C06769"/>
    <w:rsid w:val="00C10DDE"/>
    <w:rsid w:val="00C10E02"/>
    <w:rsid w:val="00C113FB"/>
    <w:rsid w:val="00C13379"/>
    <w:rsid w:val="00C14A7C"/>
    <w:rsid w:val="00C1523E"/>
    <w:rsid w:val="00C16F0E"/>
    <w:rsid w:val="00C173F5"/>
    <w:rsid w:val="00C2386A"/>
    <w:rsid w:val="00C2388E"/>
    <w:rsid w:val="00C304FD"/>
    <w:rsid w:val="00C305DA"/>
    <w:rsid w:val="00C31E52"/>
    <w:rsid w:val="00C32D87"/>
    <w:rsid w:val="00C33AEF"/>
    <w:rsid w:val="00C34AEE"/>
    <w:rsid w:val="00C41449"/>
    <w:rsid w:val="00C4279B"/>
    <w:rsid w:val="00C43292"/>
    <w:rsid w:val="00C44B91"/>
    <w:rsid w:val="00C453E9"/>
    <w:rsid w:val="00C462EB"/>
    <w:rsid w:val="00C479E3"/>
    <w:rsid w:val="00C47B30"/>
    <w:rsid w:val="00C47D3E"/>
    <w:rsid w:val="00C525B7"/>
    <w:rsid w:val="00C5335E"/>
    <w:rsid w:val="00C550BA"/>
    <w:rsid w:val="00C55430"/>
    <w:rsid w:val="00C56175"/>
    <w:rsid w:val="00C57004"/>
    <w:rsid w:val="00C607D3"/>
    <w:rsid w:val="00C62CE7"/>
    <w:rsid w:val="00C6321D"/>
    <w:rsid w:val="00C63750"/>
    <w:rsid w:val="00C6385C"/>
    <w:rsid w:val="00C72691"/>
    <w:rsid w:val="00C7292B"/>
    <w:rsid w:val="00C7582C"/>
    <w:rsid w:val="00C75D49"/>
    <w:rsid w:val="00C76338"/>
    <w:rsid w:val="00C7652A"/>
    <w:rsid w:val="00C772B4"/>
    <w:rsid w:val="00C83A71"/>
    <w:rsid w:val="00C83EC8"/>
    <w:rsid w:val="00C8443E"/>
    <w:rsid w:val="00C90D01"/>
    <w:rsid w:val="00C915CC"/>
    <w:rsid w:val="00C92E7C"/>
    <w:rsid w:val="00C9305C"/>
    <w:rsid w:val="00C9436F"/>
    <w:rsid w:val="00C9525A"/>
    <w:rsid w:val="00C96A32"/>
    <w:rsid w:val="00CA18E7"/>
    <w:rsid w:val="00CA26C1"/>
    <w:rsid w:val="00CA56EA"/>
    <w:rsid w:val="00CA5CE0"/>
    <w:rsid w:val="00CA64D7"/>
    <w:rsid w:val="00CA6C76"/>
    <w:rsid w:val="00CA6E63"/>
    <w:rsid w:val="00CA7B21"/>
    <w:rsid w:val="00CB0849"/>
    <w:rsid w:val="00CB1DCC"/>
    <w:rsid w:val="00CB43D7"/>
    <w:rsid w:val="00CB467B"/>
    <w:rsid w:val="00CB5030"/>
    <w:rsid w:val="00CB55F2"/>
    <w:rsid w:val="00CC2404"/>
    <w:rsid w:val="00CC3808"/>
    <w:rsid w:val="00CC4275"/>
    <w:rsid w:val="00CC49AE"/>
    <w:rsid w:val="00CC4B31"/>
    <w:rsid w:val="00CC4FEF"/>
    <w:rsid w:val="00CC60A5"/>
    <w:rsid w:val="00CC634E"/>
    <w:rsid w:val="00CD1065"/>
    <w:rsid w:val="00CD1917"/>
    <w:rsid w:val="00CD6E2D"/>
    <w:rsid w:val="00CE143A"/>
    <w:rsid w:val="00CE3281"/>
    <w:rsid w:val="00CE495A"/>
    <w:rsid w:val="00CE68B5"/>
    <w:rsid w:val="00CF1D61"/>
    <w:rsid w:val="00CF4923"/>
    <w:rsid w:val="00CF7482"/>
    <w:rsid w:val="00D01BD7"/>
    <w:rsid w:val="00D02181"/>
    <w:rsid w:val="00D03125"/>
    <w:rsid w:val="00D05432"/>
    <w:rsid w:val="00D06DC0"/>
    <w:rsid w:val="00D111AA"/>
    <w:rsid w:val="00D13C54"/>
    <w:rsid w:val="00D13EA4"/>
    <w:rsid w:val="00D14558"/>
    <w:rsid w:val="00D152C3"/>
    <w:rsid w:val="00D15C28"/>
    <w:rsid w:val="00D17FA5"/>
    <w:rsid w:val="00D20707"/>
    <w:rsid w:val="00D212D6"/>
    <w:rsid w:val="00D24CA1"/>
    <w:rsid w:val="00D25B08"/>
    <w:rsid w:val="00D31939"/>
    <w:rsid w:val="00D3210A"/>
    <w:rsid w:val="00D3448B"/>
    <w:rsid w:val="00D3458E"/>
    <w:rsid w:val="00D34983"/>
    <w:rsid w:val="00D35D8D"/>
    <w:rsid w:val="00D362FE"/>
    <w:rsid w:val="00D36EF1"/>
    <w:rsid w:val="00D4415C"/>
    <w:rsid w:val="00D46122"/>
    <w:rsid w:val="00D47992"/>
    <w:rsid w:val="00D47C9C"/>
    <w:rsid w:val="00D52E13"/>
    <w:rsid w:val="00D53171"/>
    <w:rsid w:val="00D54491"/>
    <w:rsid w:val="00D54F92"/>
    <w:rsid w:val="00D56172"/>
    <w:rsid w:val="00D62F34"/>
    <w:rsid w:val="00D65078"/>
    <w:rsid w:val="00D66062"/>
    <w:rsid w:val="00D720F6"/>
    <w:rsid w:val="00D72500"/>
    <w:rsid w:val="00D73324"/>
    <w:rsid w:val="00D7362E"/>
    <w:rsid w:val="00D74704"/>
    <w:rsid w:val="00D75BCB"/>
    <w:rsid w:val="00D77EB7"/>
    <w:rsid w:val="00D825D8"/>
    <w:rsid w:val="00D8345B"/>
    <w:rsid w:val="00D83A0A"/>
    <w:rsid w:val="00D841C9"/>
    <w:rsid w:val="00D848D3"/>
    <w:rsid w:val="00D855B9"/>
    <w:rsid w:val="00D85EDB"/>
    <w:rsid w:val="00D86111"/>
    <w:rsid w:val="00D869CF"/>
    <w:rsid w:val="00D8744D"/>
    <w:rsid w:val="00D87B59"/>
    <w:rsid w:val="00D901B8"/>
    <w:rsid w:val="00D902B1"/>
    <w:rsid w:val="00D918E0"/>
    <w:rsid w:val="00D927C3"/>
    <w:rsid w:val="00D92F9E"/>
    <w:rsid w:val="00D9496D"/>
    <w:rsid w:val="00D952F6"/>
    <w:rsid w:val="00D954B3"/>
    <w:rsid w:val="00D9589F"/>
    <w:rsid w:val="00D97420"/>
    <w:rsid w:val="00DA05EE"/>
    <w:rsid w:val="00DA1662"/>
    <w:rsid w:val="00DA187F"/>
    <w:rsid w:val="00DA2BCC"/>
    <w:rsid w:val="00DA3333"/>
    <w:rsid w:val="00DA5435"/>
    <w:rsid w:val="00DA5F23"/>
    <w:rsid w:val="00DA6675"/>
    <w:rsid w:val="00DA69D1"/>
    <w:rsid w:val="00DA7441"/>
    <w:rsid w:val="00DA77EF"/>
    <w:rsid w:val="00DB07AA"/>
    <w:rsid w:val="00DB0B40"/>
    <w:rsid w:val="00DB0E52"/>
    <w:rsid w:val="00DB1951"/>
    <w:rsid w:val="00DB2AD2"/>
    <w:rsid w:val="00DB4B59"/>
    <w:rsid w:val="00DB4BAD"/>
    <w:rsid w:val="00DB5361"/>
    <w:rsid w:val="00DB5E5C"/>
    <w:rsid w:val="00DB6503"/>
    <w:rsid w:val="00DC0208"/>
    <w:rsid w:val="00DC091D"/>
    <w:rsid w:val="00DC09EA"/>
    <w:rsid w:val="00DC27AF"/>
    <w:rsid w:val="00DC2A3F"/>
    <w:rsid w:val="00DC2BCB"/>
    <w:rsid w:val="00DC3272"/>
    <w:rsid w:val="00DC6475"/>
    <w:rsid w:val="00DD144E"/>
    <w:rsid w:val="00DD3527"/>
    <w:rsid w:val="00DD5639"/>
    <w:rsid w:val="00DD698D"/>
    <w:rsid w:val="00DD7C68"/>
    <w:rsid w:val="00DD7D26"/>
    <w:rsid w:val="00DE031A"/>
    <w:rsid w:val="00DE0978"/>
    <w:rsid w:val="00DE1A7C"/>
    <w:rsid w:val="00DE2A79"/>
    <w:rsid w:val="00DE3BF3"/>
    <w:rsid w:val="00DE445E"/>
    <w:rsid w:val="00DE7BDC"/>
    <w:rsid w:val="00DF0E6C"/>
    <w:rsid w:val="00DF1B73"/>
    <w:rsid w:val="00DF1F27"/>
    <w:rsid w:val="00DF4A17"/>
    <w:rsid w:val="00DF6800"/>
    <w:rsid w:val="00DF7637"/>
    <w:rsid w:val="00DF7A77"/>
    <w:rsid w:val="00E002C4"/>
    <w:rsid w:val="00E00F0C"/>
    <w:rsid w:val="00E023C3"/>
    <w:rsid w:val="00E0327E"/>
    <w:rsid w:val="00E038E7"/>
    <w:rsid w:val="00E0530A"/>
    <w:rsid w:val="00E0585E"/>
    <w:rsid w:val="00E05D88"/>
    <w:rsid w:val="00E154DD"/>
    <w:rsid w:val="00E1634D"/>
    <w:rsid w:val="00E21C62"/>
    <w:rsid w:val="00E25768"/>
    <w:rsid w:val="00E25C40"/>
    <w:rsid w:val="00E2625D"/>
    <w:rsid w:val="00E32714"/>
    <w:rsid w:val="00E340CA"/>
    <w:rsid w:val="00E34B8A"/>
    <w:rsid w:val="00E359D4"/>
    <w:rsid w:val="00E37C3F"/>
    <w:rsid w:val="00E37D29"/>
    <w:rsid w:val="00E40C73"/>
    <w:rsid w:val="00E40D2A"/>
    <w:rsid w:val="00E41109"/>
    <w:rsid w:val="00E41168"/>
    <w:rsid w:val="00E41494"/>
    <w:rsid w:val="00E41E63"/>
    <w:rsid w:val="00E4711E"/>
    <w:rsid w:val="00E51CE5"/>
    <w:rsid w:val="00E520A0"/>
    <w:rsid w:val="00E5290C"/>
    <w:rsid w:val="00E53C82"/>
    <w:rsid w:val="00E578E4"/>
    <w:rsid w:val="00E57A8B"/>
    <w:rsid w:val="00E6127D"/>
    <w:rsid w:val="00E612AB"/>
    <w:rsid w:val="00E616B7"/>
    <w:rsid w:val="00E61852"/>
    <w:rsid w:val="00E61A30"/>
    <w:rsid w:val="00E6230F"/>
    <w:rsid w:val="00E62BC9"/>
    <w:rsid w:val="00E62D4F"/>
    <w:rsid w:val="00E62F8F"/>
    <w:rsid w:val="00E63584"/>
    <w:rsid w:val="00E64335"/>
    <w:rsid w:val="00E644FB"/>
    <w:rsid w:val="00E6534F"/>
    <w:rsid w:val="00E65CF1"/>
    <w:rsid w:val="00E6696C"/>
    <w:rsid w:val="00E67C59"/>
    <w:rsid w:val="00E739D0"/>
    <w:rsid w:val="00E73ECF"/>
    <w:rsid w:val="00E73EFE"/>
    <w:rsid w:val="00E749A2"/>
    <w:rsid w:val="00E74FC1"/>
    <w:rsid w:val="00E75298"/>
    <w:rsid w:val="00E75891"/>
    <w:rsid w:val="00E76A9F"/>
    <w:rsid w:val="00E76B50"/>
    <w:rsid w:val="00E76C3E"/>
    <w:rsid w:val="00E76E1B"/>
    <w:rsid w:val="00E77167"/>
    <w:rsid w:val="00E77DF6"/>
    <w:rsid w:val="00E8044F"/>
    <w:rsid w:val="00E81653"/>
    <w:rsid w:val="00E81761"/>
    <w:rsid w:val="00E8182C"/>
    <w:rsid w:val="00E83311"/>
    <w:rsid w:val="00E8358F"/>
    <w:rsid w:val="00E83CD6"/>
    <w:rsid w:val="00E859C2"/>
    <w:rsid w:val="00E862F0"/>
    <w:rsid w:val="00E86BEC"/>
    <w:rsid w:val="00E91A01"/>
    <w:rsid w:val="00E9431A"/>
    <w:rsid w:val="00E952D0"/>
    <w:rsid w:val="00E95520"/>
    <w:rsid w:val="00E95DE5"/>
    <w:rsid w:val="00E9606F"/>
    <w:rsid w:val="00EA0BBC"/>
    <w:rsid w:val="00EA3884"/>
    <w:rsid w:val="00EA3A76"/>
    <w:rsid w:val="00EA5C41"/>
    <w:rsid w:val="00EA5E6E"/>
    <w:rsid w:val="00EA779B"/>
    <w:rsid w:val="00EB0A40"/>
    <w:rsid w:val="00EB2317"/>
    <w:rsid w:val="00EB27E2"/>
    <w:rsid w:val="00EB29B3"/>
    <w:rsid w:val="00EB3626"/>
    <w:rsid w:val="00EB39DF"/>
    <w:rsid w:val="00EB49B2"/>
    <w:rsid w:val="00EB6B7F"/>
    <w:rsid w:val="00EC1C40"/>
    <w:rsid w:val="00EC1D28"/>
    <w:rsid w:val="00EC3665"/>
    <w:rsid w:val="00ED05BC"/>
    <w:rsid w:val="00ED11FD"/>
    <w:rsid w:val="00ED5A6F"/>
    <w:rsid w:val="00ED731C"/>
    <w:rsid w:val="00EE054C"/>
    <w:rsid w:val="00EE164E"/>
    <w:rsid w:val="00EE1912"/>
    <w:rsid w:val="00EE2B2B"/>
    <w:rsid w:val="00EE4005"/>
    <w:rsid w:val="00EE41F8"/>
    <w:rsid w:val="00EE4AB3"/>
    <w:rsid w:val="00EE7A3B"/>
    <w:rsid w:val="00EF0F5F"/>
    <w:rsid w:val="00EF1154"/>
    <w:rsid w:val="00EF3363"/>
    <w:rsid w:val="00EF5CAC"/>
    <w:rsid w:val="00EF7B74"/>
    <w:rsid w:val="00F016D5"/>
    <w:rsid w:val="00F0191A"/>
    <w:rsid w:val="00F02674"/>
    <w:rsid w:val="00F04126"/>
    <w:rsid w:val="00F0496D"/>
    <w:rsid w:val="00F06740"/>
    <w:rsid w:val="00F12663"/>
    <w:rsid w:val="00F131CF"/>
    <w:rsid w:val="00F13948"/>
    <w:rsid w:val="00F156F9"/>
    <w:rsid w:val="00F15A71"/>
    <w:rsid w:val="00F16D34"/>
    <w:rsid w:val="00F17538"/>
    <w:rsid w:val="00F1795F"/>
    <w:rsid w:val="00F214F4"/>
    <w:rsid w:val="00F21BF3"/>
    <w:rsid w:val="00F21C42"/>
    <w:rsid w:val="00F24127"/>
    <w:rsid w:val="00F243CA"/>
    <w:rsid w:val="00F246DB"/>
    <w:rsid w:val="00F24850"/>
    <w:rsid w:val="00F27288"/>
    <w:rsid w:val="00F27918"/>
    <w:rsid w:val="00F30CF3"/>
    <w:rsid w:val="00F32E03"/>
    <w:rsid w:val="00F3344F"/>
    <w:rsid w:val="00F33A3A"/>
    <w:rsid w:val="00F33DBB"/>
    <w:rsid w:val="00F357EB"/>
    <w:rsid w:val="00F40212"/>
    <w:rsid w:val="00F439B4"/>
    <w:rsid w:val="00F470DF"/>
    <w:rsid w:val="00F47324"/>
    <w:rsid w:val="00F514A1"/>
    <w:rsid w:val="00F54397"/>
    <w:rsid w:val="00F55861"/>
    <w:rsid w:val="00F56B1C"/>
    <w:rsid w:val="00F60CF3"/>
    <w:rsid w:val="00F643CC"/>
    <w:rsid w:val="00F67281"/>
    <w:rsid w:val="00F678E1"/>
    <w:rsid w:val="00F715C9"/>
    <w:rsid w:val="00F717DD"/>
    <w:rsid w:val="00F71C51"/>
    <w:rsid w:val="00F738E4"/>
    <w:rsid w:val="00F73D5E"/>
    <w:rsid w:val="00F73F48"/>
    <w:rsid w:val="00F74177"/>
    <w:rsid w:val="00F75A39"/>
    <w:rsid w:val="00F76F49"/>
    <w:rsid w:val="00F80E8D"/>
    <w:rsid w:val="00F80F1D"/>
    <w:rsid w:val="00F82EE7"/>
    <w:rsid w:val="00F91CFF"/>
    <w:rsid w:val="00F9309D"/>
    <w:rsid w:val="00F95041"/>
    <w:rsid w:val="00F968BF"/>
    <w:rsid w:val="00F978C6"/>
    <w:rsid w:val="00FA10A3"/>
    <w:rsid w:val="00FA304C"/>
    <w:rsid w:val="00FA31C5"/>
    <w:rsid w:val="00FA3EC6"/>
    <w:rsid w:val="00FA5AFC"/>
    <w:rsid w:val="00FA7535"/>
    <w:rsid w:val="00FB018A"/>
    <w:rsid w:val="00FB074C"/>
    <w:rsid w:val="00FB22C4"/>
    <w:rsid w:val="00FB26D1"/>
    <w:rsid w:val="00FB2B24"/>
    <w:rsid w:val="00FB4B07"/>
    <w:rsid w:val="00FB4E3F"/>
    <w:rsid w:val="00FB5ADD"/>
    <w:rsid w:val="00FB716C"/>
    <w:rsid w:val="00FB745F"/>
    <w:rsid w:val="00FC1B94"/>
    <w:rsid w:val="00FC2287"/>
    <w:rsid w:val="00FC34E6"/>
    <w:rsid w:val="00FC3EF2"/>
    <w:rsid w:val="00FC4790"/>
    <w:rsid w:val="00FC4D7D"/>
    <w:rsid w:val="00FC6E13"/>
    <w:rsid w:val="00FC6E33"/>
    <w:rsid w:val="00FC73D5"/>
    <w:rsid w:val="00FD119F"/>
    <w:rsid w:val="00FD134D"/>
    <w:rsid w:val="00FD1E69"/>
    <w:rsid w:val="00FD2467"/>
    <w:rsid w:val="00FD3E3A"/>
    <w:rsid w:val="00FD44E3"/>
    <w:rsid w:val="00FD5EB5"/>
    <w:rsid w:val="00FE2B78"/>
    <w:rsid w:val="00FE48CE"/>
    <w:rsid w:val="00FE77B0"/>
    <w:rsid w:val="00FE7EF7"/>
    <w:rsid w:val="00FF0C9C"/>
    <w:rsid w:val="00FF1028"/>
    <w:rsid w:val="00FF2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0C120C"/>
  <w15:chartTrackingRefBased/>
  <w15:docId w15:val="{4B4EDEC1-C99D-4C26-BFFE-C1949C9AE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7DD"/>
    <w:pPr>
      <w:spacing w:before="60" w:after="240" w:line="360" w:lineRule="auto"/>
    </w:pPr>
    <w:rPr>
      <w:rFonts w:cstheme="minorHAnsi"/>
      <w:sz w:val="20"/>
      <w:szCs w:val="20"/>
      <w:lang w:val="en-CA"/>
    </w:rPr>
  </w:style>
  <w:style w:type="paragraph" w:styleId="Heading1">
    <w:name w:val="heading 1"/>
    <w:basedOn w:val="Normal"/>
    <w:next w:val="Normal"/>
    <w:link w:val="Heading1Char"/>
    <w:uiPriority w:val="9"/>
    <w:qFormat/>
    <w:rsid w:val="0033309B"/>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unhideWhenUsed/>
    <w:qFormat/>
    <w:rsid w:val="0033309B"/>
    <w:pPr>
      <w:keepNext/>
      <w:keepLines/>
      <w:spacing w:before="4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33309B"/>
    <w:pPr>
      <w:keepNext/>
      <w:keepLines/>
      <w:spacing w:before="4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unhideWhenUsed/>
    <w:qFormat/>
    <w:rsid w:val="00F717DD"/>
    <w:pPr>
      <w:keepNext/>
      <w:keepLines/>
      <w:spacing w:before="40" w:after="0" w:line="240" w:lineRule="auto"/>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unhideWhenUsed/>
    <w:qFormat/>
    <w:rsid w:val="00F717DD"/>
    <w:pPr>
      <w:keepNext/>
      <w:keepLines/>
      <w:spacing w:before="0" w:after="0" w:line="240" w:lineRule="auto"/>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unhideWhenUsed/>
    <w:qFormat/>
    <w:rsid w:val="0033309B"/>
    <w:pPr>
      <w:keepNext/>
      <w:keepLines/>
      <w:spacing w:before="4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33309B"/>
    <w:pPr>
      <w:keepNext/>
      <w:keepLines/>
      <w:spacing w:before="4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33309B"/>
    <w:pPr>
      <w:keepNext/>
      <w:keepLines/>
      <w:spacing w:before="4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33309B"/>
    <w:pPr>
      <w:keepNext/>
      <w:keepLines/>
      <w:spacing w:before="4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C274E"/>
    <w:pPr>
      <w:ind w:left="720"/>
      <w:contextualSpacing/>
    </w:pPr>
  </w:style>
  <w:style w:type="paragraph" w:styleId="TOC1">
    <w:name w:val="toc 1"/>
    <w:basedOn w:val="Normal"/>
    <w:next w:val="Normal"/>
    <w:autoRedefine/>
    <w:uiPriority w:val="39"/>
    <w:semiHidden/>
    <w:unhideWhenUsed/>
    <w:rsid w:val="005752D6"/>
    <w:pPr>
      <w:spacing w:after="100"/>
    </w:pPr>
  </w:style>
  <w:style w:type="paragraph" w:customStyle="1" w:styleId="TableParagraph">
    <w:name w:val="Table Paragraph"/>
    <w:basedOn w:val="Normal"/>
    <w:uiPriority w:val="1"/>
    <w:rsid w:val="00081BA8"/>
    <w:pPr>
      <w:widowControl w:val="0"/>
      <w:autoSpaceDE w:val="0"/>
      <w:autoSpaceDN w:val="0"/>
      <w:spacing w:before="59" w:line="240" w:lineRule="auto"/>
      <w:ind w:left="107"/>
    </w:pPr>
    <w:rPr>
      <w:rFonts w:ascii="Arial" w:eastAsia="Arial" w:hAnsi="Arial" w:cs="Arial"/>
      <w:lang w:val="en-GB" w:eastAsia="en-GB" w:bidi="en-GB"/>
    </w:rPr>
  </w:style>
  <w:style w:type="paragraph" w:styleId="TOC3">
    <w:name w:val="toc 3"/>
    <w:basedOn w:val="Normal"/>
    <w:next w:val="Normal"/>
    <w:autoRedefine/>
    <w:uiPriority w:val="39"/>
    <w:semiHidden/>
    <w:unhideWhenUsed/>
    <w:rsid w:val="00081BA8"/>
    <w:pPr>
      <w:spacing w:after="100"/>
      <w:ind w:left="440"/>
    </w:pPr>
  </w:style>
  <w:style w:type="character" w:styleId="Hyperlink">
    <w:name w:val="Hyperlink"/>
    <w:basedOn w:val="DefaultParagraphFont"/>
    <w:uiPriority w:val="99"/>
    <w:unhideWhenUsed/>
    <w:rsid w:val="00081BA8"/>
    <w:rPr>
      <w:color w:val="0563C1" w:themeColor="hyperlink"/>
      <w:u w:val="single"/>
    </w:rPr>
  </w:style>
  <w:style w:type="character" w:customStyle="1" w:styleId="ref-journal">
    <w:name w:val="ref-journal"/>
    <w:basedOn w:val="DefaultParagraphFont"/>
    <w:rsid w:val="00234634"/>
  </w:style>
  <w:style w:type="character" w:customStyle="1" w:styleId="ref-vol">
    <w:name w:val="ref-vol"/>
    <w:basedOn w:val="DefaultParagraphFont"/>
    <w:rsid w:val="00234634"/>
  </w:style>
  <w:style w:type="paragraph" w:customStyle="1" w:styleId="EndNoteCategoryHeading">
    <w:name w:val="EndNote Category Heading"/>
    <w:basedOn w:val="Normal"/>
    <w:link w:val="EndNoteCategoryHeadingChar"/>
    <w:rsid w:val="001D777C"/>
    <w:pPr>
      <w:spacing w:after="120"/>
    </w:pPr>
  </w:style>
  <w:style w:type="character" w:customStyle="1" w:styleId="ListParagraphChar">
    <w:name w:val="List Paragraph Char"/>
    <w:basedOn w:val="DefaultParagraphFont"/>
    <w:link w:val="ListParagraph"/>
    <w:uiPriority w:val="34"/>
    <w:rsid w:val="001D777C"/>
  </w:style>
  <w:style w:type="character" w:customStyle="1" w:styleId="EndNoteCategoryHeadingChar">
    <w:name w:val="EndNote Category Heading Char"/>
    <w:basedOn w:val="ListParagraphChar"/>
    <w:link w:val="EndNoteCategoryHeading"/>
    <w:rsid w:val="001D777C"/>
  </w:style>
  <w:style w:type="paragraph" w:customStyle="1" w:styleId="EndNoteCategoryTitle">
    <w:name w:val="EndNote Category Title"/>
    <w:basedOn w:val="Normal"/>
    <w:link w:val="EndNoteCategoryTitleChar"/>
    <w:rsid w:val="001D777C"/>
    <w:pPr>
      <w:spacing w:after="120"/>
      <w:jc w:val="center"/>
    </w:pPr>
  </w:style>
  <w:style w:type="character" w:customStyle="1" w:styleId="EndNoteCategoryTitleChar">
    <w:name w:val="EndNote Category Title Char"/>
    <w:basedOn w:val="ListParagraphChar"/>
    <w:link w:val="EndNoteCategoryTitle"/>
    <w:rsid w:val="001D777C"/>
  </w:style>
  <w:style w:type="paragraph" w:customStyle="1" w:styleId="EndNoteBibliographyTitle">
    <w:name w:val="EndNote Bibliography Title"/>
    <w:basedOn w:val="Normal"/>
    <w:link w:val="EndNoteBibliographyTitleChar"/>
    <w:rsid w:val="001D777C"/>
    <w:pPr>
      <w:jc w:val="center"/>
    </w:pPr>
    <w:rPr>
      <w:rFonts w:ascii="Calibri" w:hAnsi="Calibri" w:cs="Calibri"/>
      <w:noProof/>
      <w:sz w:val="22"/>
    </w:rPr>
  </w:style>
  <w:style w:type="character" w:customStyle="1" w:styleId="EndNoteBibliographyTitleChar">
    <w:name w:val="EndNote Bibliography Title Char"/>
    <w:basedOn w:val="ListParagraphChar"/>
    <w:link w:val="EndNoteBibliographyTitle"/>
    <w:rsid w:val="001D777C"/>
    <w:rPr>
      <w:rFonts w:ascii="Calibri" w:hAnsi="Calibri" w:cs="Calibri"/>
      <w:noProof/>
      <w:szCs w:val="20"/>
      <w:lang w:val="en-CA"/>
    </w:rPr>
  </w:style>
  <w:style w:type="paragraph" w:customStyle="1" w:styleId="EndNoteBibliography">
    <w:name w:val="EndNote Bibliography"/>
    <w:basedOn w:val="Normal"/>
    <w:link w:val="EndNoteBibliographyChar"/>
    <w:rsid w:val="001D777C"/>
    <w:pPr>
      <w:spacing w:line="240" w:lineRule="auto"/>
    </w:pPr>
    <w:rPr>
      <w:rFonts w:ascii="Calibri" w:hAnsi="Calibri" w:cs="Calibri"/>
      <w:noProof/>
      <w:sz w:val="22"/>
    </w:rPr>
  </w:style>
  <w:style w:type="character" w:customStyle="1" w:styleId="EndNoteBibliographyChar">
    <w:name w:val="EndNote Bibliography Char"/>
    <w:basedOn w:val="ListParagraphChar"/>
    <w:link w:val="EndNoteBibliography"/>
    <w:rsid w:val="001D777C"/>
    <w:rPr>
      <w:rFonts w:ascii="Calibri" w:hAnsi="Calibri" w:cs="Calibri"/>
      <w:noProof/>
      <w:szCs w:val="20"/>
      <w:lang w:val="en-CA"/>
    </w:rPr>
  </w:style>
  <w:style w:type="character" w:customStyle="1" w:styleId="Heading3Char">
    <w:name w:val="Heading 3 Char"/>
    <w:basedOn w:val="DefaultParagraphFont"/>
    <w:link w:val="Heading3"/>
    <w:uiPriority w:val="9"/>
    <w:rsid w:val="0033309B"/>
    <w:rPr>
      <w:rFonts w:asciiTheme="majorHAnsi" w:eastAsiaTheme="majorEastAsia" w:hAnsiTheme="majorHAnsi" w:cstheme="majorBidi"/>
      <w:color w:val="2E74B5" w:themeColor="accent1" w:themeShade="BF"/>
      <w:sz w:val="28"/>
      <w:szCs w:val="28"/>
    </w:rPr>
  </w:style>
  <w:style w:type="paragraph" w:styleId="BodyText">
    <w:name w:val="Body Text"/>
    <w:basedOn w:val="Normal"/>
    <w:link w:val="BodyTextChar"/>
    <w:uiPriority w:val="1"/>
    <w:rsid w:val="008F5992"/>
    <w:pPr>
      <w:widowControl w:val="0"/>
      <w:autoSpaceDE w:val="0"/>
      <w:autoSpaceDN w:val="0"/>
      <w:spacing w:line="240" w:lineRule="auto"/>
    </w:pPr>
    <w:rPr>
      <w:rFonts w:ascii="Garamond" w:eastAsia="Garamond" w:hAnsi="Garamond" w:cs="Garamond"/>
      <w:sz w:val="24"/>
      <w:szCs w:val="24"/>
      <w:lang w:val="en-GB" w:eastAsia="en-GB" w:bidi="en-GB"/>
    </w:rPr>
  </w:style>
  <w:style w:type="character" w:customStyle="1" w:styleId="BodyTextChar">
    <w:name w:val="Body Text Char"/>
    <w:basedOn w:val="DefaultParagraphFont"/>
    <w:link w:val="BodyText"/>
    <w:uiPriority w:val="1"/>
    <w:rsid w:val="008F5992"/>
    <w:rPr>
      <w:rFonts w:ascii="Garamond" w:eastAsia="Garamond" w:hAnsi="Garamond" w:cs="Garamond"/>
      <w:sz w:val="24"/>
      <w:szCs w:val="24"/>
      <w:lang w:val="en-GB" w:eastAsia="en-GB" w:bidi="en-GB"/>
    </w:rPr>
  </w:style>
  <w:style w:type="paragraph" w:styleId="BalloonText">
    <w:name w:val="Balloon Text"/>
    <w:basedOn w:val="Normal"/>
    <w:link w:val="BalloonTextChar"/>
    <w:uiPriority w:val="99"/>
    <w:semiHidden/>
    <w:unhideWhenUsed/>
    <w:rsid w:val="008C1C1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1C1D"/>
    <w:rPr>
      <w:rFonts w:ascii="Segoe UI" w:hAnsi="Segoe UI" w:cs="Segoe UI"/>
      <w:sz w:val="18"/>
      <w:szCs w:val="18"/>
    </w:rPr>
  </w:style>
  <w:style w:type="character" w:customStyle="1" w:styleId="Heading1Char">
    <w:name w:val="Heading 1 Char"/>
    <w:basedOn w:val="DefaultParagraphFont"/>
    <w:link w:val="Heading1"/>
    <w:uiPriority w:val="9"/>
    <w:rsid w:val="0033309B"/>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rsid w:val="0033309B"/>
    <w:rPr>
      <w:rFonts w:asciiTheme="majorHAnsi" w:eastAsiaTheme="majorEastAsia" w:hAnsiTheme="majorHAnsi" w:cstheme="majorBidi"/>
      <w:color w:val="2E74B5" w:themeColor="accent1" w:themeShade="BF"/>
      <w:sz w:val="32"/>
      <w:szCs w:val="32"/>
    </w:rPr>
  </w:style>
  <w:style w:type="character" w:customStyle="1" w:styleId="Heading4Char">
    <w:name w:val="Heading 4 Char"/>
    <w:basedOn w:val="DefaultParagraphFont"/>
    <w:link w:val="Heading4"/>
    <w:uiPriority w:val="9"/>
    <w:rsid w:val="00F717DD"/>
    <w:rPr>
      <w:rFonts w:asciiTheme="majorHAnsi" w:eastAsiaTheme="majorEastAsia" w:hAnsiTheme="majorHAnsi" w:cstheme="majorBidi"/>
      <w:color w:val="2E74B5" w:themeColor="accent1" w:themeShade="BF"/>
      <w:sz w:val="24"/>
      <w:szCs w:val="24"/>
      <w:lang w:val="en-CA"/>
    </w:rPr>
  </w:style>
  <w:style w:type="character" w:customStyle="1" w:styleId="Heading5Char">
    <w:name w:val="Heading 5 Char"/>
    <w:basedOn w:val="DefaultParagraphFont"/>
    <w:link w:val="Heading5"/>
    <w:uiPriority w:val="9"/>
    <w:rsid w:val="00F717DD"/>
    <w:rPr>
      <w:rFonts w:asciiTheme="majorHAnsi" w:eastAsiaTheme="majorEastAsia" w:hAnsiTheme="majorHAnsi" w:cstheme="majorBidi"/>
      <w:caps/>
      <w:color w:val="2E74B5" w:themeColor="accent1" w:themeShade="BF"/>
      <w:sz w:val="20"/>
      <w:szCs w:val="20"/>
      <w:lang w:val="en-CA"/>
    </w:rPr>
  </w:style>
  <w:style w:type="character" w:customStyle="1" w:styleId="Heading6Char">
    <w:name w:val="Heading 6 Char"/>
    <w:basedOn w:val="DefaultParagraphFont"/>
    <w:link w:val="Heading6"/>
    <w:uiPriority w:val="9"/>
    <w:rsid w:val="0033309B"/>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33309B"/>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33309B"/>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33309B"/>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33309B"/>
    <w:pPr>
      <w:spacing w:line="240" w:lineRule="auto"/>
    </w:pPr>
    <w:rPr>
      <w:b/>
      <w:bCs/>
      <w:smallCaps/>
      <w:color w:val="44546A" w:themeColor="text2"/>
    </w:rPr>
  </w:style>
  <w:style w:type="paragraph" w:styleId="Title">
    <w:name w:val="Title"/>
    <w:basedOn w:val="Normal"/>
    <w:next w:val="Normal"/>
    <w:link w:val="TitleChar"/>
    <w:uiPriority w:val="10"/>
    <w:qFormat/>
    <w:rsid w:val="0033309B"/>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3309B"/>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3309B"/>
    <w:pPr>
      <w:numPr>
        <w:ilvl w:val="1"/>
      </w:numPr>
      <w:spacing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33309B"/>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33309B"/>
    <w:rPr>
      <w:b/>
      <w:bCs/>
    </w:rPr>
  </w:style>
  <w:style w:type="character" w:styleId="Emphasis">
    <w:name w:val="Emphasis"/>
    <w:basedOn w:val="DefaultParagraphFont"/>
    <w:uiPriority w:val="20"/>
    <w:qFormat/>
    <w:rsid w:val="0033309B"/>
    <w:rPr>
      <w:i/>
      <w:iCs/>
    </w:rPr>
  </w:style>
  <w:style w:type="paragraph" w:styleId="NoSpacing">
    <w:name w:val="No Spacing"/>
    <w:uiPriority w:val="1"/>
    <w:qFormat/>
    <w:rsid w:val="0033309B"/>
    <w:pPr>
      <w:spacing w:after="0" w:line="240" w:lineRule="auto"/>
    </w:pPr>
  </w:style>
  <w:style w:type="paragraph" w:styleId="Quote">
    <w:name w:val="Quote"/>
    <w:basedOn w:val="Normal"/>
    <w:next w:val="Normal"/>
    <w:link w:val="QuoteChar"/>
    <w:uiPriority w:val="29"/>
    <w:qFormat/>
    <w:rsid w:val="0033309B"/>
    <w:pPr>
      <w:spacing w:after="120"/>
      <w:ind w:left="720"/>
    </w:pPr>
    <w:rPr>
      <w:color w:val="44546A" w:themeColor="text2"/>
      <w:sz w:val="24"/>
      <w:szCs w:val="24"/>
    </w:rPr>
  </w:style>
  <w:style w:type="character" w:customStyle="1" w:styleId="QuoteChar">
    <w:name w:val="Quote Char"/>
    <w:basedOn w:val="DefaultParagraphFont"/>
    <w:link w:val="Quote"/>
    <w:uiPriority w:val="29"/>
    <w:rsid w:val="0033309B"/>
    <w:rPr>
      <w:color w:val="44546A" w:themeColor="text2"/>
      <w:sz w:val="24"/>
      <w:szCs w:val="24"/>
    </w:rPr>
  </w:style>
  <w:style w:type="paragraph" w:styleId="IntenseQuote">
    <w:name w:val="Intense Quote"/>
    <w:basedOn w:val="Normal"/>
    <w:next w:val="Normal"/>
    <w:link w:val="IntenseQuoteChar"/>
    <w:uiPriority w:val="30"/>
    <w:qFormat/>
    <w:rsid w:val="0033309B"/>
    <w:pPr>
      <w:spacing w:before="100" w:beforeAutospacing="1"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3309B"/>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3309B"/>
    <w:rPr>
      <w:i/>
      <w:iCs/>
      <w:color w:val="595959" w:themeColor="text1" w:themeTint="A6"/>
    </w:rPr>
  </w:style>
  <w:style w:type="character" w:styleId="IntenseEmphasis">
    <w:name w:val="Intense Emphasis"/>
    <w:basedOn w:val="DefaultParagraphFont"/>
    <w:uiPriority w:val="21"/>
    <w:qFormat/>
    <w:rsid w:val="0033309B"/>
    <w:rPr>
      <w:b/>
      <w:bCs/>
      <w:i/>
      <w:iCs/>
    </w:rPr>
  </w:style>
  <w:style w:type="character" w:styleId="SubtleReference">
    <w:name w:val="Subtle Reference"/>
    <w:basedOn w:val="DefaultParagraphFont"/>
    <w:uiPriority w:val="31"/>
    <w:qFormat/>
    <w:rsid w:val="0033309B"/>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3309B"/>
    <w:rPr>
      <w:b/>
      <w:bCs/>
      <w:smallCaps/>
      <w:color w:val="44546A" w:themeColor="text2"/>
      <w:u w:val="single"/>
    </w:rPr>
  </w:style>
  <w:style w:type="character" w:styleId="BookTitle">
    <w:name w:val="Book Title"/>
    <w:basedOn w:val="DefaultParagraphFont"/>
    <w:uiPriority w:val="33"/>
    <w:qFormat/>
    <w:rsid w:val="0033309B"/>
    <w:rPr>
      <w:b/>
      <w:bCs/>
      <w:smallCaps/>
      <w:spacing w:val="10"/>
    </w:rPr>
  </w:style>
  <w:style w:type="paragraph" w:styleId="TOCHeading">
    <w:name w:val="TOC Heading"/>
    <w:basedOn w:val="Heading1"/>
    <w:next w:val="Normal"/>
    <w:uiPriority w:val="39"/>
    <w:semiHidden/>
    <w:unhideWhenUsed/>
    <w:qFormat/>
    <w:rsid w:val="0033309B"/>
    <w:pPr>
      <w:outlineLvl w:val="9"/>
    </w:pPr>
  </w:style>
  <w:style w:type="character" w:styleId="CommentReference">
    <w:name w:val="annotation reference"/>
    <w:basedOn w:val="DefaultParagraphFont"/>
    <w:uiPriority w:val="99"/>
    <w:semiHidden/>
    <w:unhideWhenUsed/>
    <w:rsid w:val="006255DC"/>
    <w:rPr>
      <w:sz w:val="16"/>
      <w:szCs w:val="16"/>
    </w:rPr>
  </w:style>
  <w:style w:type="paragraph" w:styleId="CommentText">
    <w:name w:val="annotation text"/>
    <w:basedOn w:val="Normal"/>
    <w:link w:val="CommentTextChar"/>
    <w:uiPriority w:val="99"/>
    <w:unhideWhenUsed/>
    <w:rsid w:val="006255DC"/>
    <w:pPr>
      <w:spacing w:line="240" w:lineRule="auto"/>
    </w:pPr>
  </w:style>
  <w:style w:type="character" w:customStyle="1" w:styleId="CommentTextChar">
    <w:name w:val="Comment Text Char"/>
    <w:basedOn w:val="DefaultParagraphFont"/>
    <w:link w:val="CommentText"/>
    <w:uiPriority w:val="99"/>
    <w:rsid w:val="006255DC"/>
    <w:rPr>
      <w:sz w:val="20"/>
      <w:szCs w:val="20"/>
    </w:rPr>
  </w:style>
  <w:style w:type="paragraph" w:styleId="CommentSubject">
    <w:name w:val="annotation subject"/>
    <w:basedOn w:val="CommentText"/>
    <w:next w:val="CommentText"/>
    <w:link w:val="CommentSubjectChar"/>
    <w:uiPriority w:val="99"/>
    <w:semiHidden/>
    <w:unhideWhenUsed/>
    <w:rsid w:val="006255DC"/>
    <w:rPr>
      <w:b/>
      <w:bCs/>
    </w:rPr>
  </w:style>
  <w:style w:type="character" w:customStyle="1" w:styleId="CommentSubjectChar">
    <w:name w:val="Comment Subject Char"/>
    <w:basedOn w:val="CommentTextChar"/>
    <w:link w:val="CommentSubject"/>
    <w:uiPriority w:val="99"/>
    <w:semiHidden/>
    <w:rsid w:val="006255DC"/>
    <w:rPr>
      <w:b/>
      <w:bCs/>
      <w:sz w:val="20"/>
      <w:szCs w:val="20"/>
    </w:rPr>
  </w:style>
  <w:style w:type="paragraph" w:styleId="Revision">
    <w:name w:val="Revision"/>
    <w:hidden/>
    <w:uiPriority w:val="99"/>
    <w:semiHidden/>
    <w:rsid w:val="005562E9"/>
    <w:pPr>
      <w:spacing w:after="0" w:line="240" w:lineRule="auto"/>
    </w:pPr>
    <w:rPr>
      <w:sz w:val="20"/>
    </w:rPr>
  </w:style>
  <w:style w:type="table" w:styleId="TableGrid">
    <w:name w:val="Table Grid"/>
    <w:basedOn w:val="TableNormal"/>
    <w:uiPriority w:val="39"/>
    <w:rsid w:val="004825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62DB0"/>
    <w:rPr>
      <w:color w:val="605E5C"/>
      <w:shd w:val="clear" w:color="auto" w:fill="E1DFDD"/>
    </w:rPr>
  </w:style>
  <w:style w:type="paragraph" w:customStyle="1" w:styleId="TableText">
    <w:name w:val="Table Text"/>
    <w:basedOn w:val="Normal"/>
    <w:rsid w:val="00965EF5"/>
    <w:pPr>
      <w:keepNext/>
      <w:spacing w:before="40" w:after="40" w:line="240" w:lineRule="auto"/>
    </w:pPr>
    <w:rPr>
      <w:rFonts w:ascii="Arial" w:eastAsia="Times New Roman" w:hAnsi="Arial" w:cs="Times New Roman"/>
      <w:sz w:val="18"/>
      <w:lang w:val="en-AU"/>
    </w:rPr>
  </w:style>
  <w:style w:type="paragraph" w:styleId="NormalWeb">
    <w:name w:val="Normal (Web)"/>
    <w:basedOn w:val="Normal"/>
    <w:uiPriority w:val="99"/>
    <w:semiHidden/>
    <w:unhideWhenUsed/>
    <w:rsid w:val="00965EF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FollowedHyperlink">
    <w:name w:val="FollowedHyperlink"/>
    <w:basedOn w:val="DefaultParagraphFont"/>
    <w:uiPriority w:val="99"/>
    <w:semiHidden/>
    <w:unhideWhenUsed/>
    <w:rsid w:val="00F33DBB"/>
    <w:rPr>
      <w:color w:val="954F72" w:themeColor="followedHyperlink"/>
      <w:u w:val="single"/>
    </w:rPr>
  </w:style>
  <w:style w:type="paragraph" w:styleId="Header">
    <w:name w:val="header"/>
    <w:basedOn w:val="Normal"/>
    <w:link w:val="HeaderChar"/>
    <w:uiPriority w:val="99"/>
    <w:unhideWhenUsed/>
    <w:rsid w:val="00DB6503"/>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DB6503"/>
    <w:rPr>
      <w:rFonts w:cstheme="minorHAnsi"/>
      <w:sz w:val="20"/>
      <w:szCs w:val="20"/>
      <w:lang w:val="en-CA"/>
    </w:rPr>
  </w:style>
  <w:style w:type="paragraph" w:styleId="Footer">
    <w:name w:val="footer"/>
    <w:basedOn w:val="Normal"/>
    <w:link w:val="FooterChar"/>
    <w:uiPriority w:val="99"/>
    <w:unhideWhenUsed/>
    <w:rsid w:val="00DB6503"/>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B6503"/>
    <w:rPr>
      <w:rFonts w:cstheme="minorHAnsi"/>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B17C82-2A66-4CC6-B1AA-58F70D5D3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2759</Words>
  <Characters>15730</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Ilke Akpinar</dc:creator>
  <cp:keywords/>
  <dc:description/>
  <cp:lastModifiedBy>Ilke Akpinar</cp:lastModifiedBy>
  <cp:revision>15</cp:revision>
  <cp:lastPrinted>2020-02-07T18:28:00Z</cp:lastPrinted>
  <dcterms:created xsi:type="dcterms:W3CDTF">2021-10-28T21:39:00Z</dcterms:created>
  <dcterms:modified xsi:type="dcterms:W3CDTF">2021-10-28T23:24:00Z</dcterms:modified>
</cp:coreProperties>
</file>