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E1C" w:rsidRDefault="005061B8">
      <w:pPr>
        <w:rPr>
          <w:rFonts w:ascii="Times New Roman" w:hAnsi="Times New Roman" w:cs="Times New Roman" w:hint="eastAsia"/>
          <w:color w:val="333333"/>
          <w:sz w:val="24"/>
          <w:szCs w:val="24"/>
        </w:rPr>
      </w:pPr>
      <w:proofErr w:type="gramStart"/>
      <w:r w:rsidRPr="00756E1C">
        <w:rPr>
          <w:rFonts w:ascii="Times New Roman" w:hAnsi="Times New Roman" w:cs="Times New Roman"/>
          <w:b/>
          <w:color w:val="333333"/>
          <w:sz w:val="32"/>
          <w:szCs w:val="32"/>
          <w:shd w:val="clear" w:color="auto" w:fill="FFFFFF"/>
        </w:rPr>
        <w:t>Supplementary Material</w:t>
      </w:r>
      <w:r w:rsidRPr="005061B8">
        <w:rPr>
          <w:rFonts w:ascii="Times New Roman" w:hAnsi="Times New Roman" w:cs="Times New Roman"/>
          <w:color w:val="333333"/>
          <w:sz w:val="24"/>
          <w:szCs w:val="24"/>
          <w:shd w:val="clear" w:color="auto" w:fill="FFFFFF"/>
        </w:rPr>
        <w:t xml:space="preserve"> </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rPr>
        <w:br/>
      </w:r>
      <w:r w:rsidRPr="00756E1C">
        <w:rPr>
          <w:rFonts w:ascii="Times New Roman" w:hAnsi="Times New Roman" w:cs="Times New Roman"/>
          <w:b/>
          <w:color w:val="333333"/>
          <w:sz w:val="28"/>
          <w:szCs w:val="28"/>
          <w:shd w:val="clear" w:color="auto" w:fill="FFFFFF"/>
        </w:rPr>
        <w:t>S0.</w:t>
      </w:r>
      <w:proofErr w:type="gramEnd"/>
      <w:r w:rsidRPr="00756E1C">
        <w:rPr>
          <w:rFonts w:ascii="Times New Roman" w:hAnsi="Times New Roman" w:cs="Times New Roman"/>
          <w:b/>
          <w:color w:val="333333"/>
          <w:sz w:val="28"/>
          <w:szCs w:val="28"/>
          <w:shd w:val="clear" w:color="auto" w:fill="FFFFFF"/>
        </w:rPr>
        <w:t xml:space="preserve"> Guide for Readers</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How to use this Supplementary Material</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This supplementary material is organized for selective reading and is not intended to be read sequentially.</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Readers may navigate directly to sections based on their interests:</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D</w:t>
      </w:r>
      <w:r w:rsidR="00756E1C">
        <w:rPr>
          <w:rFonts w:ascii="Times New Roman" w:hAnsi="Times New Roman" w:cs="Times New Roman"/>
          <w:color w:val="333333"/>
          <w:sz w:val="24"/>
          <w:szCs w:val="24"/>
          <w:shd w:val="clear" w:color="auto" w:fill="FFFFFF"/>
        </w:rPr>
        <w:t>ata underlying the main results</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w:t>
      </w:r>
      <w:r w:rsidRPr="00756E1C">
        <w:rPr>
          <w:rFonts w:ascii="Times New Roman" w:hAnsi="Times New Roman" w:cs="Times New Roman"/>
          <w:b/>
          <w:color w:val="333333"/>
          <w:sz w:val="24"/>
          <w:szCs w:val="24"/>
          <w:shd w:val="clear" w:color="auto" w:fill="FFFFFF"/>
        </w:rPr>
        <w:t xml:space="preserve"> S1 </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(Data underlying the main results)</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Distributional positioning of acupunct</w:t>
      </w:r>
      <w:r w:rsidR="00756E1C">
        <w:rPr>
          <w:rFonts w:ascii="Times New Roman" w:hAnsi="Times New Roman" w:cs="Times New Roman"/>
          <w:color w:val="333333"/>
          <w:sz w:val="24"/>
          <w:szCs w:val="24"/>
          <w:shd w:val="clear" w:color="auto" w:fill="FFFFFF"/>
        </w:rPr>
        <w:t>ure within the structural space</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w:t>
      </w:r>
      <w:r w:rsidRPr="00756E1C">
        <w:rPr>
          <w:rFonts w:ascii="Times New Roman" w:hAnsi="Times New Roman" w:cs="Times New Roman"/>
          <w:b/>
          <w:color w:val="333333"/>
          <w:sz w:val="24"/>
          <w:szCs w:val="24"/>
          <w:shd w:val="clear" w:color="auto" w:fill="FFFFFF"/>
        </w:rPr>
        <w:t xml:space="preserve"> S2</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(Descriptive representation of TLR across interventions)</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Alternative representation</w:t>
      </w:r>
      <w:r w:rsidR="00756E1C">
        <w:rPr>
          <w:rFonts w:ascii="Times New Roman" w:hAnsi="Times New Roman" w:cs="Times New Roman"/>
          <w:color w:val="333333"/>
          <w:sz w:val="24"/>
          <w:szCs w:val="24"/>
          <w:shd w:val="clear" w:color="auto" w:fill="FFFFFF"/>
        </w:rPr>
        <w:t>s of factor-based visualization</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w:t>
      </w:r>
      <w:r w:rsidRPr="00756E1C">
        <w:rPr>
          <w:rFonts w:ascii="Times New Roman" w:hAnsi="Times New Roman" w:cs="Times New Roman"/>
          <w:b/>
          <w:color w:val="333333"/>
          <w:sz w:val="24"/>
          <w:szCs w:val="24"/>
          <w:shd w:val="clear" w:color="auto" w:fill="FFFFFF"/>
        </w:rPr>
        <w:t xml:space="preserve"> S3</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 xml:space="preserve">(Comparator-structure variations and </w:t>
      </w:r>
      <w:proofErr w:type="spellStart"/>
      <w:r w:rsidRPr="005061B8">
        <w:rPr>
          <w:rFonts w:ascii="Times New Roman" w:hAnsi="Times New Roman" w:cs="Times New Roman"/>
          <w:color w:val="333333"/>
          <w:sz w:val="24"/>
          <w:szCs w:val="24"/>
          <w:shd w:val="clear" w:color="auto" w:fill="FFFFFF"/>
        </w:rPr>
        <w:t>nomogram</w:t>
      </w:r>
      <w:proofErr w:type="spellEnd"/>
      <w:r w:rsidRPr="005061B8">
        <w:rPr>
          <w:rFonts w:ascii="Times New Roman" w:hAnsi="Times New Roman" w:cs="Times New Roman"/>
          <w:color w:val="333333"/>
          <w:sz w:val="24"/>
          <w:szCs w:val="24"/>
          <w:shd w:val="clear" w:color="auto" w:fill="FFFFFF"/>
        </w:rPr>
        <w:t>-based visualization)</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Statistical definition and</w:t>
      </w:r>
      <w:r w:rsidR="00756E1C">
        <w:rPr>
          <w:rFonts w:ascii="Times New Roman" w:hAnsi="Times New Roman" w:cs="Times New Roman"/>
          <w:color w:val="333333"/>
          <w:sz w:val="24"/>
          <w:szCs w:val="24"/>
          <w:shd w:val="clear" w:color="auto" w:fill="FFFFFF"/>
        </w:rPr>
        <w:t xml:space="preserve"> computational procedure of TLR</w:t>
      </w:r>
    </w:p>
    <w:p w:rsidR="00756E1C" w:rsidRPr="00756E1C" w:rsidRDefault="00756E1C">
      <w:pPr>
        <w:rPr>
          <w:rFonts w:ascii="Times New Roman" w:hAnsi="Times New Roman" w:cs="Times New Roman" w:hint="eastAsia"/>
          <w:b/>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r w:rsidRPr="00756E1C">
        <w:rPr>
          <w:rFonts w:ascii="Times New Roman" w:hAnsi="Times New Roman" w:cs="Times New Roman"/>
          <w:b/>
          <w:color w:val="333333"/>
          <w:sz w:val="24"/>
          <w:szCs w:val="24"/>
          <w:shd w:val="clear" w:color="auto" w:fill="FFFFFF"/>
        </w:rPr>
        <w:t>S4</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(Formal definition and step-by-step re-expression example)</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Statistical properties and co</w:t>
      </w:r>
      <w:r w:rsidR="00756E1C">
        <w:rPr>
          <w:rFonts w:ascii="Times New Roman" w:hAnsi="Times New Roman" w:cs="Times New Roman"/>
          <w:color w:val="333333"/>
          <w:sz w:val="24"/>
          <w:szCs w:val="24"/>
          <w:shd w:val="clear" w:color="auto" w:fill="FFFFFF"/>
        </w:rPr>
        <w:t>nsistency with existing metrics</w:t>
      </w:r>
    </w:p>
    <w:p w:rsidR="00756E1C" w:rsidRPr="00756E1C" w:rsidRDefault="00756E1C">
      <w:pPr>
        <w:rPr>
          <w:rFonts w:ascii="Times New Roman" w:hAnsi="Times New Roman" w:cs="Times New Roman" w:hint="eastAsia"/>
          <w:b/>
          <w:color w:val="333333"/>
          <w:sz w:val="24"/>
          <w:szCs w:val="24"/>
          <w:shd w:val="clear" w:color="auto" w:fill="FFFFFF"/>
        </w:rPr>
      </w:pPr>
      <w:r>
        <w:rPr>
          <w:rFonts w:ascii="Times New Roman" w:hAnsi="Times New Roman" w:cs="Times New Roman"/>
          <w:color w:val="333333"/>
          <w:sz w:val="24"/>
          <w:szCs w:val="24"/>
          <w:shd w:val="clear" w:color="auto" w:fill="FFFFFF"/>
        </w:rPr>
        <w:t>→</w:t>
      </w:r>
      <w:r w:rsidRPr="00756E1C">
        <w:rPr>
          <w:rFonts w:ascii="Times New Roman" w:hAnsi="Times New Roman" w:cs="Times New Roman"/>
          <w:b/>
          <w:color w:val="333333"/>
          <w:sz w:val="24"/>
          <w:szCs w:val="24"/>
          <w:shd w:val="clear" w:color="auto" w:fill="FFFFFF"/>
        </w:rPr>
        <w:t xml:space="preserve"> S5</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(Relationships with MD, SMD, RR, OR, and robustness analyses)</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Note</w:t>
      </w:r>
      <w:proofErr w:type="gramStart"/>
      <w:r w:rsidR="00756E1C">
        <w:rPr>
          <w:rFonts w:ascii="Times New Roman" w:hAnsi="Times New Roman" w:cs="Times New Roman" w:hint="eastAsia"/>
          <w:color w:val="333333"/>
          <w:sz w:val="24"/>
          <w:szCs w:val="24"/>
          <w:shd w:val="clear" w:color="auto" w:fill="FFFFFF"/>
        </w:rPr>
        <w:t>:</w:t>
      </w:r>
      <w:proofErr w:type="gramEnd"/>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Sections are arranged to allow readers to first access results and interpretations (S1–S3), followed by mathematical formulation and validation (S4–S5).</w:t>
      </w:r>
    </w:p>
    <w:p w:rsidR="00756E1C"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 xml:space="preserve">Supplementary materials are structured into a four-level hierarchy: </w:t>
      </w:r>
      <w:proofErr w:type="gramStart"/>
      <w:r w:rsidRPr="005061B8">
        <w:rPr>
          <w:rFonts w:ascii="Times New Roman" w:hAnsi="Times New Roman" w:cs="Times New Roman"/>
          <w:color w:val="333333"/>
          <w:sz w:val="24"/>
          <w:szCs w:val="24"/>
          <w:shd w:val="clear" w:color="auto" w:fill="FFFFFF"/>
        </w:rPr>
        <w:t>an external intervention landscape (S1), a structural coordinate</w:t>
      </w:r>
      <w:proofErr w:type="gramEnd"/>
      <w:r w:rsidRPr="005061B8">
        <w:rPr>
          <w:rFonts w:ascii="Times New Roman" w:hAnsi="Times New Roman" w:cs="Times New Roman"/>
          <w:color w:val="333333"/>
          <w:sz w:val="24"/>
          <w:szCs w:val="24"/>
          <w:shd w:val="clear" w:color="auto" w:fill="FFFFFF"/>
        </w:rPr>
        <w:t xml:space="preserve"> system (S1.5), and successive </w:t>
      </w:r>
      <w:r w:rsidRPr="005061B8">
        <w:rPr>
          <w:rFonts w:ascii="Times New Roman" w:hAnsi="Times New Roman" w:cs="Times New Roman"/>
          <w:color w:val="333333"/>
          <w:sz w:val="24"/>
          <w:szCs w:val="24"/>
          <w:shd w:val="clear" w:color="auto" w:fill="FFFFFF"/>
        </w:rPr>
        <w:lastRenderedPageBreak/>
        <w:t>probabilistic and extended representations (S2 and S3).</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This structure is intended not only to improve accessibility but also to clarify how different analytical components support the main interpretative framework presented in the primary manuscript.</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rPr>
        <w:br/>
      </w:r>
      <w:proofErr w:type="gramStart"/>
      <w:r w:rsidRPr="00756E1C">
        <w:rPr>
          <w:rFonts w:ascii="Times New Roman" w:hAnsi="Times New Roman" w:cs="Times New Roman"/>
          <w:b/>
          <w:color w:val="333333"/>
          <w:sz w:val="28"/>
          <w:szCs w:val="28"/>
          <w:shd w:val="clear" w:color="auto" w:fill="FFFFFF"/>
        </w:rPr>
        <w:t>Supplementary Section S1.</w:t>
      </w:r>
      <w:proofErr w:type="gramEnd"/>
      <w:r w:rsidRPr="00756E1C">
        <w:rPr>
          <w:rFonts w:ascii="Times New Roman" w:hAnsi="Times New Roman" w:cs="Times New Roman"/>
          <w:b/>
          <w:color w:val="333333"/>
          <w:sz w:val="28"/>
          <w:szCs w:val="28"/>
          <w:shd w:val="clear" w:color="auto" w:fill="FFFFFF"/>
        </w:rPr>
        <w:t xml:space="preserve"> Data underlying the main results</w:t>
      </w:r>
      <w:r w:rsidRPr="00756E1C">
        <w:rPr>
          <w:rFonts w:ascii="Times New Roman" w:hAnsi="Times New Roman" w:cs="Times New Roman"/>
          <w:b/>
          <w:color w:val="333333"/>
          <w:sz w:val="28"/>
          <w:szCs w:val="28"/>
        </w:rPr>
        <w:br/>
      </w:r>
      <w:r w:rsidRPr="005061B8">
        <w:rPr>
          <w:rFonts w:ascii="Times New Roman" w:hAnsi="Times New Roman" w:cs="Times New Roman"/>
          <w:color w:val="333333"/>
          <w:sz w:val="24"/>
          <w:szCs w:val="24"/>
        </w:rPr>
        <w:br/>
      </w:r>
      <w:r w:rsidRPr="00756E1C">
        <w:rPr>
          <w:rFonts w:ascii="Times New Roman" w:hAnsi="Times New Roman" w:cs="Times New Roman"/>
          <w:b/>
          <w:color w:val="333333"/>
          <w:sz w:val="28"/>
          <w:szCs w:val="28"/>
          <w:shd w:val="clear" w:color="auto" w:fill="FFFFFF"/>
        </w:rPr>
        <w:t>S1.1 Disease-specific data (corresponding to Section 3.1 of the main text)</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This section presents the underlying data for the disease-specific re-expressed results reported in Se</w:t>
      </w:r>
      <w:r w:rsidR="00756E1C">
        <w:rPr>
          <w:rFonts w:ascii="Times New Roman" w:hAnsi="Times New Roman" w:cs="Times New Roman"/>
          <w:color w:val="333333"/>
          <w:sz w:val="24"/>
          <w:szCs w:val="24"/>
          <w:shd w:val="clear" w:color="auto" w:fill="FFFFFF"/>
        </w:rPr>
        <w:t>ction 3.1 of the main text [4].</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 xml:space="preserve">The included comparisons consist of acupuncture versus sham acupuncture and </w:t>
      </w:r>
      <w:proofErr w:type="gramStart"/>
      <w:r w:rsidRPr="005061B8">
        <w:rPr>
          <w:rFonts w:ascii="Times New Roman" w:hAnsi="Times New Roman" w:cs="Times New Roman"/>
          <w:color w:val="333333"/>
          <w:sz w:val="24"/>
          <w:szCs w:val="24"/>
          <w:shd w:val="clear" w:color="auto" w:fill="FFFFFF"/>
        </w:rPr>
        <w:t>acupuncture</w:t>
      </w:r>
      <w:proofErr w:type="gramEnd"/>
      <w:r w:rsidRPr="005061B8">
        <w:rPr>
          <w:rFonts w:ascii="Times New Roman" w:hAnsi="Times New Roman" w:cs="Times New Roman"/>
          <w:color w:val="333333"/>
          <w:sz w:val="24"/>
          <w:szCs w:val="24"/>
          <w:shd w:val="clear" w:color="auto" w:fill="FFFFFF"/>
        </w:rPr>
        <w:t xml:space="preserve"> versus natural course (no acupuncture) across multiple clinical conditions. Standardized mean differences (SMDs) were transformed into the Therapeutic Leverage Ratio (TLR) using the pre-specified approach described in Section S4.</w:t>
      </w:r>
    </w:p>
    <w:p w:rsidR="00756E1C" w:rsidRPr="00756E1C" w:rsidRDefault="005061B8">
      <w:pPr>
        <w:rPr>
          <w:rFonts w:ascii="Times New Roman" w:hAnsi="Times New Roman" w:cs="Times New Roman" w:hint="eastAsia"/>
          <w:color w:val="333333"/>
          <w:sz w:val="28"/>
          <w:szCs w:val="28"/>
          <w:shd w:val="clear" w:color="auto" w:fill="FFFFFF"/>
        </w:rPr>
      </w:pPr>
      <w:r w:rsidRPr="005061B8">
        <w:rPr>
          <w:rFonts w:ascii="Times New Roman" w:hAnsi="Times New Roman" w:cs="Times New Roman"/>
          <w:color w:val="333333"/>
          <w:sz w:val="24"/>
          <w:szCs w:val="24"/>
        </w:rPr>
        <w:br/>
      </w:r>
      <w:r w:rsidRPr="00756E1C">
        <w:rPr>
          <w:rFonts w:ascii="Times New Roman" w:hAnsi="Times New Roman" w:cs="Times New Roman"/>
          <w:color w:val="333333"/>
          <w:sz w:val="28"/>
          <w:szCs w:val="28"/>
          <w:shd w:val="clear" w:color="auto" w:fill="FFFFFF"/>
        </w:rPr>
        <w:t>Comparison with sham acupuncture</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 xml:space="preserve">TLR values compared with sham acupuncture ranged from </w:t>
      </w:r>
      <w:r w:rsidR="00756E1C">
        <w:rPr>
          <w:rFonts w:ascii="Times New Roman" w:hAnsi="Times New Roman" w:cs="Times New Roman"/>
          <w:color w:val="333333"/>
          <w:sz w:val="24"/>
          <w:szCs w:val="24"/>
          <w:shd w:val="clear" w:color="auto" w:fill="FFFFFF"/>
        </w:rPr>
        <w:t>1.34 to 4.52 across conditions.</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Non-specific muscu</w:t>
      </w:r>
      <w:r w:rsidR="00756E1C">
        <w:rPr>
          <w:rFonts w:ascii="Times New Roman" w:hAnsi="Times New Roman" w:cs="Times New Roman"/>
          <w:color w:val="333333"/>
          <w:sz w:val="24"/>
          <w:szCs w:val="24"/>
          <w:shd w:val="clear" w:color="auto" w:fill="FFFFFF"/>
        </w:rPr>
        <w:t>loskeletal conditions: TLR 1.72</w:t>
      </w:r>
    </w:p>
    <w:p w:rsidR="00756E1C" w:rsidRDefault="00756E1C">
      <w:pPr>
        <w:rPr>
          <w:rFonts w:ascii="Times New Roman" w:hAnsi="Times New Roman" w:cs="Times New Roman" w:hint="eastAsia"/>
          <w:color w:val="333333"/>
          <w:sz w:val="24"/>
          <w:szCs w:val="24"/>
          <w:shd w:val="clear" w:color="auto" w:fill="FFFFFF"/>
        </w:rPr>
      </w:pPr>
      <w:r>
        <w:rPr>
          <w:rFonts w:ascii="Times New Roman" w:hAnsi="Times New Roman" w:cs="Times New Roman"/>
          <w:color w:val="333333"/>
          <w:sz w:val="24"/>
          <w:szCs w:val="24"/>
          <w:shd w:val="clear" w:color="auto" w:fill="FFFFFF"/>
        </w:rPr>
        <w:t>Osteoarthritis: TLR 1.55</w:t>
      </w:r>
    </w:p>
    <w:p w:rsidR="00756E1C" w:rsidRDefault="00756E1C">
      <w:pPr>
        <w:rPr>
          <w:rFonts w:ascii="Times New Roman" w:hAnsi="Times New Roman" w:cs="Times New Roman" w:hint="eastAsia"/>
          <w:color w:val="333333"/>
          <w:sz w:val="24"/>
          <w:szCs w:val="24"/>
          <w:shd w:val="clear" w:color="auto" w:fill="FFFFFF"/>
        </w:rPr>
      </w:pPr>
      <w:r>
        <w:rPr>
          <w:rFonts w:ascii="Times New Roman" w:hAnsi="Times New Roman" w:cs="Times New Roman"/>
          <w:color w:val="333333"/>
          <w:sz w:val="24"/>
          <w:szCs w:val="24"/>
          <w:shd w:val="clear" w:color="auto" w:fill="FFFFFF"/>
        </w:rPr>
        <w:t>Headache: TLR 1.34</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Shoulder diso</w:t>
      </w:r>
      <w:r w:rsidR="00756E1C">
        <w:rPr>
          <w:rFonts w:ascii="Times New Roman" w:hAnsi="Times New Roman" w:cs="Times New Roman"/>
          <w:color w:val="333333"/>
          <w:sz w:val="24"/>
          <w:szCs w:val="24"/>
          <w:shd w:val="clear" w:color="auto" w:fill="FFFFFF"/>
        </w:rPr>
        <w:t>rders: TLR 2.81</w:t>
      </w:r>
    </w:p>
    <w:p w:rsidR="00756E1C" w:rsidRDefault="00756E1C">
      <w:pPr>
        <w:rPr>
          <w:rFonts w:ascii="Times New Roman" w:hAnsi="Times New Roman" w:cs="Times New Roman" w:hint="eastAsia"/>
          <w:color w:val="333333"/>
          <w:sz w:val="24"/>
          <w:szCs w:val="24"/>
          <w:shd w:val="clear" w:color="auto" w:fill="FFFFFF"/>
        </w:rPr>
      </w:pPr>
      <w:r>
        <w:rPr>
          <w:rFonts w:ascii="Times New Roman" w:hAnsi="Times New Roman" w:cs="Times New Roman"/>
          <w:color w:val="333333"/>
          <w:sz w:val="24"/>
          <w:szCs w:val="24"/>
          <w:shd w:val="clear" w:color="auto" w:fill="FFFFFF"/>
        </w:rPr>
        <w:t>Back pain: TLR 1.36</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Neck pain: TLR 4.52</w:t>
      </w:r>
    </w:p>
    <w:p w:rsidR="00756E1C" w:rsidRPr="00756E1C" w:rsidRDefault="005061B8">
      <w:pPr>
        <w:rPr>
          <w:rFonts w:ascii="Times New Roman" w:hAnsi="Times New Roman" w:cs="Times New Roman" w:hint="eastAsia"/>
          <w:color w:val="333333"/>
          <w:sz w:val="28"/>
          <w:szCs w:val="28"/>
          <w:shd w:val="clear" w:color="auto" w:fill="FFFFFF"/>
        </w:rPr>
      </w:pPr>
      <w:r w:rsidRPr="005061B8">
        <w:rPr>
          <w:rFonts w:ascii="Times New Roman" w:hAnsi="Times New Roman" w:cs="Times New Roman"/>
          <w:color w:val="333333"/>
          <w:sz w:val="24"/>
          <w:szCs w:val="24"/>
        </w:rPr>
        <w:br/>
      </w:r>
      <w:r w:rsidRPr="00756E1C">
        <w:rPr>
          <w:rFonts w:ascii="Times New Roman" w:hAnsi="Times New Roman" w:cs="Times New Roman"/>
          <w:color w:val="333333"/>
          <w:sz w:val="28"/>
          <w:szCs w:val="28"/>
          <w:shd w:val="clear" w:color="auto" w:fill="FFFFFF"/>
        </w:rPr>
        <w:t>Comparison with natural course</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Compared with natural course, TLR v</w:t>
      </w:r>
      <w:r w:rsidR="00756E1C">
        <w:rPr>
          <w:rFonts w:ascii="Times New Roman" w:hAnsi="Times New Roman" w:cs="Times New Roman"/>
          <w:color w:val="333333"/>
          <w:sz w:val="24"/>
          <w:szCs w:val="24"/>
          <w:shd w:val="clear" w:color="auto" w:fill="FFFFFF"/>
        </w:rPr>
        <w:t>alues ranged from 2.22 to 3.13.</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Non-specific muscu</w:t>
      </w:r>
      <w:r w:rsidR="00756E1C">
        <w:rPr>
          <w:rFonts w:ascii="Times New Roman" w:hAnsi="Times New Roman" w:cs="Times New Roman"/>
          <w:color w:val="333333"/>
          <w:sz w:val="24"/>
          <w:szCs w:val="24"/>
          <w:shd w:val="clear" w:color="auto" w:fill="FFFFFF"/>
        </w:rPr>
        <w:t>loskeletal conditions: TLR 2.66</w:t>
      </w:r>
    </w:p>
    <w:p w:rsidR="00756E1C" w:rsidRDefault="00756E1C">
      <w:pPr>
        <w:rPr>
          <w:rFonts w:ascii="Times New Roman" w:hAnsi="Times New Roman" w:cs="Times New Roman" w:hint="eastAsia"/>
          <w:color w:val="333333"/>
          <w:sz w:val="24"/>
          <w:szCs w:val="24"/>
          <w:shd w:val="clear" w:color="auto" w:fill="FFFFFF"/>
        </w:rPr>
      </w:pPr>
      <w:r>
        <w:rPr>
          <w:rFonts w:ascii="Times New Roman" w:hAnsi="Times New Roman" w:cs="Times New Roman"/>
          <w:color w:val="333333"/>
          <w:sz w:val="24"/>
          <w:szCs w:val="24"/>
          <w:shd w:val="clear" w:color="auto" w:fill="FFFFFF"/>
        </w:rPr>
        <w:t>Osteoarthritis: TLR 3.13</w:t>
      </w:r>
    </w:p>
    <w:p w:rsidR="00756E1C" w:rsidRDefault="00756E1C">
      <w:pPr>
        <w:rPr>
          <w:rFonts w:ascii="Times New Roman" w:hAnsi="Times New Roman" w:cs="Times New Roman" w:hint="eastAsia"/>
          <w:color w:val="333333"/>
          <w:sz w:val="24"/>
          <w:szCs w:val="24"/>
          <w:shd w:val="clear" w:color="auto" w:fill="FFFFFF"/>
        </w:rPr>
      </w:pPr>
      <w:r>
        <w:rPr>
          <w:rFonts w:ascii="Times New Roman" w:hAnsi="Times New Roman" w:cs="Times New Roman"/>
          <w:color w:val="333333"/>
          <w:sz w:val="24"/>
          <w:szCs w:val="24"/>
          <w:shd w:val="clear" w:color="auto" w:fill="FFFFFF"/>
        </w:rPr>
        <w:t>Headache: TLR 2.22</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lastRenderedPageBreak/>
        <w:t>Back pain: TLR 2.30</w:t>
      </w:r>
    </w:p>
    <w:p w:rsidR="00756E1C" w:rsidRPr="00756E1C" w:rsidRDefault="005061B8">
      <w:pPr>
        <w:rPr>
          <w:rFonts w:ascii="Times New Roman" w:hAnsi="Times New Roman" w:cs="Times New Roman" w:hint="eastAsia"/>
          <w:color w:val="333333"/>
          <w:sz w:val="28"/>
          <w:szCs w:val="28"/>
          <w:shd w:val="clear" w:color="auto" w:fill="FFFFFF"/>
        </w:rPr>
      </w:pPr>
      <w:r w:rsidRPr="005061B8">
        <w:rPr>
          <w:rFonts w:ascii="Times New Roman" w:hAnsi="Times New Roman" w:cs="Times New Roman"/>
          <w:color w:val="333333"/>
          <w:sz w:val="24"/>
          <w:szCs w:val="24"/>
        </w:rPr>
        <w:br/>
      </w:r>
      <w:r w:rsidRPr="00756E1C">
        <w:rPr>
          <w:rFonts w:ascii="Times New Roman" w:hAnsi="Times New Roman" w:cs="Times New Roman"/>
          <w:color w:val="333333"/>
          <w:sz w:val="28"/>
          <w:szCs w:val="28"/>
          <w:shd w:val="clear" w:color="auto" w:fill="FFFFFF"/>
        </w:rPr>
        <w:t>Comparator-specific observations</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Acupuncture versus penetrati</w:t>
      </w:r>
      <w:r w:rsidR="00756E1C">
        <w:rPr>
          <w:rFonts w:ascii="Times New Roman" w:hAnsi="Times New Roman" w:cs="Times New Roman"/>
          <w:color w:val="333333"/>
          <w:sz w:val="24"/>
          <w:szCs w:val="24"/>
          <w:shd w:val="clear" w:color="auto" w:fill="FFFFFF"/>
        </w:rPr>
        <w:t>ng sham: SMD = 0.17, TLR = 1.36</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Acupuncture versus non-penetrati</w:t>
      </w:r>
      <w:r w:rsidR="00756E1C">
        <w:rPr>
          <w:rFonts w:ascii="Times New Roman" w:hAnsi="Times New Roman" w:cs="Times New Roman"/>
          <w:color w:val="333333"/>
          <w:sz w:val="24"/>
          <w:szCs w:val="24"/>
          <w:shd w:val="clear" w:color="auto" w:fill="FFFFFF"/>
        </w:rPr>
        <w:t>ng sham: SMD = 0.52, TLR = 2.57</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Acupuncture versus usu</w:t>
      </w:r>
      <w:r w:rsidR="00756E1C">
        <w:rPr>
          <w:rFonts w:ascii="Times New Roman" w:hAnsi="Times New Roman" w:cs="Times New Roman"/>
          <w:color w:val="333333"/>
          <w:sz w:val="24"/>
          <w:szCs w:val="24"/>
          <w:shd w:val="clear" w:color="auto" w:fill="FFFFFF"/>
        </w:rPr>
        <w:t>al care: SMD = 0.50, TLR = 2.48</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Penetrating versus non-penetratin</w:t>
      </w:r>
      <w:r w:rsidR="00756E1C">
        <w:rPr>
          <w:rFonts w:ascii="Times New Roman" w:hAnsi="Times New Roman" w:cs="Times New Roman"/>
          <w:color w:val="333333"/>
          <w:sz w:val="24"/>
          <w:szCs w:val="24"/>
          <w:shd w:val="clear" w:color="auto" w:fill="FFFFFF"/>
        </w:rPr>
        <w:t>g sham: SMD = −0.30, TLR = 0.58</w:t>
      </w:r>
    </w:p>
    <w:p w:rsidR="00756E1C" w:rsidRDefault="005061B8">
      <w:pPr>
        <w:rPr>
          <w:rFonts w:ascii="Times New Roman" w:hAnsi="Times New Roman" w:cs="Times New Roman" w:hint="eastAsia"/>
          <w:color w:val="333333"/>
          <w:sz w:val="24"/>
          <w:szCs w:val="24"/>
          <w:shd w:val="clear" w:color="auto" w:fill="FFFFFF"/>
        </w:rPr>
      </w:pPr>
      <w:proofErr w:type="spellStart"/>
      <w:r w:rsidRPr="005061B8">
        <w:rPr>
          <w:rFonts w:ascii="Times New Roman" w:hAnsi="Times New Roman" w:cs="Times New Roman"/>
          <w:color w:val="333333"/>
          <w:sz w:val="24"/>
          <w:szCs w:val="24"/>
          <w:shd w:val="clear" w:color="auto" w:fill="FFFFFF"/>
        </w:rPr>
        <w:t>Acupoint</w:t>
      </w:r>
      <w:proofErr w:type="spellEnd"/>
      <w:r w:rsidRPr="005061B8">
        <w:rPr>
          <w:rFonts w:ascii="Times New Roman" w:hAnsi="Times New Roman" w:cs="Times New Roman"/>
          <w:color w:val="333333"/>
          <w:sz w:val="24"/>
          <w:szCs w:val="24"/>
          <w:shd w:val="clear" w:color="auto" w:fill="FFFFFF"/>
        </w:rPr>
        <w:t xml:space="preserve"> versus non-</w:t>
      </w:r>
      <w:proofErr w:type="spellStart"/>
      <w:r w:rsidRPr="005061B8">
        <w:rPr>
          <w:rFonts w:ascii="Times New Roman" w:hAnsi="Times New Roman" w:cs="Times New Roman"/>
          <w:color w:val="333333"/>
          <w:sz w:val="24"/>
          <w:szCs w:val="24"/>
          <w:shd w:val="clear" w:color="auto" w:fill="FFFFFF"/>
        </w:rPr>
        <w:t>acupoint</w:t>
      </w:r>
      <w:proofErr w:type="spellEnd"/>
      <w:r w:rsidRPr="005061B8">
        <w:rPr>
          <w:rFonts w:ascii="Times New Roman" w:hAnsi="Times New Roman" w:cs="Times New Roman"/>
          <w:color w:val="333333"/>
          <w:sz w:val="24"/>
          <w:szCs w:val="24"/>
          <w:shd w:val="clear" w:color="auto" w:fill="FFFFFF"/>
        </w:rPr>
        <w:t xml:space="preserve"> under penetrating conditions: SMD = −0.02, TLR = 1.02 (0.40–1.88)</w:t>
      </w:r>
    </w:p>
    <w:p w:rsidR="00756E1C" w:rsidRPr="00756E1C" w:rsidRDefault="005061B8">
      <w:pPr>
        <w:rPr>
          <w:rFonts w:ascii="Times New Roman" w:hAnsi="Times New Roman" w:cs="Times New Roman" w:hint="eastAsia"/>
          <w:color w:val="333333"/>
          <w:sz w:val="28"/>
          <w:szCs w:val="28"/>
          <w:shd w:val="clear" w:color="auto" w:fill="FFFFFF"/>
        </w:rPr>
      </w:pPr>
      <w:r w:rsidRPr="005061B8">
        <w:rPr>
          <w:rFonts w:ascii="Times New Roman" w:hAnsi="Times New Roman" w:cs="Times New Roman"/>
          <w:color w:val="333333"/>
          <w:sz w:val="24"/>
          <w:szCs w:val="24"/>
        </w:rPr>
        <w:br/>
      </w:r>
      <w:r w:rsidRPr="00756E1C">
        <w:rPr>
          <w:rFonts w:ascii="Times New Roman" w:hAnsi="Times New Roman" w:cs="Times New Roman"/>
          <w:color w:val="333333"/>
          <w:sz w:val="28"/>
          <w:szCs w:val="28"/>
          <w:shd w:val="clear" w:color="auto" w:fill="FFFFFF"/>
        </w:rPr>
        <w:t>Interpretation</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These observations indicate that TLR values can exceed 1.0 even when mean differences are small, whereas near-zero differences are associated with TLR values close to unity and wide ranges.</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rPr>
        <w:br/>
      </w:r>
      <w:r w:rsidRPr="00756E1C">
        <w:rPr>
          <w:rFonts w:ascii="Times New Roman" w:hAnsi="Times New Roman" w:cs="Times New Roman"/>
          <w:color w:val="333333"/>
          <w:sz w:val="28"/>
          <w:szCs w:val="28"/>
          <w:shd w:val="clear" w:color="auto" w:fill="FFFFFF"/>
        </w:rPr>
        <w:t>Relation to sensitivity analysis</w:t>
      </w:r>
    </w:p>
    <w:p w:rsidR="00756E1C" w:rsidRDefault="005061B8">
      <w:pPr>
        <w:rPr>
          <w:rFonts w:ascii="Times New Roman" w:hAnsi="Times New Roman" w:cs="Times New Roman" w:hint="eastAsia"/>
          <w:color w:val="333333"/>
          <w:sz w:val="24"/>
          <w:szCs w:val="24"/>
          <w:shd w:val="clear" w:color="auto" w:fill="FFFFFF"/>
        </w:rPr>
      </w:pPr>
      <w:r w:rsidRPr="00756E1C">
        <w:rPr>
          <w:rFonts w:ascii="Times New Roman" w:hAnsi="Times New Roman" w:cs="Times New Roman"/>
          <w:color w:val="333333"/>
          <w:sz w:val="24"/>
          <w:szCs w:val="24"/>
          <w:shd w:val="clear" w:color="auto" w:fill="FFFFFF"/>
        </w:rPr>
        <w:br/>
      </w:r>
      <w:r w:rsidRPr="005061B8">
        <w:rPr>
          <w:rFonts w:ascii="Times New Roman" w:hAnsi="Times New Roman" w:cs="Times New Roman"/>
          <w:color w:val="333333"/>
          <w:sz w:val="24"/>
          <w:szCs w:val="24"/>
          <w:shd w:val="clear" w:color="auto" w:fill="FFFFFF"/>
        </w:rPr>
        <w:t>A subset of these disease categories (low back pain and knee pain) was further examined in sensitivity analyses (Section S1.6) to assess the imp</w:t>
      </w:r>
      <w:r w:rsidR="00756E1C">
        <w:rPr>
          <w:rFonts w:ascii="Times New Roman" w:hAnsi="Times New Roman" w:cs="Times New Roman"/>
          <w:color w:val="333333"/>
          <w:sz w:val="24"/>
          <w:szCs w:val="24"/>
          <w:shd w:val="clear" w:color="auto" w:fill="FFFFFF"/>
        </w:rPr>
        <w:t>act of varying MCID thresholds.</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Accordingly, this section presents the baseline disease-specific TLR distributions, while threshold-dependent analyses are reported separately in S1.6.</w:t>
      </w:r>
    </w:p>
    <w:p w:rsidR="00756E1C"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Note</w:t>
      </w:r>
      <w:proofErr w:type="gramStart"/>
      <w:r w:rsidR="00756E1C">
        <w:rPr>
          <w:rFonts w:ascii="Times New Roman" w:hAnsi="Times New Roman" w:cs="Times New Roman" w:hint="eastAsia"/>
          <w:color w:val="333333"/>
          <w:sz w:val="24"/>
          <w:szCs w:val="24"/>
          <w:shd w:val="clear" w:color="auto" w:fill="FFFFFF"/>
        </w:rPr>
        <w:t>:</w:t>
      </w:r>
      <w:proofErr w:type="gramEnd"/>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These results suggest that TLR distributions vary across disease categories and are dependent on the underlying comparator structure.</w:t>
      </w:r>
      <w:r w:rsidRPr="005061B8">
        <w:rPr>
          <w:rFonts w:ascii="Times New Roman" w:hAnsi="Times New Roman" w:cs="Times New Roman"/>
          <w:color w:val="333333"/>
          <w:sz w:val="24"/>
          <w:szCs w:val="24"/>
        </w:rPr>
        <w:br/>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756E1C">
        <w:rPr>
          <w:rFonts w:ascii="Times New Roman" w:hAnsi="Times New Roman" w:cs="Times New Roman"/>
          <w:b/>
          <w:color w:val="333333"/>
          <w:sz w:val="28"/>
          <w:szCs w:val="28"/>
          <w:shd w:val="clear" w:color="auto" w:fill="FFFFFF"/>
        </w:rPr>
        <w:t>S1.2 Frequency-related data (corresponding to Section 3.2 of the main text)</w:t>
      </w:r>
    </w:p>
    <w:p w:rsidR="00756E1C" w:rsidRDefault="005061B8">
      <w:pPr>
        <w:rPr>
          <w:rFonts w:ascii="Times New Roman" w:hAnsi="Times New Roman" w:cs="Times New Roman" w:hint="eastAsia"/>
          <w:color w:val="333333"/>
          <w:sz w:val="24"/>
          <w:szCs w:val="24"/>
          <w:shd w:val="clear" w:color="auto" w:fill="FFFFFF"/>
        </w:rPr>
      </w:pPr>
      <w:r w:rsidRPr="00756E1C">
        <w:rPr>
          <w:rFonts w:ascii="Times New Roman" w:hAnsi="Times New Roman" w:cs="Times New Roman"/>
          <w:color w:val="333333"/>
          <w:sz w:val="24"/>
          <w:szCs w:val="24"/>
          <w:shd w:val="clear" w:color="auto" w:fill="FFFFFF"/>
        </w:rPr>
        <w:br/>
      </w:r>
      <w:r w:rsidRPr="005061B8">
        <w:rPr>
          <w:rFonts w:ascii="Times New Roman" w:hAnsi="Times New Roman" w:cs="Times New Roman"/>
          <w:color w:val="333333"/>
          <w:sz w:val="24"/>
          <w:szCs w:val="24"/>
          <w:shd w:val="clear" w:color="auto" w:fill="FFFFFF"/>
        </w:rPr>
        <w:t>This section presents frequency-related TLR values corresponding to Se</w:t>
      </w:r>
      <w:r w:rsidR="00756E1C">
        <w:rPr>
          <w:rFonts w:ascii="Times New Roman" w:hAnsi="Times New Roman" w:cs="Times New Roman"/>
          <w:color w:val="333333"/>
          <w:sz w:val="24"/>
          <w:szCs w:val="24"/>
          <w:shd w:val="clear" w:color="auto" w:fill="FFFFFF"/>
        </w:rPr>
        <w:t>ction 3.2 of the main text [5].</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 xml:space="preserve">The data are derived from migraine-specific acupuncture studies and report TLR values </w:t>
      </w:r>
      <w:r w:rsidRPr="005061B8">
        <w:rPr>
          <w:rFonts w:ascii="Times New Roman" w:hAnsi="Times New Roman" w:cs="Times New Roman"/>
          <w:color w:val="333333"/>
          <w:sz w:val="24"/>
          <w:szCs w:val="24"/>
          <w:shd w:val="clear" w:color="auto" w:fill="FFFFFF"/>
        </w:rPr>
        <w:lastRenderedPageBreak/>
        <w:t>across different treatment frequencies (sessions per week).</w:t>
      </w:r>
    </w:p>
    <w:p w:rsidR="00756E1C" w:rsidRPr="00756E1C" w:rsidRDefault="005061B8">
      <w:pPr>
        <w:rPr>
          <w:rFonts w:ascii="Times New Roman" w:hAnsi="Times New Roman" w:cs="Times New Roman" w:hint="eastAsia"/>
          <w:color w:val="333333"/>
          <w:sz w:val="28"/>
          <w:szCs w:val="28"/>
          <w:shd w:val="clear" w:color="auto" w:fill="FFFFFF"/>
        </w:rPr>
      </w:pPr>
      <w:r w:rsidRPr="005061B8">
        <w:rPr>
          <w:rFonts w:ascii="Times New Roman" w:hAnsi="Times New Roman" w:cs="Times New Roman"/>
          <w:color w:val="333333"/>
          <w:sz w:val="24"/>
          <w:szCs w:val="24"/>
        </w:rPr>
        <w:br/>
      </w:r>
      <w:r w:rsidRPr="00756E1C">
        <w:rPr>
          <w:rFonts w:ascii="Times New Roman" w:hAnsi="Times New Roman" w:cs="Times New Roman"/>
          <w:color w:val="333333"/>
          <w:sz w:val="28"/>
          <w:szCs w:val="28"/>
          <w:shd w:val="clear" w:color="auto" w:fill="FFFFFF"/>
        </w:rPr>
        <w:t>Frequency-related TLR values</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00756E1C">
        <w:rPr>
          <w:rFonts w:ascii="Times New Roman" w:hAnsi="Times New Roman" w:cs="Times New Roman"/>
          <w:color w:val="333333"/>
          <w:sz w:val="24"/>
          <w:szCs w:val="24"/>
          <w:shd w:val="clear" w:color="auto" w:fill="FFFFFF"/>
        </w:rPr>
        <w:t>1 session/week: TLR = 1.00</w:t>
      </w:r>
    </w:p>
    <w:p w:rsidR="00756E1C" w:rsidRDefault="00756E1C">
      <w:pPr>
        <w:rPr>
          <w:rFonts w:ascii="Times New Roman" w:hAnsi="Times New Roman" w:cs="Times New Roman" w:hint="eastAsia"/>
          <w:color w:val="333333"/>
          <w:sz w:val="24"/>
          <w:szCs w:val="24"/>
          <w:shd w:val="clear" w:color="auto" w:fill="FFFFFF"/>
        </w:rPr>
      </w:pPr>
      <w:r>
        <w:rPr>
          <w:rFonts w:ascii="Times New Roman" w:hAnsi="Times New Roman" w:cs="Times New Roman"/>
          <w:color w:val="333333"/>
          <w:sz w:val="24"/>
          <w:szCs w:val="24"/>
          <w:shd w:val="clear" w:color="auto" w:fill="FFFFFF"/>
        </w:rPr>
        <w:t>2 sessions/week: TLR = 1.68</w:t>
      </w:r>
    </w:p>
    <w:p w:rsidR="00756E1C" w:rsidRDefault="00756E1C">
      <w:pPr>
        <w:rPr>
          <w:rFonts w:ascii="Times New Roman" w:hAnsi="Times New Roman" w:cs="Times New Roman" w:hint="eastAsia"/>
          <w:color w:val="333333"/>
          <w:sz w:val="24"/>
          <w:szCs w:val="24"/>
          <w:shd w:val="clear" w:color="auto" w:fill="FFFFFF"/>
        </w:rPr>
      </w:pPr>
      <w:r>
        <w:rPr>
          <w:rFonts w:ascii="Times New Roman" w:hAnsi="Times New Roman" w:cs="Times New Roman"/>
          <w:color w:val="333333"/>
          <w:sz w:val="24"/>
          <w:szCs w:val="24"/>
          <w:shd w:val="clear" w:color="auto" w:fill="FFFFFF"/>
        </w:rPr>
        <w:t>3 sessions/week: TLR = 2.05</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4 sessions/week: TLR = 2.25</w:t>
      </w:r>
    </w:p>
    <w:p w:rsidR="00756E1C" w:rsidRPr="00756E1C" w:rsidRDefault="005061B8">
      <w:pPr>
        <w:rPr>
          <w:rFonts w:ascii="Times New Roman" w:hAnsi="Times New Roman" w:cs="Times New Roman" w:hint="eastAsia"/>
          <w:color w:val="333333"/>
          <w:sz w:val="28"/>
          <w:szCs w:val="28"/>
          <w:shd w:val="clear" w:color="auto" w:fill="FFFFFF"/>
        </w:rPr>
      </w:pPr>
      <w:r w:rsidRPr="005061B8">
        <w:rPr>
          <w:rFonts w:ascii="Times New Roman" w:hAnsi="Times New Roman" w:cs="Times New Roman"/>
          <w:color w:val="333333"/>
          <w:sz w:val="24"/>
          <w:szCs w:val="24"/>
        </w:rPr>
        <w:br/>
      </w:r>
      <w:r w:rsidRPr="00756E1C">
        <w:rPr>
          <w:rFonts w:ascii="Times New Roman" w:hAnsi="Times New Roman" w:cs="Times New Roman"/>
          <w:color w:val="333333"/>
          <w:sz w:val="28"/>
          <w:szCs w:val="28"/>
          <w:shd w:val="clear" w:color="auto" w:fill="FFFFFF"/>
        </w:rPr>
        <w:t>Observed pattern</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In the original studies based on mean differences, a nonlinear (J-shaped) relationship between treatment freq</w:t>
      </w:r>
      <w:r w:rsidR="00756E1C">
        <w:rPr>
          <w:rFonts w:ascii="Times New Roman" w:hAnsi="Times New Roman" w:cs="Times New Roman"/>
          <w:color w:val="333333"/>
          <w:sz w:val="24"/>
          <w:szCs w:val="24"/>
          <w:shd w:val="clear" w:color="auto" w:fill="FFFFFF"/>
        </w:rPr>
        <w:t>uency and outcome was reported.</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 xml:space="preserve">When the same data are re-expressed using the TLR approach, the values show a monotonic increase within the examined frequency range </w:t>
      </w:r>
      <w:r w:rsidR="00756E1C">
        <w:rPr>
          <w:rFonts w:ascii="Times New Roman" w:hAnsi="Times New Roman" w:cs="Times New Roman"/>
          <w:color w:val="333333"/>
          <w:sz w:val="24"/>
          <w:szCs w:val="24"/>
          <w:shd w:val="clear" w:color="auto" w:fill="FFFFFF"/>
        </w:rPr>
        <w:t>(up to four sessions per week).</w:t>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The increase between three and four sessions per week was relatively small compared to earlier increments.</w:t>
      </w:r>
    </w:p>
    <w:p w:rsidR="00756E1C"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Note</w:t>
      </w:r>
      <w:proofErr w:type="gramStart"/>
      <w:r w:rsidR="00756E1C">
        <w:rPr>
          <w:rFonts w:ascii="Times New Roman" w:hAnsi="Times New Roman" w:cs="Times New Roman" w:hint="eastAsia"/>
          <w:color w:val="333333"/>
          <w:sz w:val="24"/>
          <w:szCs w:val="24"/>
          <w:shd w:val="clear" w:color="auto" w:fill="FFFFFF"/>
        </w:rPr>
        <w:t>:</w:t>
      </w:r>
      <w:proofErr w:type="gramEnd"/>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These results do not introduce new empirical findings but represent a re-expression of previously reported summary statistics.</w:t>
      </w:r>
      <w:r w:rsidRPr="005061B8">
        <w:rPr>
          <w:rFonts w:ascii="Times New Roman" w:hAnsi="Times New Roman" w:cs="Times New Roman"/>
          <w:color w:val="333333"/>
          <w:sz w:val="24"/>
          <w:szCs w:val="24"/>
        </w:rPr>
        <w:br/>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756E1C">
        <w:rPr>
          <w:rFonts w:ascii="Times New Roman" w:hAnsi="Times New Roman" w:cs="Times New Roman"/>
          <w:b/>
          <w:color w:val="333333"/>
          <w:sz w:val="28"/>
          <w:szCs w:val="28"/>
          <w:shd w:val="clear" w:color="auto" w:fill="FFFFFF"/>
        </w:rPr>
        <w:t>S1.3 Comparator-level structure (reference system within TLR representation)</w:t>
      </w:r>
    </w:p>
    <w:p w:rsidR="00756E1C" w:rsidRDefault="005061B8">
      <w:pPr>
        <w:rPr>
          <w:rFonts w:ascii="Times New Roman" w:hAnsi="Times New Roman" w:cs="Times New Roman" w:hint="eastAsia"/>
          <w:color w:val="333333"/>
          <w:sz w:val="24"/>
          <w:szCs w:val="24"/>
          <w:shd w:val="clear" w:color="auto" w:fill="FFFFFF"/>
        </w:rPr>
      </w:pPr>
      <w:r w:rsidRPr="00756E1C">
        <w:rPr>
          <w:rFonts w:ascii="Times New Roman" w:hAnsi="Times New Roman" w:cs="Times New Roman"/>
          <w:color w:val="333333"/>
          <w:sz w:val="24"/>
          <w:szCs w:val="24"/>
          <w:shd w:val="clear" w:color="auto" w:fill="FFFFFF"/>
        </w:rPr>
        <w:br/>
      </w:r>
      <w:r w:rsidRPr="005061B8">
        <w:rPr>
          <w:rFonts w:ascii="Times New Roman" w:hAnsi="Times New Roman" w:cs="Times New Roman"/>
          <w:color w:val="333333"/>
          <w:sz w:val="24"/>
          <w:szCs w:val="24"/>
          <w:shd w:val="clear" w:color="auto" w:fill="FFFFFF"/>
        </w:rPr>
        <w:t>This section presents data underlying the structural representation of sham acupuncture and related comparator conditions described in Section 3.3 of the main text [6].</w:t>
      </w:r>
      <w:r w:rsidRPr="005061B8">
        <w:rPr>
          <w:rFonts w:ascii="Times New Roman" w:hAnsi="Times New Roman" w:cs="Times New Roman"/>
          <w:color w:val="333333"/>
          <w:sz w:val="24"/>
          <w:szCs w:val="24"/>
        </w:rPr>
        <w:br/>
      </w:r>
    </w:p>
    <w:p w:rsidR="00756E1C" w:rsidRPr="00756E1C" w:rsidRDefault="005061B8">
      <w:pPr>
        <w:rPr>
          <w:rFonts w:ascii="Times New Roman" w:hAnsi="Times New Roman" w:cs="Times New Roman" w:hint="eastAsia"/>
          <w:color w:val="333333"/>
          <w:sz w:val="28"/>
          <w:szCs w:val="28"/>
          <w:shd w:val="clear" w:color="auto" w:fill="FFFFFF"/>
        </w:rPr>
      </w:pPr>
      <w:r w:rsidRPr="00756E1C">
        <w:rPr>
          <w:rFonts w:ascii="Times New Roman" w:hAnsi="Times New Roman" w:cs="Times New Roman"/>
          <w:color w:val="333333"/>
          <w:sz w:val="28"/>
          <w:szCs w:val="28"/>
          <w:shd w:val="clear" w:color="auto" w:fill="FFFFFF"/>
        </w:rPr>
        <w:t>Structural representation dataset</w:t>
      </w:r>
      <w:r w:rsidRPr="00756E1C">
        <w:rPr>
          <w:rFonts w:ascii="Times New Roman" w:hAnsi="Times New Roman" w:cs="Times New Roman"/>
          <w:color w:val="333333"/>
          <w:sz w:val="28"/>
          <w:szCs w:val="28"/>
        </w:rPr>
        <w:br/>
      </w:r>
    </w:p>
    <w:p w:rsidR="00756E1C"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All values represent relative positions in the TLR re-expression representation derived from acupuncture comparisons against re</w:t>
      </w:r>
      <w:r w:rsidR="00756E1C">
        <w:rPr>
          <w:rFonts w:ascii="Times New Roman" w:hAnsi="Times New Roman" w:cs="Times New Roman"/>
          <w:color w:val="333333"/>
          <w:sz w:val="24"/>
          <w:szCs w:val="24"/>
          <w:shd w:val="clear" w:color="auto" w:fill="FFFFFF"/>
        </w:rPr>
        <w:t>spective comparator conditions.</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 xml:space="preserve">These values should be interpreted within the probabilistic structural approach and are not direct </w:t>
      </w:r>
      <w:proofErr w:type="spellStart"/>
      <w:r w:rsidRPr="005061B8">
        <w:rPr>
          <w:rFonts w:ascii="Times New Roman" w:hAnsi="Times New Roman" w:cs="Times New Roman"/>
          <w:color w:val="333333"/>
          <w:sz w:val="24"/>
          <w:szCs w:val="24"/>
          <w:shd w:val="clear" w:color="auto" w:fill="FFFFFF"/>
        </w:rPr>
        <w:t>pairwise</w:t>
      </w:r>
      <w:proofErr w:type="spellEnd"/>
      <w:r w:rsidRPr="005061B8">
        <w:rPr>
          <w:rFonts w:ascii="Times New Roman" w:hAnsi="Times New Roman" w:cs="Times New Roman"/>
          <w:color w:val="333333"/>
          <w:sz w:val="24"/>
          <w:szCs w:val="24"/>
          <w:shd w:val="clear" w:color="auto" w:fill="FFFFFF"/>
        </w:rPr>
        <w:t xml:space="preserve"> comparisons across interventions.</w:t>
      </w:r>
      <w:r w:rsidRPr="005061B8">
        <w:rPr>
          <w:rFonts w:ascii="Times New Roman" w:hAnsi="Times New Roman" w:cs="Times New Roman"/>
          <w:color w:val="333333"/>
          <w:sz w:val="24"/>
          <w:szCs w:val="24"/>
        </w:rPr>
        <w:br/>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 xml:space="preserve">TLR (Acupuncture </w:t>
      </w:r>
      <w:proofErr w:type="spellStart"/>
      <w:r w:rsidRPr="005061B8">
        <w:rPr>
          <w:rFonts w:ascii="Times New Roman" w:hAnsi="Times New Roman" w:cs="Times New Roman"/>
          <w:color w:val="333333"/>
          <w:sz w:val="24"/>
          <w:szCs w:val="24"/>
          <w:shd w:val="clear" w:color="auto" w:fill="FFFFFF"/>
        </w:rPr>
        <w:t>vs</w:t>
      </w:r>
      <w:proofErr w:type="spellEnd"/>
      <w:r w:rsidRPr="005061B8">
        <w:rPr>
          <w:rFonts w:ascii="Times New Roman" w:hAnsi="Times New Roman" w:cs="Times New Roman"/>
          <w:color w:val="333333"/>
          <w:sz w:val="24"/>
          <w:szCs w:val="24"/>
          <w:shd w:val="clear" w:color="auto" w:fill="FFFFFF"/>
        </w:rPr>
        <w:t xml:space="preserve"> wa</w:t>
      </w:r>
      <w:r w:rsidR="008B4CB6">
        <w:rPr>
          <w:rFonts w:ascii="Times New Roman" w:hAnsi="Times New Roman" w:cs="Times New Roman"/>
          <w:color w:val="333333"/>
          <w:sz w:val="24"/>
          <w:szCs w:val="24"/>
          <w:shd w:val="clear" w:color="auto" w:fill="FFFFFF"/>
        </w:rPr>
        <w:t>itlist): 2.48 (range 2.30–3.10)</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TLR (Non-</w:t>
      </w:r>
      <w:proofErr w:type="spellStart"/>
      <w:r w:rsidRPr="005061B8">
        <w:rPr>
          <w:rFonts w:ascii="Times New Roman" w:hAnsi="Times New Roman" w:cs="Times New Roman"/>
          <w:color w:val="333333"/>
          <w:sz w:val="24"/>
          <w:szCs w:val="24"/>
          <w:shd w:val="clear" w:color="auto" w:fill="FFFFFF"/>
        </w:rPr>
        <w:t>acupoint</w:t>
      </w:r>
      <w:proofErr w:type="spellEnd"/>
      <w:r w:rsidRPr="005061B8">
        <w:rPr>
          <w:rFonts w:ascii="Times New Roman" w:hAnsi="Times New Roman" w:cs="Times New Roman"/>
          <w:color w:val="333333"/>
          <w:sz w:val="24"/>
          <w:szCs w:val="24"/>
          <w:shd w:val="clear" w:color="auto" w:fill="FFFFFF"/>
        </w:rPr>
        <w:t xml:space="preserve"> superficial needling </w:t>
      </w:r>
      <w:proofErr w:type="spellStart"/>
      <w:r w:rsidRPr="005061B8">
        <w:rPr>
          <w:rFonts w:ascii="Times New Roman" w:hAnsi="Times New Roman" w:cs="Times New Roman"/>
          <w:color w:val="333333"/>
          <w:sz w:val="24"/>
          <w:szCs w:val="24"/>
          <w:shd w:val="clear" w:color="auto" w:fill="FFFFFF"/>
        </w:rPr>
        <w:t>vs</w:t>
      </w:r>
      <w:proofErr w:type="spellEnd"/>
      <w:r w:rsidRPr="005061B8">
        <w:rPr>
          <w:rFonts w:ascii="Times New Roman" w:hAnsi="Times New Roman" w:cs="Times New Roman"/>
          <w:color w:val="333333"/>
          <w:sz w:val="24"/>
          <w:szCs w:val="24"/>
          <w:shd w:val="clear" w:color="auto" w:fill="FFFFFF"/>
        </w:rPr>
        <w:t xml:space="preserve"> wa</w:t>
      </w:r>
      <w:r w:rsidR="008B4CB6">
        <w:rPr>
          <w:rFonts w:ascii="Times New Roman" w:hAnsi="Times New Roman" w:cs="Times New Roman"/>
          <w:color w:val="333333"/>
          <w:sz w:val="24"/>
          <w:szCs w:val="24"/>
          <w:shd w:val="clear" w:color="auto" w:fill="FFFFFF"/>
        </w:rPr>
        <w:t>itlist): 1.36 (range 1.15–1.45)</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TLR (</w:t>
      </w:r>
      <w:proofErr w:type="spellStart"/>
      <w:r w:rsidRPr="005061B8">
        <w:rPr>
          <w:rFonts w:ascii="Times New Roman" w:hAnsi="Times New Roman" w:cs="Times New Roman"/>
          <w:color w:val="333333"/>
          <w:sz w:val="24"/>
          <w:szCs w:val="24"/>
          <w:shd w:val="clear" w:color="auto" w:fill="FFFFFF"/>
        </w:rPr>
        <w:t>Acupoint</w:t>
      </w:r>
      <w:proofErr w:type="spellEnd"/>
      <w:r w:rsidRPr="005061B8">
        <w:rPr>
          <w:rFonts w:ascii="Times New Roman" w:hAnsi="Times New Roman" w:cs="Times New Roman"/>
          <w:color w:val="333333"/>
          <w:sz w:val="24"/>
          <w:szCs w:val="24"/>
          <w:shd w:val="clear" w:color="auto" w:fill="FFFFFF"/>
        </w:rPr>
        <w:t xml:space="preserve"> stimulation via toothpick </w:t>
      </w:r>
      <w:proofErr w:type="spellStart"/>
      <w:r w:rsidRPr="005061B8">
        <w:rPr>
          <w:rFonts w:ascii="Times New Roman" w:hAnsi="Times New Roman" w:cs="Times New Roman"/>
          <w:color w:val="333333"/>
          <w:sz w:val="24"/>
          <w:szCs w:val="24"/>
          <w:shd w:val="clear" w:color="auto" w:fill="FFFFFF"/>
        </w:rPr>
        <w:t>vs</w:t>
      </w:r>
      <w:proofErr w:type="spellEnd"/>
      <w:r w:rsidRPr="005061B8">
        <w:rPr>
          <w:rFonts w:ascii="Times New Roman" w:hAnsi="Times New Roman" w:cs="Times New Roman"/>
          <w:color w:val="333333"/>
          <w:sz w:val="24"/>
          <w:szCs w:val="24"/>
          <w:shd w:val="clear" w:color="auto" w:fill="FFFFFF"/>
        </w:rPr>
        <w:t xml:space="preserve"> waitlist): 1.55 (range </w:t>
      </w:r>
      <w:proofErr w:type="spellStart"/>
      <w:r w:rsidRPr="005061B8">
        <w:rPr>
          <w:rFonts w:ascii="Times New Roman" w:hAnsi="Times New Roman" w:cs="Times New Roman"/>
          <w:color w:val="333333"/>
          <w:sz w:val="24"/>
          <w:szCs w:val="24"/>
          <w:shd w:val="clear" w:color="auto" w:fill="FFFFFF"/>
        </w:rPr>
        <w:t>n.a</w:t>
      </w:r>
      <w:proofErr w:type="spellEnd"/>
      <w:r w:rsidRPr="005061B8">
        <w:rPr>
          <w:rFonts w:ascii="Times New Roman" w:hAnsi="Times New Roman" w:cs="Times New Roman"/>
          <w:color w:val="333333"/>
          <w:sz w:val="24"/>
          <w:szCs w:val="24"/>
          <w:shd w:val="clear" w:color="auto" w:fill="FFFFFF"/>
        </w:rPr>
        <w:t>.)</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Note</w:t>
      </w:r>
      <w:proofErr w:type="gramStart"/>
      <w:r w:rsidR="008B4CB6">
        <w:rPr>
          <w:rFonts w:ascii="Times New Roman" w:hAnsi="Times New Roman" w:cs="Times New Roman" w:hint="eastAsia"/>
          <w:color w:val="333333"/>
          <w:sz w:val="24"/>
          <w:szCs w:val="24"/>
          <w:shd w:val="clear" w:color="auto" w:fill="FFFFFF"/>
        </w:rPr>
        <w:t>:</w:t>
      </w:r>
      <w:proofErr w:type="gramEnd"/>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The structural representation describes the relative positioning of comparator conditions within the TLR re-expression representation, rather than a hierarchical ranking of efficacy.</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Within this approach, sham acupuncture is represented as a non-inert condition with non-zero probabilistic leverage relative to the reference state.</w:t>
      </w:r>
    </w:p>
    <w:p w:rsidR="008B4CB6"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These values reflect structural positioning within the probabilistic re-expression approach.</w:t>
      </w:r>
      <w:r w:rsidRPr="005061B8">
        <w:rPr>
          <w:rFonts w:ascii="Times New Roman" w:hAnsi="Times New Roman" w:cs="Times New Roman"/>
          <w:color w:val="333333"/>
          <w:sz w:val="24"/>
          <w:szCs w:val="24"/>
        </w:rPr>
        <w:br/>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8B4CB6">
        <w:rPr>
          <w:rFonts w:ascii="Times New Roman" w:hAnsi="Times New Roman" w:cs="Times New Roman"/>
          <w:b/>
          <w:color w:val="333333"/>
          <w:sz w:val="28"/>
          <w:szCs w:val="28"/>
          <w:shd w:val="clear" w:color="auto" w:fill="FFFFFF"/>
        </w:rPr>
        <w:t>S1.4 Preference-related data (corresponding to Section 3.4 of the main text)</w:t>
      </w:r>
    </w:p>
    <w:p w:rsidR="008B4CB6" w:rsidRDefault="005061B8">
      <w:pPr>
        <w:rPr>
          <w:rFonts w:ascii="Times New Roman" w:hAnsi="Times New Roman" w:cs="Times New Roman" w:hint="eastAsia"/>
          <w:color w:val="333333"/>
          <w:sz w:val="24"/>
          <w:szCs w:val="24"/>
          <w:shd w:val="clear" w:color="auto" w:fill="FFFFFF"/>
        </w:rPr>
      </w:pPr>
      <w:r w:rsidRPr="008B4CB6">
        <w:rPr>
          <w:rFonts w:ascii="Times New Roman" w:hAnsi="Times New Roman" w:cs="Times New Roman"/>
          <w:color w:val="333333"/>
          <w:sz w:val="24"/>
          <w:szCs w:val="24"/>
          <w:shd w:val="clear" w:color="auto" w:fill="FFFFFF"/>
        </w:rPr>
        <w:br/>
      </w:r>
      <w:r w:rsidRPr="005061B8">
        <w:rPr>
          <w:rFonts w:ascii="Times New Roman" w:hAnsi="Times New Roman" w:cs="Times New Roman"/>
          <w:color w:val="333333"/>
          <w:sz w:val="24"/>
          <w:szCs w:val="24"/>
          <w:shd w:val="clear" w:color="auto" w:fill="FFFFFF"/>
        </w:rPr>
        <w:t>This section presents preference-related TLR values corresponding to Se</w:t>
      </w:r>
      <w:r w:rsidR="008B4CB6">
        <w:rPr>
          <w:rFonts w:ascii="Times New Roman" w:hAnsi="Times New Roman" w:cs="Times New Roman"/>
          <w:color w:val="333333"/>
          <w:sz w:val="24"/>
          <w:szCs w:val="24"/>
          <w:shd w:val="clear" w:color="auto" w:fill="FFFFFF"/>
        </w:rPr>
        <w:t>ction 3.4 of the main text [7].</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The data describe TLR estimates stratified by preference-response categories under different MCID thresholds.</w:t>
      </w:r>
    </w:p>
    <w:p w:rsidR="008B4CB6" w:rsidRPr="008B4CB6" w:rsidRDefault="005061B8">
      <w:pPr>
        <w:rPr>
          <w:rFonts w:ascii="Times New Roman" w:hAnsi="Times New Roman" w:cs="Times New Roman" w:hint="eastAsia"/>
          <w:color w:val="333333"/>
          <w:sz w:val="28"/>
          <w:szCs w:val="28"/>
          <w:shd w:val="clear" w:color="auto" w:fill="FFFFFF"/>
        </w:rPr>
      </w:pPr>
      <w:r w:rsidRPr="005061B8">
        <w:rPr>
          <w:rFonts w:ascii="Times New Roman" w:hAnsi="Times New Roman" w:cs="Times New Roman"/>
          <w:color w:val="333333"/>
          <w:sz w:val="24"/>
          <w:szCs w:val="24"/>
        </w:rPr>
        <w:br/>
      </w:r>
      <w:r w:rsidRPr="008B4CB6">
        <w:rPr>
          <w:rFonts w:ascii="Times New Roman" w:hAnsi="Times New Roman" w:cs="Times New Roman"/>
          <w:color w:val="333333"/>
          <w:sz w:val="28"/>
          <w:szCs w:val="28"/>
          <w:shd w:val="clear" w:color="auto" w:fill="FFFFFF"/>
        </w:rPr>
        <w:t>Preference-related TLR values</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008B4CB6">
        <w:rPr>
          <w:rFonts w:ascii="Times New Roman" w:hAnsi="Times New Roman" w:cs="Times New Roman"/>
          <w:color w:val="333333"/>
          <w:sz w:val="24"/>
          <w:szCs w:val="24"/>
          <w:shd w:val="clear" w:color="auto" w:fill="FFFFFF"/>
        </w:rPr>
        <w:t>Indifference: TLR 1.00</w:t>
      </w:r>
    </w:p>
    <w:p w:rsidR="008B4CB6" w:rsidRDefault="008B4CB6">
      <w:pPr>
        <w:rPr>
          <w:rFonts w:ascii="Times New Roman" w:hAnsi="Times New Roman" w:cs="Times New Roman" w:hint="eastAsia"/>
          <w:color w:val="333333"/>
          <w:sz w:val="24"/>
          <w:szCs w:val="24"/>
          <w:shd w:val="clear" w:color="auto" w:fill="FFFFFF"/>
        </w:rPr>
      </w:pPr>
      <w:r>
        <w:rPr>
          <w:rFonts w:ascii="Times New Roman" w:hAnsi="Times New Roman" w:cs="Times New Roman"/>
          <w:color w:val="333333"/>
          <w:sz w:val="24"/>
          <w:szCs w:val="24"/>
          <w:shd w:val="clear" w:color="auto" w:fill="FFFFFF"/>
        </w:rPr>
        <w:t>Match: TLR 1.16</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Mismatch: TLR 1.01</w:t>
      </w:r>
    </w:p>
    <w:p w:rsidR="008B4CB6" w:rsidRPr="008B4CB6" w:rsidRDefault="005061B8">
      <w:pPr>
        <w:rPr>
          <w:rFonts w:ascii="Times New Roman" w:hAnsi="Times New Roman" w:cs="Times New Roman" w:hint="eastAsia"/>
          <w:color w:val="333333"/>
          <w:sz w:val="28"/>
          <w:szCs w:val="28"/>
          <w:shd w:val="clear" w:color="auto" w:fill="FFFFFF"/>
        </w:rPr>
      </w:pPr>
      <w:r w:rsidRPr="005061B8">
        <w:rPr>
          <w:rFonts w:ascii="Times New Roman" w:hAnsi="Times New Roman" w:cs="Times New Roman"/>
          <w:color w:val="333333"/>
          <w:sz w:val="24"/>
          <w:szCs w:val="24"/>
        </w:rPr>
        <w:br/>
      </w:r>
      <w:r w:rsidRPr="008B4CB6">
        <w:rPr>
          <w:rFonts w:ascii="Times New Roman" w:hAnsi="Times New Roman" w:cs="Times New Roman"/>
          <w:color w:val="333333"/>
          <w:sz w:val="28"/>
          <w:szCs w:val="28"/>
          <w:shd w:val="clear" w:color="auto" w:fill="FFFFFF"/>
        </w:rPr>
        <w:t>Observed pattern</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Across MCID thresholds, the “match” category consistently shows a higher TLR compared with indifference and mismatch conditions, while the latter two remain close to unity.</w:t>
      </w:r>
      <w:r w:rsidRPr="005061B8">
        <w:rPr>
          <w:rFonts w:ascii="Times New Roman" w:hAnsi="Times New Roman" w:cs="Times New Roman"/>
          <w:color w:val="333333"/>
          <w:sz w:val="24"/>
          <w:szCs w:val="24"/>
        </w:rPr>
        <w:br/>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Note</w:t>
      </w:r>
      <w:proofErr w:type="gramStart"/>
      <w:r w:rsidR="008B4CB6">
        <w:rPr>
          <w:rFonts w:ascii="Times New Roman" w:hAnsi="Times New Roman" w:cs="Times New Roman" w:hint="eastAsia"/>
          <w:color w:val="333333"/>
          <w:sz w:val="24"/>
          <w:szCs w:val="24"/>
          <w:shd w:val="clear" w:color="auto" w:fill="FFFFFF"/>
        </w:rPr>
        <w:t>:</w:t>
      </w:r>
      <w:proofErr w:type="gramEnd"/>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 xml:space="preserve">These results represent stratified re-expressions of preference-related data and are intended to describe relative positioning within the TLR approach rather than absolute </w:t>
      </w:r>
      <w:r w:rsidR="008B4CB6">
        <w:rPr>
          <w:rFonts w:ascii="Times New Roman" w:hAnsi="Times New Roman" w:cs="Times New Roman"/>
          <w:color w:val="333333"/>
          <w:sz w:val="24"/>
          <w:szCs w:val="24"/>
          <w:shd w:val="clear" w:color="auto" w:fill="FFFFFF"/>
        </w:rPr>
        <w:t>differences in clinical effect.</w:t>
      </w:r>
    </w:p>
    <w:p w:rsidR="008B4CB6"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shd w:val="clear" w:color="auto" w:fill="FFFFFF"/>
        </w:rPr>
        <w:t>Although sham conditions generally occupied intermediate positions within the TLR approach, deviations from this pattern were observed in specific contexts. In particular, variations associated with expectation-related factors may influence the relative positioning of sham conditions within the probabilistic representation (see S-Reference List).</w:t>
      </w:r>
      <w:r w:rsidRPr="005061B8">
        <w:rPr>
          <w:rFonts w:ascii="Times New Roman" w:hAnsi="Times New Roman" w:cs="Times New Roman"/>
          <w:color w:val="333333"/>
          <w:sz w:val="24"/>
          <w:szCs w:val="24"/>
        </w:rPr>
        <w:br/>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8B4CB6">
        <w:rPr>
          <w:rFonts w:ascii="Times New Roman" w:hAnsi="Times New Roman" w:cs="Times New Roman"/>
          <w:b/>
          <w:color w:val="333333"/>
          <w:sz w:val="28"/>
          <w:szCs w:val="28"/>
          <w:shd w:val="clear" w:color="auto" w:fill="FFFFFF"/>
        </w:rPr>
        <w:t>S1.5 Intervention-level structural representation</w:t>
      </w:r>
    </w:p>
    <w:p w:rsidR="008B4CB6" w:rsidRDefault="005061B8">
      <w:pPr>
        <w:rPr>
          <w:rFonts w:ascii="Times New Roman" w:hAnsi="Times New Roman" w:cs="Times New Roman" w:hint="eastAsia"/>
          <w:color w:val="333333"/>
          <w:sz w:val="24"/>
          <w:szCs w:val="24"/>
          <w:shd w:val="clear" w:color="auto" w:fill="FFFFFF"/>
        </w:rPr>
      </w:pPr>
      <w:r w:rsidRPr="008B4CB6">
        <w:rPr>
          <w:rFonts w:ascii="Times New Roman" w:hAnsi="Times New Roman" w:cs="Times New Roman"/>
          <w:color w:val="333333"/>
          <w:sz w:val="24"/>
          <w:szCs w:val="24"/>
          <w:shd w:val="clear" w:color="auto" w:fill="FFFFFF"/>
        </w:rPr>
        <w:br/>
      </w:r>
      <w:r w:rsidRPr="005061B8">
        <w:rPr>
          <w:rFonts w:ascii="Times New Roman" w:hAnsi="Times New Roman" w:cs="Times New Roman"/>
          <w:color w:val="333333"/>
          <w:sz w:val="24"/>
          <w:szCs w:val="24"/>
          <w:shd w:val="clear" w:color="auto" w:fill="FFFFFF"/>
        </w:rPr>
        <w:t>This section presents the TLR values used for the structural representation shown in Figure 2 of the main text [7].</w:t>
      </w:r>
    </w:p>
    <w:p w:rsidR="008B4CB6" w:rsidRPr="008B4CB6" w:rsidRDefault="005061B8">
      <w:pPr>
        <w:rPr>
          <w:rFonts w:ascii="Times New Roman" w:hAnsi="Times New Roman" w:cs="Times New Roman" w:hint="eastAsia"/>
          <w:color w:val="333333"/>
          <w:sz w:val="28"/>
          <w:szCs w:val="28"/>
          <w:shd w:val="clear" w:color="auto" w:fill="FFFFFF"/>
        </w:rPr>
      </w:pPr>
      <w:r w:rsidRPr="005061B8">
        <w:rPr>
          <w:rFonts w:ascii="Times New Roman" w:hAnsi="Times New Roman" w:cs="Times New Roman"/>
          <w:color w:val="333333"/>
          <w:sz w:val="24"/>
          <w:szCs w:val="24"/>
        </w:rPr>
        <w:br/>
      </w:r>
      <w:r w:rsidRPr="008B4CB6">
        <w:rPr>
          <w:rFonts w:ascii="Times New Roman" w:hAnsi="Times New Roman" w:cs="Times New Roman"/>
          <w:color w:val="333333"/>
          <w:sz w:val="28"/>
          <w:szCs w:val="28"/>
          <w:shd w:val="clear" w:color="auto" w:fill="FFFFFF"/>
        </w:rPr>
        <w:t>Structural TLR representation (</w:t>
      </w:r>
      <w:proofErr w:type="spellStart"/>
      <w:r w:rsidRPr="008B4CB6">
        <w:rPr>
          <w:rFonts w:ascii="Times New Roman" w:hAnsi="Times New Roman" w:cs="Times New Roman"/>
          <w:color w:val="333333"/>
          <w:sz w:val="28"/>
          <w:szCs w:val="28"/>
          <w:shd w:val="clear" w:color="auto" w:fill="FFFFFF"/>
        </w:rPr>
        <w:t>vs</w:t>
      </w:r>
      <w:proofErr w:type="spellEnd"/>
      <w:r w:rsidRPr="008B4CB6">
        <w:rPr>
          <w:rFonts w:ascii="Times New Roman" w:hAnsi="Times New Roman" w:cs="Times New Roman"/>
          <w:color w:val="333333"/>
          <w:sz w:val="28"/>
          <w:szCs w:val="28"/>
          <w:shd w:val="clear" w:color="auto" w:fill="FFFFFF"/>
        </w:rPr>
        <w:t xml:space="preserve"> waitlist condition)</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 xml:space="preserve">ANP; </w:t>
      </w:r>
      <w:proofErr w:type="spellStart"/>
      <w:r w:rsidRPr="005061B8">
        <w:rPr>
          <w:rFonts w:ascii="Times New Roman" w:hAnsi="Times New Roman" w:cs="Times New Roman"/>
          <w:color w:val="333333"/>
          <w:sz w:val="24"/>
          <w:szCs w:val="24"/>
          <w:shd w:val="clear" w:color="auto" w:fill="FFFFFF"/>
        </w:rPr>
        <w:t>Acupoint</w:t>
      </w:r>
      <w:proofErr w:type="spellEnd"/>
      <w:r w:rsidRPr="005061B8">
        <w:rPr>
          <w:rFonts w:ascii="Times New Roman" w:hAnsi="Times New Roman" w:cs="Times New Roman"/>
          <w:color w:val="333333"/>
          <w:sz w:val="24"/>
          <w:szCs w:val="24"/>
          <w:shd w:val="clear" w:color="auto" w:fill="FFFFFF"/>
        </w:rPr>
        <w:t xml:space="preserve">, non-penetrating </w:t>
      </w:r>
      <w:r w:rsidR="008B4CB6">
        <w:rPr>
          <w:rFonts w:ascii="Times New Roman" w:hAnsi="Times New Roman" w:cs="Times New Roman"/>
          <w:color w:val="333333"/>
          <w:sz w:val="24"/>
          <w:szCs w:val="24"/>
          <w:shd w:val="clear" w:color="auto" w:fill="FFFFFF"/>
        </w:rPr>
        <w:t>contact stimulation: TLR = 1.45</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NNP; Non-</w:t>
      </w:r>
      <w:proofErr w:type="spellStart"/>
      <w:r w:rsidRPr="005061B8">
        <w:rPr>
          <w:rFonts w:ascii="Times New Roman" w:hAnsi="Times New Roman" w:cs="Times New Roman"/>
          <w:color w:val="333333"/>
          <w:sz w:val="24"/>
          <w:szCs w:val="24"/>
          <w:shd w:val="clear" w:color="auto" w:fill="FFFFFF"/>
        </w:rPr>
        <w:t>acupoint</w:t>
      </w:r>
      <w:proofErr w:type="spellEnd"/>
      <w:r w:rsidRPr="005061B8">
        <w:rPr>
          <w:rFonts w:ascii="Times New Roman" w:hAnsi="Times New Roman" w:cs="Times New Roman"/>
          <w:color w:val="333333"/>
          <w:sz w:val="24"/>
          <w:szCs w:val="24"/>
          <w:shd w:val="clear" w:color="auto" w:fill="FFFFFF"/>
        </w:rPr>
        <w:t xml:space="preserve">, non-penetrating </w:t>
      </w:r>
      <w:r w:rsidR="008B4CB6">
        <w:rPr>
          <w:rFonts w:ascii="Times New Roman" w:hAnsi="Times New Roman" w:cs="Times New Roman"/>
          <w:color w:val="333333"/>
          <w:sz w:val="24"/>
          <w:szCs w:val="24"/>
          <w:shd w:val="clear" w:color="auto" w:fill="FFFFFF"/>
        </w:rPr>
        <w:t>contact stimulation: TLR = 1.35</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 xml:space="preserve">ASN; </w:t>
      </w:r>
      <w:proofErr w:type="spellStart"/>
      <w:r w:rsidRPr="005061B8">
        <w:rPr>
          <w:rFonts w:ascii="Times New Roman" w:hAnsi="Times New Roman" w:cs="Times New Roman"/>
          <w:color w:val="333333"/>
          <w:sz w:val="24"/>
          <w:szCs w:val="24"/>
          <w:shd w:val="clear" w:color="auto" w:fill="FFFFFF"/>
        </w:rPr>
        <w:t>Acupoint</w:t>
      </w:r>
      <w:proofErr w:type="spellEnd"/>
      <w:r w:rsidRPr="005061B8">
        <w:rPr>
          <w:rFonts w:ascii="Times New Roman" w:hAnsi="Times New Roman" w:cs="Times New Roman"/>
          <w:color w:val="333333"/>
          <w:sz w:val="24"/>
          <w:szCs w:val="24"/>
          <w:shd w:val="clear" w:color="auto" w:fill="FFFFFF"/>
        </w:rPr>
        <w:t>, s</w:t>
      </w:r>
      <w:r w:rsidR="008B4CB6">
        <w:rPr>
          <w:rFonts w:ascii="Times New Roman" w:hAnsi="Times New Roman" w:cs="Times New Roman"/>
          <w:color w:val="333333"/>
          <w:sz w:val="24"/>
          <w:szCs w:val="24"/>
          <w:shd w:val="clear" w:color="auto" w:fill="FFFFFF"/>
        </w:rPr>
        <w:t>uperficial needling: TLR = 1.35</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NSN; Non-</w:t>
      </w:r>
      <w:proofErr w:type="spellStart"/>
      <w:r w:rsidRPr="005061B8">
        <w:rPr>
          <w:rFonts w:ascii="Times New Roman" w:hAnsi="Times New Roman" w:cs="Times New Roman"/>
          <w:color w:val="333333"/>
          <w:sz w:val="24"/>
          <w:szCs w:val="24"/>
          <w:shd w:val="clear" w:color="auto" w:fill="FFFFFF"/>
        </w:rPr>
        <w:t>acupoint</w:t>
      </w:r>
      <w:proofErr w:type="spellEnd"/>
      <w:r w:rsidRPr="005061B8">
        <w:rPr>
          <w:rFonts w:ascii="Times New Roman" w:hAnsi="Times New Roman" w:cs="Times New Roman"/>
          <w:color w:val="333333"/>
          <w:sz w:val="24"/>
          <w:szCs w:val="24"/>
          <w:shd w:val="clear" w:color="auto" w:fill="FFFFFF"/>
        </w:rPr>
        <w:t>, s</w:t>
      </w:r>
      <w:r w:rsidR="008B4CB6">
        <w:rPr>
          <w:rFonts w:ascii="Times New Roman" w:hAnsi="Times New Roman" w:cs="Times New Roman"/>
          <w:color w:val="333333"/>
          <w:sz w:val="24"/>
          <w:szCs w:val="24"/>
          <w:shd w:val="clear" w:color="auto" w:fill="FFFFFF"/>
        </w:rPr>
        <w:t>uperficial needling: TLR = 1.45</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NDN; Non-</w:t>
      </w:r>
      <w:proofErr w:type="spellStart"/>
      <w:r w:rsidRPr="005061B8">
        <w:rPr>
          <w:rFonts w:ascii="Times New Roman" w:hAnsi="Times New Roman" w:cs="Times New Roman"/>
          <w:color w:val="333333"/>
          <w:sz w:val="24"/>
          <w:szCs w:val="24"/>
          <w:shd w:val="clear" w:color="auto" w:fill="FFFFFF"/>
        </w:rPr>
        <w:t>acup</w:t>
      </w:r>
      <w:r w:rsidR="008B4CB6">
        <w:rPr>
          <w:rFonts w:ascii="Times New Roman" w:hAnsi="Times New Roman" w:cs="Times New Roman"/>
          <w:color w:val="333333"/>
          <w:sz w:val="24"/>
          <w:szCs w:val="24"/>
          <w:shd w:val="clear" w:color="auto" w:fill="FFFFFF"/>
        </w:rPr>
        <w:t>oint</w:t>
      </w:r>
      <w:proofErr w:type="spellEnd"/>
      <w:r w:rsidR="008B4CB6">
        <w:rPr>
          <w:rFonts w:ascii="Times New Roman" w:hAnsi="Times New Roman" w:cs="Times New Roman"/>
          <w:color w:val="333333"/>
          <w:sz w:val="24"/>
          <w:szCs w:val="24"/>
          <w:shd w:val="clear" w:color="auto" w:fill="FFFFFF"/>
        </w:rPr>
        <w:t>, deep needling: TLR = 1.15</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 xml:space="preserve">SES; Sham </w:t>
      </w:r>
      <w:proofErr w:type="spellStart"/>
      <w:r w:rsidRPr="005061B8">
        <w:rPr>
          <w:rFonts w:ascii="Times New Roman" w:hAnsi="Times New Roman" w:cs="Times New Roman"/>
          <w:color w:val="333333"/>
          <w:sz w:val="24"/>
          <w:szCs w:val="24"/>
          <w:shd w:val="clear" w:color="auto" w:fill="FFFFFF"/>
        </w:rPr>
        <w:t>electroacup</w:t>
      </w:r>
      <w:r w:rsidR="008B4CB6">
        <w:rPr>
          <w:rFonts w:ascii="Times New Roman" w:hAnsi="Times New Roman" w:cs="Times New Roman"/>
          <w:color w:val="333333"/>
          <w:sz w:val="24"/>
          <w:szCs w:val="24"/>
          <w:shd w:val="clear" w:color="auto" w:fill="FFFFFF"/>
        </w:rPr>
        <w:t>uncture</w:t>
      </w:r>
      <w:proofErr w:type="spellEnd"/>
      <w:r w:rsidR="008B4CB6">
        <w:rPr>
          <w:rFonts w:ascii="Times New Roman" w:hAnsi="Times New Roman" w:cs="Times New Roman"/>
          <w:color w:val="333333"/>
          <w:sz w:val="24"/>
          <w:szCs w:val="24"/>
          <w:shd w:val="clear" w:color="auto" w:fill="FFFFFF"/>
        </w:rPr>
        <w:t xml:space="preserve"> stimulation: TLR = 1.30</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SLA; Sha</w:t>
      </w:r>
      <w:r w:rsidR="008B4CB6">
        <w:rPr>
          <w:rFonts w:ascii="Times New Roman" w:hAnsi="Times New Roman" w:cs="Times New Roman"/>
          <w:color w:val="333333"/>
          <w:sz w:val="24"/>
          <w:szCs w:val="24"/>
          <w:shd w:val="clear" w:color="auto" w:fill="FFFFFF"/>
        </w:rPr>
        <w:t>m laser acupuncture: TLR = 1.25</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MA; Manual acupuncture: TLR = 1.65</w:t>
      </w:r>
    </w:p>
    <w:p w:rsidR="008B4CB6" w:rsidRPr="008B4CB6" w:rsidRDefault="005061B8">
      <w:pPr>
        <w:rPr>
          <w:rFonts w:ascii="Times New Roman" w:hAnsi="Times New Roman" w:cs="Times New Roman" w:hint="eastAsia"/>
          <w:color w:val="333333"/>
          <w:sz w:val="28"/>
          <w:szCs w:val="28"/>
          <w:shd w:val="clear" w:color="auto" w:fill="FFFFFF"/>
        </w:rPr>
      </w:pPr>
      <w:r w:rsidRPr="005061B8">
        <w:rPr>
          <w:rFonts w:ascii="Times New Roman" w:hAnsi="Times New Roman" w:cs="Times New Roman"/>
          <w:color w:val="333333"/>
          <w:sz w:val="24"/>
          <w:szCs w:val="24"/>
        </w:rPr>
        <w:br/>
      </w:r>
      <w:r w:rsidRPr="008B4CB6">
        <w:rPr>
          <w:rFonts w:ascii="Times New Roman" w:hAnsi="Times New Roman" w:cs="Times New Roman"/>
          <w:color w:val="333333"/>
          <w:sz w:val="28"/>
          <w:szCs w:val="28"/>
          <w:shd w:val="clear" w:color="auto" w:fill="FFFFFF"/>
        </w:rPr>
        <w:t>Structural representation</w:t>
      </w:r>
    </w:p>
    <w:p w:rsidR="008B4CB6"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TLR values for each intervention type ranged from 1.15 to 1.6</w:t>
      </w:r>
      <w:r w:rsidR="008B4CB6">
        <w:rPr>
          <w:rFonts w:ascii="Times New Roman" w:hAnsi="Times New Roman" w:cs="Times New Roman"/>
          <w:color w:val="333333"/>
          <w:sz w:val="24"/>
          <w:szCs w:val="24"/>
          <w:shd w:val="clear" w:color="auto" w:fill="FFFFFF"/>
        </w:rPr>
        <w:t>5 within the included datasets.</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Sham-related interventions showed values within a relatively n</w:t>
      </w:r>
      <w:r w:rsidR="00F94C78">
        <w:rPr>
          <w:rFonts w:ascii="Times New Roman" w:hAnsi="Times New Roman" w:cs="Times New Roman"/>
          <w:color w:val="333333"/>
          <w:sz w:val="24"/>
          <w:szCs w:val="24"/>
          <w:shd w:val="clear" w:color="auto" w:fill="FFFFFF"/>
        </w:rPr>
        <w:t>arrow range.</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Manual acupuncture showed a higher value (TLR = 1.65) compared with other sham-related interventions.</w:t>
      </w:r>
    </w:p>
    <w:p w:rsidR="00F94C78"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lastRenderedPageBreak/>
        <w:t>These values correspond to the intervention-level representation shown in Figure 2.</w:t>
      </w:r>
      <w:r w:rsidRPr="005061B8">
        <w:rPr>
          <w:rFonts w:ascii="Times New Roman" w:hAnsi="Times New Roman" w:cs="Times New Roman"/>
          <w:color w:val="333333"/>
          <w:sz w:val="24"/>
          <w:szCs w:val="24"/>
        </w:rPr>
        <w:br/>
      </w:r>
    </w:p>
    <w:p w:rsidR="00F94C78" w:rsidRDefault="00F94C78">
      <w:pPr>
        <w:rPr>
          <w:rFonts w:ascii="Times New Roman" w:hAnsi="Times New Roman" w:cs="Times New Roman" w:hint="eastAsia"/>
          <w:color w:val="333333"/>
          <w:sz w:val="24"/>
          <w:szCs w:val="24"/>
        </w:rPr>
      </w:pPr>
    </w:p>
    <w:p w:rsidR="00F94C78" w:rsidRDefault="005061B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b/>
          <w:color w:val="333333"/>
          <w:sz w:val="28"/>
          <w:szCs w:val="28"/>
          <w:shd w:val="clear" w:color="auto" w:fill="FFFFFF"/>
        </w:rPr>
        <w:t>S1.6 Sensitivity analysis (MCID thresholds)</w:t>
      </w:r>
    </w:p>
    <w:p w:rsidR="00F94C78" w:rsidRDefault="005061B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shd w:val="clear" w:color="auto" w:fill="FFFFFF"/>
        </w:rPr>
        <w:br/>
      </w:r>
      <w:r w:rsidRPr="005061B8">
        <w:rPr>
          <w:rFonts w:ascii="Times New Roman" w:hAnsi="Times New Roman" w:cs="Times New Roman"/>
          <w:color w:val="333333"/>
          <w:sz w:val="24"/>
          <w:szCs w:val="24"/>
          <w:shd w:val="clear" w:color="auto" w:fill="FFFFFF"/>
        </w:rPr>
        <w:t xml:space="preserve">This section presents sensitivity analyses evaluating the robustness of TLR under different </w:t>
      </w:r>
      <w:r w:rsidR="00F94C78">
        <w:rPr>
          <w:rFonts w:ascii="Times New Roman" w:hAnsi="Times New Roman" w:cs="Times New Roman"/>
          <w:color w:val="333333"/>
          <w:sz w:val="24"/>
          <w:szCs w:val="24"/>
          <w:shd w:val="clear" w:color="auto" w:fill="FFFFFF"/>
        </w:rPr>
        <w:t>MCID thresholds (see Table S1).</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Analyses were conducted for low back pain and knee pain, using three MCID assumptions (0.3 SD, 0.5 SD, and 0.7 SD) [4].</w:t>
      </w:r>
    </w:p>
    <w:p w:rsidR="00F94C78" w:rsidRDefault="005061B8">
      <w:pPr>
        <w:rPr>
          <w:rFonts w:ascii="Times New Roman" w:hAnsi="Times New Roman" w:cs="Times New Roman" w:hint="eastAsia"/>
          <w:color w:val="333333"/>
          <w:sz w:val="28"/>
          <w:szCs w:val="28"/>
          <w:shd w:val="clear" w:color="auto" w:fill="FFFFFF"/>
        </w:rPr>
      </w:pPr>
      <w:r w:rsidRPr="005061B8">
        <w:rPr>
          <w:rFonts w:ascii="Times New Roman" w:hAnsi="Times New Roman" w:cs="Times New Roman"/>
          <w:color w:val="333333"/>
          <w:sz w:val="24"/>
          <w:szCs w:val="24"/>
        </w:rPr>
        <w:br/>
      </w:r>
      <w:r w:rsidRPr="00F94C78">
        <w:rPr>
          <w:rFonts w:ascii="Times New Roman" w:hAnsi="Times New Roman" w:cs="Times New Roman"/>
          <w:color w:val="333333"/>
          <w:sz w:val="28"/>
          <w:szCs w:val="28"/>
          <w:shd w:val="clear" w:color="auto" w:fill="FFFFFF"/>
        </w:rPr>
        <w:t>Low back pain</w:t>
      </w:r>
    </w:p>
    <w:p w:rsidR="00F94C78" w:rsidRDefault="005061B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8"/>
          <w:szCs w:val="28"/>
        </w:rPr>
        <w:br/>
      </w:r>
      <w:r w:rsidRPr="005061B8">
        <w:rPr>
          <w:rFonts w:ascii="Times New Roman" w:hAnsi="Times New Roman" w:cs="Times New Roman"/>
          <w:color w:val="333333"/>
          <w:sz w:val="24"/>
          <w:szCs w:val="24"/>
          <w:shd w:val="clear" w:color="auto" w:fill="FFFFFF"/>
        </w:rPr>
        <w:t>MCID 0.3</w:t>
      </w:r>
      <w:r w:rsidR="00F94C78">
        <w:rPr>
          <w:rFonts w:ascii="Times New Roman" w:hAnsi="Times New Roman" w:cs="Times New Roman"/>
          <w:color w:val="333333"/>
          <w:sz w:val="24"/>
          <w:szCs w:val="24"/>
          <w:shd w:val="clear" w:color="auto" w:fill="FFFFFF"/>
        </w:rPr>
        <w:t xml:space="preserve"> SD (lenient):</w:t>
      </w:r>
    </w:p>
    <w:p w:rsidR="00F94C78" w:rsidRDefault="00F94C78">
      <w:pPr>
        <w:rPr>
          <w:rFonts w:ascii="Times New Roman" w:hAnsi="Times New Roman" w:cs="Times New Roman" w:hint="eastAsia"/>
          <w:color w:val="333333"/>
          <w:sz w:val="24"/>
          <w:szCs w:val="24"/>
          <w:shd w:val="clear" w:color="auto" w:fill="FFFFFF"/>
        </w:rPr>
      </w:pPr>
      <w:r>
        <w:rPr>
          <w:rFonts w:ascii="Times New Roman" w:hAnsi="Times New Roman" w:cs="Times New Roman"/>
          <w:color w:val="333333"/>
          <w:sz w:val="24"/>
          <w:szCs w:val="24"/>
          <w:shd w:val="clear" w:color="auto" w:fill="FFFFFF"/>
        </w:rPr>
        <w:t>Sham: TLR 1.75</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No acupuncture: TLR 2.68</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00F94C78">
        <w:rPr>
          <w:rFonts w:ascii="Times New Roman" w:hAnsi="Times New Roman" w:cs="Times New Roman"/>
          <w:color w:val="333333"/>
          <w:sz w:val="24"/>
          <w:szCs w:val="24"/>
          <w:shd w:val="clear" w:color="auto" w:fill="FFFFFF"/>
        </w:rPr>
        <w:t>MCID 0.5 SD (standard):</w:t>
      </w:r>
    </w:p>
    <w:p w:rsidR="00F94C78" w:rsidRDefault="00F94C78">
      <w:pPr>
        <w:rPr>
          <w:rFonts w:ascii="Times New Roman" w:hAnsi="Times New Roman" w:cs="Times New Roman" w:hint="eastAsia"/>
          <w:color w:val="333333"/>
          <w:sz w:val="24"/>
          <w:szCs w:val="24"/>
          <w:shd w:val="clear" w:color="auto" w:fill="FFFFFF"/>
        </w:rPr>
      </w:pPr>
      <w:r>
        <w:rPr>
          <w:rFonts w:ascii="Times New Roman" w:hAnsi="Times New Roman" w:cs="Times New Roman"/>
          <w:color w:val="333333"/>
          <w:sz w:val="24"/>
          <w:szCs w:val="24"/>
          <w:shd w:val="clear" w:color="auto" w:fill="FFFFFF"/>
        </w:rPr>
        <w:t>Sham: TLR 1.72</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No acupuncture: TLR 2.57</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00F94C78">
        <w:rPr>
          <w:rFonts w:ascii="Times New Roman" w:hAnsi="Times New Roman" w:cs="Times New Roman"/>
          <w:color w:val="333333"/>
          <w:sz w:val="24"/>
          <w:szCs w:val="24"/>
          <w:shd w:val="clear" w:color="auto" w:fill="FFFFFF"/>
        </w:rPr>
        <w:t>MCID 0.7 SD (strict):</w:t>
      </w:r>
    </w:p>
    <w:p w:rsidR="00F94C78" w:rsidRDefault="00F94C78">
      <w:pPr>
        <w:rPr>
          <w:rFonts w:ascii="Times New Roman" w:hAnsi="Times New Roman" w:cs="Times New Roman" w:hint="eastAsia"/>
          <w:color w:val="333333"/>
          <w:sz w:val="24"/>
          <w:szCs w:val="24"/>
          <w:shd w:val="clear" w:color="auto" w:fill="FFFFFF"/>
        </w:rPr>
      </w:pPr>
      <w:r>
        <w:rPr>
          <w:rFonts w:ascii="Times New Roman" w:hAnsi="Times New Roman" w:cs="Times New Roman"/>
          <w:color w:val="333333"/>
          <w:sz w:val="24"/>
          <w:szCs w:val="24"/>
          <w:shd w:val="clear" w:color="auto" w:fill="FFFFFF"/>
        </w:rPr>
        <w:t>Sham: TLR 1.68</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No acupuncture: TLR 2.45</w:t>
      </w:r>
    </w:p>
    <w:p w:rsidR="00F94C78"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rPr>
        <w:br/>
      </w:r>
      <w:r w:rsidRPr="00F94C78">
        <w:rPr>
          <w:rFonts w:ascii="Times New Roman" w:hAnsi="Times New Roman" w:cs="Times New Roman"/>
          <w:color w:val="333333"/>
          <w:sz w:val="28"/>
          <w:szCs w:val="28"/>
          <w:shd w:val="clear" w:color="auto" w:fill="FFFFFF"/>
        </w:rPr>
        <w:t>Knee pain</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00F94C78">
        <w:rPr>
          <w:rFonts w:ascii="Times New Roman" w:hAnsi="Times New Roman" w:cs="Times New Roman"/>
          <w:color w:val="333333"/>
          <w:sz w:val="24"/>
          <w:szCs w:val="24"/>
          <w:shd w:val="clear" w:color="auto" w:fill="FFFFFF"/>
        </w:rPr>
        <w:t>MCID 0.3 SD (lenient):</w:t>
      </w:r>
    </w:p>
    <w:p w:rsidR="00F94C78" w:rsidRDefault="00F94C78">
      <w:pPr>
        <w:rPr>
          <w:rFonts w:ascii="Times New Roman" w:hAnsi="Times New Roman" w:cs="Times New Roman" w:hint="eastAsia"/>
          <w:color w:val="333333"/>
          <w:sz w:val="24"/>
          <w:szCs w:val="24"/>
          <w:shd w:val="clear" w:color="auto" w:fill="FFFFFF"/>
        </w:rPr>
      </w:pPr>
      <w:r>
        <w:rPr>
          <w:rFonts w:ascii="Times New Roman" w:hAnsi="Times New Roman" w:cs="Times New Roman"/>
          <w:color w:val="333333"/>
          <w:sz w:val="24"/>
          <w:szCs w:val="24"/>
          <w:shd w:val="clear" w:color="auto" w:fill="FFFFFF"/>
        </w:rPr>
        <w:t>Sham: TLR 2.38</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No acupuncture: TLR 4.15</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MC</w:t>
      </w:r>
      <w:r w:rsidR="00F94C78">
        <w:rPr>
          <w:rFonts w:ascii="Times New Roman" w:hAnsi="Times New Roman" w:cs="Times New Roman"/>
          <w:color w:val="333333"/>
          <w:sz w:val="24"/>
          <w:szCs w:val="24"/>
          <w:shd w:val="clear" w:color="auto" w:fill="FFFFFF"/>
        </w:rPr>
        <w:t>ID 0.5 SD (standard):</w:t>
      </w:r>
    </w:p>
    <w:p w:rsidR="00F94C78" w:rsidRDefault="00F94C78">
      <w:pPr>
        <w:rPr>
          <w:rFonts w:ascii="Times New Roman" w:hAnsi="Times New Roman" w:cs="Times New Roman" w:hint="eastAsia"/>
          <w:color w:val="333333"/>
          <w:sz w:val="24"/>
          <w:szCs w:val="24"/>
          <w:shd w:val="clear" w:color="auto" w:fill="FFFFFF"/>
        </w:rPr>
      </w:pPr>
      <w:r>
        <w:rPr>
          <w:rFonts w:ascii="Times New Roman" w:hAnsi="Times New Roman" w:cs="Times New Roman"/>
          <w:color w:val="333333"/>
          <w:sz w:val="24"/>
          <w:szCs w:val="24"/>
          <w:shd w:val="clear" w:color="auto" w:fill="FFFFFF"/>
        </w:rPr>
        <w:t>Sham: TLR 2.26</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No acupuncture: TLR 3.82</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00F94C78">
        <w:rPr>
          <w:rFonts w:ascii="Times New Roman" w:hAnsi="Times New Roman" w:cs="Times New Roman"/>
          <w:color w:val="333333"/>
          <w:sz w:val="24"/>
          <w:szCs w:val="24"/>
          <w:shd w:val="clear" w:color="auto" w:fill="FFFFFF"/>
        </w:rPr>
        <w:t>MCID 0.7 SD (strict):</w:t>
      </w:r>
    </w:p>
    <w:p w:rsidR="00F94C78" w:rsidRDefault="00F94C78">
      <w:pPr>
        <w:rPr>
          <w:rFonts w:ascii="Times New Roman" w:hAnsi="Times New Roman" w:cs="Times New Roman" w:hint="eastAsia"/>
          <w:color w:val="333333"/>
          <w:sz w:val="24"/>
          <w:szCs w:val="24"/>
          <w:shd w:val="clear" w:color="auto" w:fill="FFFFFF"/>
        </w:rPr>
      </w:pPr>
      <w:r>
        <w:rPr>
          <w:rFonts w:ascii="Times New Roman" w:hAnsi="Times New Roman" w:cs="Times New Roman"/>
          <w:color w:val="333333"/>
          <w:sz w:val="24"/>
          <w:szCs w:val="24"/>
          <w:shd w:val="clear" w:color="auto" w:fill="FFFFFF"/>
        </w:rPr>
        <w:t>Sham: TLR 2.15</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lastRenderedPageBreak/>
        <w:t>No acupuncture: TLR 3.55</w:t>
      </w:r>
    </w:p>
    <w:p w:rsidR="00F94C78" w:rsidRPr="00F94C78" w:rsidRDefault="005061B8">
      <w:pPr>
        <w:rPr>
          <w:rFonts w:ascii="Times New Roman" w:hAnsi="Times New Roman" w:cs="Times New Roman" w:hint="eastAsia"/>
          <w:color w:val="333333"/>
          <w:sz w:val="28"/>
          <w:szCs w:val="28"/>
          <w:shd w:val="clear" w:color="auto" w:fill="FFFFFF"/>
        </w:rPr>
      </w:pPr>
      <w:r w:rsidRPr="005061B8">
        <w:rPr>
          <w:rFonts w:ascii="Times New Roman" w:hAnsi="Times New Roman" w:cs="Times New Roman"/>
          <w:color w:val="333333"/>
          <w:sz w:val="24"/>
          <w:szCs w:val="24"/>
        </w:rPr>
        <w:br/>
      </w:r>
      <w:r w:rsidRPr="00F94C78">
        <w:rPr>
          <w:rFonts w:ascii="Times New Roman" w:hAnsi="Times New Roman" w:cs="Times New Roman"/>
          <w:color w:val="333333"/>
          <w:sz w:val="28"/>
          <w:szCs w:val="28"/>
          <w:shd w:val="clear" w:color="auto" w:fill="FFFFFF"/>
        </w:rPr>
        <w:t>Observed pattern</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Across all MCID thresholds, TLR remained directionally consistent, with onl</w:t>
      </w:r>
      <w:r w:rsidR="00F94C78">
        <w:rPr>
          <w:rFonts w:ascii="Times New Roman" w:hAnsi="Times New Roman" w:cs="Times New Roman"/>
          <w:color w:val="333333"/>
          <w:sz w:val="24"/>
          <w:szCs w:val="24"/>
          <w:shd w:val="clear" w:color="auto" w:fill="FFFFFF"/>
        </w:rPr>
        <w:t>y minor variation in magnitude.</w:t>
      </w:r>
    </w:p>
    <w:p w:rsidR="00F94C78"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shd w:val="clear" w:color="auto" w:fill="FFFFFF"/>
        </w:rPr>
        <w:t>The relative ordering between comparator conditions remained unchanged.</w:t>
      </w:r>
      <w:r w:rsidRPr="005061B8">
        <w:rPr>
          <w:rFonts w:ascii="Times New Roman" w:hAnsi="Times New Roman" w:cs="Times New Roman"/>
          <w:color w:val="333333"/>
          <w:sz w:val="24"/>
          <w:szCs w:val="24"/>
        </w:rPr>
        <w:br/>
      </w:r>
    </w:p>
    <w:p w:rsidR="00A05441" w:rsidRDefault="00A05441">
      <w:pPr>
        <w:rPr>
          <w:rFonts w:ascii="Times New Roman" w:hAnsi="Times New Roman" w:cs="Times New Roman" w:hint="eastAsia"/>
          <w:color w:val="333333"/>
          <w:sz w:val="24"/>
          <w:szCs w:val="24"/>
        </w:rPr>
      </w:pPr>
    </w:p>
    <w:p w:rsidR="00A05441" w:rsidRDefault="00A05441">
      <w:pPr>
        <w:rPr>
          <w:rFonts w:ascii="Times New Roman" w:hAnsi="Times New Roman" w:cs="Times New Roman" w:hint="eastAsia"/>
          <w:color w:val="333333"/>
          <w:sz w:val="24"/>
          <w:szCs w:val="24"/>
        </w:rPr>
      </w:pPr>
      <w:r w:rsidRPr="00DE55E5">
        <w:rPr>
          <w:rFonts w:ascii="Times New Roman" w:hAnsi="Times New Roman" w:cs="Times New Roman"/>
          <w:b/>
          <w:color w:val="333333"/>
          <w:sz w:val="24"/>
          <w:szCs w:val="24"/>
          <w:shd w:val="clear" w:color="auto" w:fill="FFFFFF"/>
        </w:rPr>
        <w:t>Table S1. Sensitivity analysis of TLR across MCID thresholds</w:t>
      </w:r>
      <w:r w:rsidRPr="00DE55E5">
        <w:rPr>
          <w:rFonts w:ascii="Times New Roman" w:hAnsi="Times New Roman" w:cs="Times New Roman"/>
          <w:b/>
          <w:color w:val="333333"/>
          <w:sz w:val="24"/>
          <w:szCs w:val="24"/>
        </w:rPr>
        <w:br/>
      </w:r>
      <w:r w:rsidRPr="00F94C78">
        <w:rPr>
          <w:rFonts w:ascii="Times New Roman" w:hAnsi="Times New Roman" w:cs="Times New Roman"/>
          <w:color w:val="333333"/>
          <w:sz w:val="24"/>
          <w:szCs w:val="24"/>
        </w:rPr>
        <w:br/>
      </w:r>
      <w:proofErr w:type="gramStart"/>
      <w:r w:rsidRPr="00F94C78">
        <w:rPr>
          <w:rFonts w:ascii="Times New Roman" w:hAnsi="Times New Roman" w:cs="Times New Roman"/>
          <w:color w:val="333333"/>
          <w:sz w:val="24"/>
          <w:szCs w:val="24"/>
          <w:shd w:val="clear" w:color="auto" w:fill="FFFFFF"/>
        </w:rPr>
        <w:t>This</w:t>
      </w:r>
      <w:proofErr w:type="gramEnd"/>
      <w:r w:rsidRPr="00F94C78">
        <w:rPr>
          <w:rFonts w:ascii="Times New Roman" w:hAnsi="Times New Roman" w:cs="Times New Roman"/>
          <w:color w:val="333333"/>
          <w:sz w:val="24"/>
          <w:szCs w:val="24"/>
          <w:shd w:val="clear" w:color="auto" w:fill="FFFFFF"/>
        </w:rPr>
        <w:t xml:space="preserve"> table presents the results of sensitivity analyses examining the effect of varying MCID thresholds on TLR estimates.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MCID values were varied within clinically reported ranges for each condition. While absolute TLR values changed with different thresholds, the overall pattern of comparator-dependent variation remained consistent.</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These results support the robustness of TLR as a probability-based re-expression under plausible variations in clinically meaningful thresholds.</w:t>
      </w:r>
      <w:r>
        <w:rPr>
          <w:rFonts w:ascii="Times New Roman" w:hAnsi="Times New Roman" w:cs="Times New Roman"/>
          <w:color w:val="333333"/>
          <w:sz w:val="24"/>
          <w:szCs w:val="24"/>
        </w:rPr>
        <w:br/>
      </w:r>
    </w:p>
    <w:tbl>
      <w:tblPr>
        <w:tblStyle w:val="a4"/>
        <w:tblW w:w="0" w:type="auto"/>
        <w:tblLook w:val="04A0"/>
      </w:tblPr>
      <w:tblGrid>
        <w:gridCol w:w="1680"/>
        <w:gridCol w:w="1520"/>
        <w:gridCol w:w="1680"/>
      </w:tblGrid>
      <w:tr w:rsidR="00A05441" w:rsidRPr="00A05441" w:rsidTr="00A05441">
        <w:trPr>
          <w:trHeight w:val="645"/>
        </w:trPr>
        <w:tc>
          <w:tcPr>
            <w:tcW w:w="1680" w:type="dxa"/>
            <w:hideMark/>
          </w:tcPr>
          <w:p w:rsidR="00A05441" w:rsidRPr="00A05441" w:rsidRDefault="00A05441">
            <w:pPr>
              <w:rPr>
                <w:rFonts w:ascii="Times New Roman" w:hAnsi="Times New Roman" w:cs="Times New Roman"/>
                <w:color w:val="333333"/>
                <w:sz w:val="24"/>
                <w:szCs w:val="24"/>
              </w:rPr>
            </w:pPr>
            <w:r w:rsidRPr="00A05441">
              <w:rPr>
                <w:rFonts w:ascii="Times New Roman" w:hAnsi="Times New Roman" w:cs="Times New Roman"/>
                <w:color w:val="333333"/>
                <w:sz w:val="24"/>
                <w:szCs w:val="24"/>
              </w:rPr>
              <w:t>Condition</w:t>
            </w:r>
          </w:p>
        </w:tc>
        <w:tc>
          <w:tcPr>
            <w:tcW w:w="1520" w:type="dxa"/>
            <w:hideMark/>
          </w:tcPr>
          <w:p w:rsidR="00A05441" w:rsidRPr="00A05441" w:rsidRDefault="00A05441">
            <w:pPr>
              <w:rPr>
                <w:rFonts w:ascii="Times New Roman" w:hAnsi="Times New Roman" w:cs="Times New Roman"/>
                <w:color w:val="333333"/>
                <w:sz w:val="24"/>
                <w:szCs w:val="24"/>
              </w:rPr>
            </w:pPr>
            <w:r w:rsidRPr="00A05441">
              <w:rPr>
                <w:rFonts w:ascii="Times New Roman" w:hAnsi="Times New Roman" w:cs="Times New Roman"/>
                <w:color w:val="333333"/>
                <w:sz w:val="24"/>
                <w:szCs w:val="24"/>
              </w:rPr>
              <w:t>TLR range (</w:t>
            </w:r>
            <w:proofErr w:type="spellStart"/>
            <w:r w:rsidRPr="00A05441">
              <w:rPr>
                <w:rFonts w:ascii="Times New Roman" w:hAnsi="Times New Roman" w:cs="Times New Roman"/>
                <w:color w:val="333333"/>
                <w:sz w:val="24"/>
                <w:szCs w:val="24"/>
              </w:rPr>
              <w:t>vs</w:t>
            </w:r>
            <w:proofErr w:type="spellEnd"/>
            <w:r w:rsidRPr="00A05441">
              <w:rPr>
                <w:rFonts w:ascii="Times New Roman" w:hAnsi="Times New Roman" w:cs="Times New Roman"/>
                <w:color w:val="333333"/>
                <w:sz w:val="24"/>
                <w:szCs w:val="24"/>
              </w:rPr>
              <w:t xml:space="preserve"> Sham)</w:t>
            </w:r>
          </w:p>
        </w:tc>
        <w:tc>
          <w:tcPr>
            <w:tcW w:w="1680" w:type="dxa"/>
            <w:hideMark/>
          </w:tcPr>
          <w:p w:rsidR="00A05441" w:rsidRPr="00A05441" w:rsidRDefault="00A05441">
            <w:pPr>
              <w:rPr>
                <w:rFonts w:ascii="Times New Roman" w:hAnsi="Times New Roman" w:cs="Times New Roman"/>
                <w:color w:val="333333"/>
                <w:sz w:val="24"/>
                <w:szCs w:val="24"/>
              </w:rPr>
            </w:pPr>
            <w:r w:rsidRPr="00A05441">
              <w:rPr>
                <w:rFonts w:ascii="Times New Roman" w:hAnsi="Times New Roman" w:cs="Times New Roman"/>
                <w:color w:val="333333"/>
                <w:sz w:val="24"/>
                <w:szCs w:val="24"/>
              </w:rPr>
              <w:t>TLR range (</w:t>
            </w:r>
            <w:proofErr w:type="spellStart"/>
            <w:r w:rsidRPr="00A05441">
              <w:rPr>
                <w:rFonts w:ascii="Times New Roman" w:hAnsi="Times New Roman" w:cs="Times New Roman"/>
                <w:color w:val="333333"/>
                <w:sz w:val="24"/>
                <w:szCs w:val="24"/>
              </w:rPr>
              <w:t>vs</w:t>
            </w:r>
            <w:proofErr w:type="spellEnd"/>
            <w:r w:rsidRPr="00A05441">
              <w:rPr>
                <w:rFonts w:ascii="Times New Roman" w:hAnsi="Times New Roman" w:cs="Times New Roman"/>
                <w:color w:val="333333"/>
                <w:sz w:val="24"/>
                <w:szCs w:val="24"/>
              </w:rPr>
              <w:t xml:space="preserve"> No </w:t>
            </w:r>
            <w:proofErr w:type="spellStart"/>
            <w:r w:rsidRPr="00A05441">
              <w:rPr>
                <w:rFonts w:ascii="Times New Roman" w:hAnsi="Times New Roman" w:cs="Times New Roman"/>
                <w:color w:val="333333"/>
                <w:sz w:val="24"/>
                <w:szCs w:val="24"/>
              </w:rPr>
              <w:t>Acu</w:t>
            </w:r>
            <w:proofErr w:type="spellEnd"/>
            <w:r w:rsidRPr="00A05441">
              <w:rPr>
                <w:rFonts w:ascii="Times New Roman" w:hAnsi="Times New Roman" w:cs="Times New Roman"/>
                <w:color w:val="333333"/>
                <w:sz w:val="24"/>
                <w:szCs w:val="24"/>
              </w:rPr>
              <w:t>)</w:t>
            </w:r>
          </w:p>
        </w:tc>
      </w:tr>
      <w:tr w:rsidR="00A05441" w:rsidRPr="00A05441" w:rsidTr="00A05441">
        <w:trPr>
          <w:trHeight w:val="330"/>
        </w:trPr>
        <w:tc>
          <w:tcPr>
            <w:tcW w:w="1680" w:type="dxa"/>
            <w:hideMark/>
          </w:tcPr>
          <w:p w:rsidR="00A05441" w:rsidRPr="00A05441" w:rsidRDefault="00A05441">
            <w:pPr>
              <w:rPr>
                <w:rFonts w:ascii="Times New Roman" w:hAnsi="Times New Roman" w:cs="Times New Roman"/>
                <w:color w:val="333333"/>
                <w:sz w:val="24"/>
                <w:szCs w:val="24"/>
              </w:rPr>
            </w:pPr>
            <w:r w:rsidRPr="00A05441">
              <w:rPr>
                <w:rFonts w:ascii="Times New Roman" w:hAnsi="Times New Roman" w:cs="Times New Roman"/>
                <w:color w:val="333333"/>
                <w:sz w:val="24"/>
                <w:szCs w:val="24"/>
              </w:rPr>
              <w:t>Low back pain</w:t>
            </w:r>
          </w:p>
        </w:tc>
        <w:tc>
          <w:tcPr>
            <w:tcW w:w="1520" w:type="dxa"/>
            <w:hideMark/>
          </w:tcPr>
          <w:p w:rsidR="00A05441" w:rsidRPr="00A05441" w:rsidRDefault="00A05441">
            <w:pPr>
              <w:rPr>
                <w:rFonts w:ascii="Times New Roman" w:hAnsi="Times New Roman" w:cs="Times New Roman"/>
                <w:color w:val="333333"/>
                <w:sz w:val="24"/>
                <w:szCs w:val="24"/>
              </w:rPr>
            </w:pPr>
            <w:r w:rsidRPr="00A05441">
              <w:rPr>
                <w:rFonts w:ascii="Times New Roman" w:hAnsi="Times New Roman" w:cs="Times New Roman"/>
                <w:color w:val="333333"/>
                <w:sz w:val="24"/>
                <w:szCs w:val="24"/>
              </w:rPr>
              <w:t>1.68-1.75</w:t>
            </w:r>
          </w:p>
        </w:tc>
        <w:tc>
          <w:tcPr>
            <w:tcW w:w="1680" w:type="dxa"/>
            <w:hideMark/>
          </w:tcPr>
          <w:p w:rsidR="00A05441" w:rsidRPr="00A05441" w:rsidRDefault="00A05441">
            <w:pPr>
              <w:rPr>
                <w:rFonts w:ascii="Times New Roman" w:hAnsi="Times New Roman" w:cs="Times New Roman"/>
                <w:color w:val="333333"/>
                <w:sz w:val="24"/>
                <w:szCs w:val="24"/>
              </w:rPr>
            </w:pPr>
            <w:r w:rsidRPr="00A05441">
              <w:rPr>
                <w:rFonts w:ascii="Times New Roman" w:hAnsi="Times New Roman" w:cs="Times New Roman"/>
                <w:color w:val="333333"/>
                <w:sz w:val="24"/>
                <w:szCs w:val="24"/>
              </w:rPr>
              <w:t>2.45-2.68</w:t>
            </w:r>
          </w:p>
        </w:tc>
      </w:tr>
      <w:tr w:rsidR="00A05441" w:rsidRPr="00A05441" w:rsidTr="00A05441">
        <w:trPr>
          <w:trHeight w:val="330"/>
        </w:trPr>
        <w:tc>
          <w:tcPr>
            <w:tcW w:w="1680" w:type="dxa"/>
            <w:hideMark/>
          </w:tcPr>
          <w:p w:rsidR="00A05441" w:rsidRPr="00A05441" w:rsidRDefault="00A05441">
            <w:pPr>
              <w:rPr>
                <w:rFonts w:ascii="Times New Roman" w:hAnsi="Times New Roman" w:cs="Times New Roman"/>
                <w:color w:val="333333"/>
                <w:sz w:val="24"/>
                <w:szCs w:val="24"/>
              </w:rPr>
            </w:pPr>
            <w:r w:rsidRPr="00A05441">
              <w:rPr>
                <w:rFonts w:ascii="Times New Roman" w:hAnsi="Times New Roman" w:cs="Times New Roman"/>
                <w:color w:val="333333"/>
                <w:sz w:val="24"/>
                <w:szCs w:val="24"/>
              </w:rPr>
              <w:t>Knee pain</w:t>
            </w:r>
          </w:p>
        </w:tc>
        <w:tc>
          <w:tcPr>
            <w:tcW w:w="1520" w:type="dxa"/>
            <w:hideMark/>
          </w:tcPr>
          <w:p w:rsidR="00A05441" w:rsidRPr="00A05441" w:rsidRDefault="00A05441">
            <w:pPr>
              <w:rPr>
                <w:rFonts w:ascii="Times New Roman" w:hAnsi="Times New Roman" w:cs="Times New Roman"/>
                <w:color w:val="333333"/>
                <w:sz w:val="24"/>
                <w:szCs w:val="24"/>
              </w:rPr>
            </w:pPr>
            <w:r w:rsidRPr="00A05441">
              <w:rPr>
                <w:rFonts w:ascii="Times New Roman" w:hAnsi="Times New Roman" w:cs="Times New Roman"/>
                <w:color w:val="333333"/>
                <w:sz w:val="24"/>
                <w:szCs w:val="24"/>
              </w:rPr>
              <w:t>2.15-2.38</w:t>
            </w:r>
          </w:p>
        </w:tc>
        <w:tc>
          <w:tcPr>
            <w:tcW w:w="1680" w:type="dxa"/>
            <w:hideMark/>
          </w:tcPr>
          <w:p w:rsidR="00A05441" w:rsidRPr="00A05441" w:rsidRDefault="00A05441">
            <w:pPr>
              <w:rPr>
                <w:rFonts w:ascii="Times New Roman" w:hAnsi="Times New Roman" w:cs="Times New Roman"/>
                <w:color w:val="333333"/>
                <w:sz w:val="24"/>
                <w:szCs w:val="24"/>
              </w:rPr>
            </w:pPr>
            <w:r w:rsidRPr="00A05441">
              <w:rPr>
                <w:rFonts w:ascii="Times New Roman" w:hAnsi="Times New Roman" w:cs="Times New Roman"/>
                <w:color w:val="333333"/>
                <w:sz w:val="24"/>
                <w:szCs w:val="24"/>
              </w:rPr>
              <w:t>3.55-4.15</w:t>
            </w:r>
          </w:p>
        </w:tc>
      </w:tr>
    </w:tbl>
    <w:p w:rsidR="00A05441" w:rsidRDefault="00A05441">
      <w:pPr>
        <w:rPr>
          <w:rFonts w:ascii="Times New Roman" w:hAnsi="Times New Roman" w:cs="Times New Roman" w:hint="eastAsia"/>
          <w:color w:val="333333"/>
          <w:sz w:val="24"/>
          <w:szCs w:val="24"/>
        </w:rPr>
      </w:pPr>
    </w:p>
    <w:p w:rsidR="00A05441" w:rsidRDefault="00A05441">
      <w:pPr>
        <w:rPr>
          <w:rFonts w:ascii="Times New Roman" w:hAnsi="Times New Roman" w:cs="Times New Roman" w:hint="eastAsia"/>
          <w:color w:val="333333"/>
          <w:sz w:val="24"/>
          <w:szCs w:val="24"/>
        </w:rPr>
      </w:pPr>
    </w:p>
    <w:p w:rsidR="00F94C78"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rPr>
        <w:br/>
      </w:r>
      <w:r w:rsidRPr="00F94C78">
        <w:rPr>
          <w:rFonts w:ascii="Times New Roman" w:hAnsi="Times New Roman" w:cs="Times New Roman"/>
          <w:b/>
          <w:color w:val="333333"/>
          <w:sz w:val="28"/>
          <w:szCs w:val="28"/>
          <w:shd w:val="clear" w:color="auto" w:fill="FFFFFF"/>
        </w:rPr>
        <w:t>S1.7 Cross-dataset comparison of sham-related configurations within the TLR approach</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This section provides a comparative interpretation of sham-related configurations across S1.1, S1.3, and S1.5.</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Although these analyses are derived from independent datasets and are not directly integrated, several consistent tendencies are observed when expressed using TLR.</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lastRenderedPageBreak/>
        <w:br/>
      </w:r>
      <w:r w:rsidRPr="005061B8">
        <w:rPr>
          <w:rFonts w:ascii="Times New Roman" w:hAnsi="Times New Roman" w:cs="Times New Roman"/>
          <w:color w:val="333333"/>
          <w:sz w:val="24"/>
          <w:szCs w:val="24"/>
          <w:shd w:val="clear" w:color="auto" w:fill="FFFFFF"/>
        </w:rPr>
        <w:t xml:space="preserve">Across datasets, non-penetrating or contact-based interventions tend to show slightly higher TLR values compared with superficial or penetrating needling in certain configurations. Differences between </w:t>
      </w:r>
      <w:proofErr w:type="spellStart"/>
      <w:r w:rsidRPr="005061B8">
        <w:rPr>
          <w:rFonts w:ascii="Times New Roman" w:hAnsi="Times New Roman" w:cs="Times New Roman"/>
          <w:color w:val="333333"/>
          <w:sz w:val="24"/>
          <w:szCs w:val="24"/>
          <w:shd w:val="clear" w:color="auto" w:fill="FFFFFF"/>
        </w:rPr>
        <w:t>acupoint</w:t>
      </w:r>
      <w:proofErr w:type="spellEnd"/>
      <w:r w:rsidRPr="005061B8">
        <w:rPr>
          <w:rFonts w:ascii="Times New Roman" w:hAnsi="Times New Roman" w:cs="Times New Roman"/>
          <w:color w:val="333333"/>
          <w:sz w:val="24"/>
          <w:szCs w:val="24"/>
          <w:shd w:val="clear" w:color="auto" w:fill="FFFFFF"/>
        </w:rPr>
        <w:t xml:space="preserve"> and non-</w:t>
      </w:r>
      <w:proofErr w:type="spellStart"/>
      <w:r w:rsidRPr="005061B8">
        <w:rPr>
          <w:rFonts w:ascii="Times New Roman" w:hAnsi="Times New Roman" w:cs="Times New Roman"/>
          <w:color w:val="333333"/>
          <w:sz w:val="24"/>
          <w:szCs w:val="24"/>
          <w:shd w:val="clear" w:color="auto" w:fill="FFFFFF"/>
        </w:rPr>
        <w:t>acupoint</w:t>
      </w:r>
      <w:proofErr w:type="spellEnd"/>
      <w:r w:rsidRPr="005061B8">
        <w:rPr>
          <w:rFonts w:ascii="Times New Roman" w:hAnsi="Times New Roman" w:cs="Times New Roman"/>
          <w:color w:val="333333"/>
          <w:sz w:val="24"/>
          <w:szCs w:val="24"/>
          <w:shd w:val="clear" w:color="auto" w:fill="FFFFFF"/>
        </w:rPr>
        <w:t xml:space="preserve"> stimulation are generally small, although variability is sometimes substantial depending on the condition.</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In S1.1, part of the observed variability in TLR values across disease conditions may reflect not only disease-specific effects, but also differences in sham-related configurations.</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In particular, variability in sham interventions themselves (e.g., differences in procedural characteristics such as depth or type of stimulation) may contribute to heterogeneity in comparator responses. This suggests that part of the between-condition variation may reflect variability in sham-related effects, in addition to disease-specific response patterns to acupuncture.</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These observations do not imply a unified structural model across datasets. Rather, they indicate that independently derived results can be comparatively interpreted within a shared MC</w:t>
      </w:r>
      <w:r w:rsidR="00F94C78">
        <w:rPr>
          <w:rFonts w:ascii="Times New Roman" w:hAnsi="Times New Roman" w:cs="Times New Roman"/>
          <w:color w:val="333333"/>
          <w:sz w:val="24"/>
          <w:szCs w:val="24"/>
          <w:shd w:val="clear" w:color="auto" w:fill="FFFFFF"/>
        </w:rPr>
        <w:t xml:space="preserve">ID-based probabilistic </w:t>
      </w:r>
      <w:r w:rsidR="00F94C78">
        <w:rPr>
          <w:rFonts w:ascii="Times New Roman" w:hAnsi="Times New Roman" w:cs="Times New Roman" w:hint="eastAsia"/>
          <w:color w:val="333333"/>
          <w:sz w:val="24"/>
          <w:szCs w:val="24"/>
          <w:shd w:val="clear" w:color="auto" w:fill="FFFFFF"/>
        </w:rPr>
        <w:t>approach</w:t>
      </w:r>
      <w:r w:rsidRPr="005061B8">
        <w:rPr>
          <w:rFonts w:ascii="Times New Roman" w:hAnsi="Times New Roman" w:cs="Times New Roman"/>
          <w:color w:val="333333"/>
          <w:sz w:val="24"/>
          <w:szCs w:val="24"/>
          <w:shd w:val="clear" w:color="auto" w:fill="FFFFFF"/>
        </w:rPr>
        <w:t>.</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A key point is that these patterns are not clearly observable when only mean differences are considered, but become more apparent under TLR-based probabilistic re-expression.</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These findings suggest that variability in TLR values across disease conditions may not be explained solely by disease heterogeneity, but may also partially reflect differences in comparator (sham) conditions.</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rPr>
        <w:br/>
      </w:r>
      <w:proofErr w:type="gramStart"/>
      <w:r w:rsidRPr="00F94C78">
        <w:rPr>
          <w:rFonts w:ascii="Times New Roman" w:hAnsi="Times New Roman" w:cs="Times New Roman"/>
          <w:b/>
          <w:color w:val="333333"/>
          <w:sz w:val="28"/>
          <w:szCs w:val="28"/>
          <w:shd w:val="clear" w:color="auto" w:fill="FFFFFF"/>
        </w:rPr>
        <w:t>Supplementary Section S2.</w:t>
      </w:r>
      <w:proofErr w:type="gramEnd"/>
      <w:r w:rsidRPr="00F94C78">
        <w:rPr>
          <w:rFonts w:ascii="Times New Roman" w:hAnsi="Times New Roman" w:cs="Times New Roman"/>
          <w:b/>
          <w:color w:val="333333"/>
          <w:sz w:val="28"/>
          <w:szCs w:val="28"/>
          <w:shd w:val="clear" w:color="auto" w:fill="FFFFFF"/>
        </w:rPr>
        <w:t xml:space="preserve"> Distributional positioning of acupuncture within the intervention landscape</w:t>
      </w:r>
    </w:p>
    <w:p w:rsidR="00F94C78" w:rsidRDefault="005061B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shd w:val="clear" w:color="auto" w:fill="FFFFFF"/>
        </w:rPr>
        <w:br/>
      </w:r>
      <w:r w:rsidRPr="005061B8">
        <w:rPr>
          <w:rFonts w:ascii="Times New Roman" w:hAnsi="Times New Roman" w:cs="Times New Roman"/>
          <w:color w:val="333333"/>
          <w:sz w:val="24"/>
          <w:szCs w:val="24"/>
          <w:shd w:val="clear" w:color="auto" w:fill="FFFFFF"/>
        </w:rPr>
        <w:t>A scatter plot (Figure S1) was constructed using Therapeutic Leverage Ratio (TLR) values and associated range measures across 22 interventions derived from Cochrane reviews and related studies, in order to describe the distribution of intervention effects within a broader set of comparative evidence.</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lastRenderedPageBreak/>
        <w:br/>
      </w:r>
      <w:r w:rsidRPr="005061B8">
        <w:rPr>
          <w:rFonts w:ascii="Times New Roman" w:hAnsi="Times New Roman" w:cs="Times New Roman"/>
          <w:color w:val="333333"/>
          <w:sz w:val="24"/>
          <w:szCs w:val="24"/>
          <w:shd w:val="clear" w:color="auto" w:fill="FFFFFF"/>
        </w:rPr>
        <w:t>The included studies comprise those cited in the main text [9–11], as well as additional studies listed in the S-Reference List.</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This figure summarizes how TLR values vary across interventions based on probabilistic re-expression of continuous outcomes.</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The observed clustering of TLR values reflects differences in distributional characteristics across interventions; however, no causal interpretation or comparative efficacy ranking is implied.</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This figure provides a reference summary of intervention-level TLR distributions under the TLR approach.</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rPr>
        <w:br/>
      </w:r>
      <w:r w:rsidRPr="00F94C78">
        <w:rPr>
          <w:rFonts w:ascii="Times New Roman" w:hAnsi="Times New Roman" w:cs="Times New Roman"/>
          <w:b/>
          <w:i/>
          <w:color w:val="333333"/>
          <w:sz w:val="24"/>
          <w:szCs w:val="24"/>
          <w:shd w:val="clear" w:color="auto" w:fill="FFFFFF"/>
        </w:rPr>
        <w:t>Bridge paragraph (between S2 and S3)</w:t>
      </w:r>
    </w:p>
    <w:p w:rsidR="00F94C78" w:rsidRDefault="005061B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shd w:val="clear" w:color="auto" w:fill="FFFFFF"/>
        </w:rPr>
        <w:br/>
      </w:r>
      <w:r w:rsidRPr="005061B8">
        <w:rPr>
          <w:rFonts w:ascii="Times New Roman" w:hAnsi="Times New Roman" w:cs="Times New Roman"/>
          <w:color w:val="333333"/>
          <w:sz w:val="24"/>
          <w:szCs w:val="24"/>
          <w:shd w:val="clear" w:color="auto" w:fill="FFFFFF"/>
        </w:rPr>
        <w:t>The analyses in Sections S2 and S3 should be interpreted as complementary perspectives within the same proba</w:t>
      </w:r>
      <w:r w:rsidR="00F94C78">
        <w:rPr>
          <w:rFonts w:ascii="Times New Roman" w:hAnsi="Times New Roman" w:cs="Times New Roman"/>
          <w:color w:val="333333"/>
          <w:sz w:val="24"/>
          <w:szCs w:val="24"/>
          <w:shd w:val="clear" w:color="auto" w:fill="FFFFFF"/>
        </w:rPr>
        <w:t xml:space="preserve">bilistic re-expression </w:t>
      </w:r>
      <w:r w:rsidR="00F94C78">
        <w:rPr>
          <w:rFonts w:ascii="Times New Roman" w:hAnsi="Times New Roman" w:cs="Times New Roman" w:hint="eastAsia"/>
          <w:color w:val="333333"/>
          <w:sz w:val="24"/>
          <w:szCs w:val="24"/>
          <w:shd w:val="clear" w:color="auto" w:fill="FFFFFF"/>
        </w:rPr>
        <w:t>approach</w:t>
      </w:r>
      <w:r w:rsidRPr="005061B8">
        <w:rPr>
          <w:rFonts w:ascii="Times New Roman" w:hAnsi="Times New Roman" w:cs="Times New Roman"/>
          <w:color w:val="333333"/>
          <w:sz w:val="24"/>
          <w:szCs w:val="24"/>
          <w:shd w:val="clear" w:color="auto" w:fill="FFFFFF"/>
        </w:rPr>
        <w:t>.</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Section S2 describes the distribution of TLR values across external datasets, whereas Section S3 illustrates how similar TLR-based patterns appear under different comparator configurations within individual datasets.</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Together, these analyses distinguish between:</w:t>
      </w:r>
    </w:p>
    <w:p w:rsidR="00E9538E" w:rsidRDefault="005061B8">
      <w:pPr>
        <w:rPr>
          <w:rFonts w:ascii="Times New Roman" w:hAnsi="Times New Roman" w:cs="Times New Roman"/>
          <w:color w:val="333333"/>
          <w:sz w:val="24"/>
          <w:szCs w:val="24"/>
        </w:rPr>
        <w:sectPr w:rsidR="00E9538E" w:rsidSect="00C40FB0">
          <w:pgSz w:w="11906" w:h="16838"/>
          <w:pgMar w:top="1985" w:right="1701" w:bottom="1701" w:left="1701" w:header="851" w:footer="992" w:gutter="0"/>
          <w:cols w:space="425"/>
          <w:docGrid w:type="lines" w:linePitch="360"/>
        </w:sectPr>
      </w:pPr>
      <w:r w:rsidRPr="005061B8">
        <w:rPr>
          <w:rFonts w:ascii="Times New Roman" w:hAnsi="Times New Roman" w:cs="Times New Roman"/>
          <w:color w:val="333333"/>
          <w:sz w:val="24"/>
          <w:szCs w:val="24"/>
        </w:rPr>
        <w:br/>
      </w:r>
      <w:r w:rsidR="00F94C78">
        <w:rPr>
          <w:rFonts w:ascii="Times New Roman" w:hAnsi="Times New Roman" w:cs="Times New Roman" w:hint="eastAsia"/>
          <w:color w:val="333333"/>
          <w:sz w:val="24"/>
          <w:szCs w:val="24"/>
          <w:shd w:val="clear" w:color="auto" w:fill="FFFFFF"/>
        </w:rPr>
        <w:t>・</w:t>
      </w:r>
      <w:r w:rsidRPr="005061B8">
        <w:rPr>
          <w:rFonts w:ascii="Times New Roman" w:hAnsi="Times New Roman" w:cs="Times New Roman"/>
          <w:color w:val="333333"/>
          <w:sz w:val="24"/>
          <w:szCs w:val="24"/>
          <w:shd w:val="clear" w:color="auto" w:fill="FFFFFF"/>
        </w:rPr>
        <w:t>distributional variation across interventions (S2)</w:t>
      </w:r>
      <w:r w:rsidRPr="005061B8">
        <w:rPr>
          <w:rFonts w:ascii="Times New Roman" w:hAnsi="Times New Roman" w:cs="Times New Roman"/>
          <w:color w:val="333333"/>
          <w:sz w:val="24"/>
          <w:szCs w:val="24"/>
        </w:rPr>
        <w:br/>
      </w:r>
      <w:r w:rsidR="00F94C78">
        <w:rPr>
          <w:rFonts w:ascii="Times New Roman" w:hAnsi="Times New Roman" w:cs="Times New Roman"/>
          <w:color w:val="333333"/>
          <w:sz w:val="24"/>
          <w:szCs w:val="24"/>
          <w:shd w:val="clear" w:color="auto" w:fill="FFFFFF"/>
        </w:rPr>
        <w:t>・</w:t>
      </w:r>
      <w:r w:rsidRPr="005061B8">
        <w:rPr>
          <w:rFonts w:ascii="Times New Roman" w:hAnsi="Times New Roman" w:cs="Times New Roman"/>
          <w:color w:val="333333"/>
          <w:sz w:val="24"/>
          <w:szCs w:val="24"/>
          <w:shd w:val="clear" w:color="auto" w:fill="FFFFFF"/>
        </w:rPr>
        <w:t>comparator-dependent variation within datasets (S3)</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within the proposed probabilistic re-expression approach.</w:t>
      </w:r>
      <w:r w:rsidRPr="005061B8">
        <w:rPr>
          <w:rFonts w:ascii="Times New Roman" w:hAnsi="Times New Roman" w:cs="Times New Roman"/>
          <w:color w:val="333333"/>
          <w:sz w:val="24"/>
          <w:szCs w:val="24"/>
        </w:rPr>
        <w:br/>
      </w:r>
    </w:p>
    <w:p w:rsidR="00E9538E" w:rsidRDefault="00E9538E">
      <w:pPr>
        <w:rPr>
          <w:rFonts w:ascii="Times New Roman" w:hAnsi="Times New Roman" w:cs="Times New Roman"/>
          <w:color w:val="333333"/>
          <w:sz w:val="24"/>
          <w:szCs w:val="24"/>
        </w:rPr>
        <w:sectPr w:rsidR="00E9538E" w:rsidSect="00E9538E">
          <w:pgSz w:w="16838" w:h="11906" w:orient="landscape"/>
          <w:pgMar w:top="1701" w:right="1985" w:bottom="1701" w:left="1701" w:header="851" w:footer="992" w:gutter="0"/>
          <w:cols w:space="425"/>
          <w:docGrid w:type="lines" w:linePitch="360"/>
        </w:sectPr>
      </w:pPr>
      <w:r>
        <w:rPr>
          <w:rFonts w:ascii="Times New Roman" w:hAnsi="Times New Roman" w:cs="Times New Roman"/>
          <w:noProof/>
          <w:color w:val="333333"/>
          <w:sz w:val="24"/>
          <w:szCs w:val="24"/>
        </w:rPr>
        <w:lastRenderedPageBreak/>
        <w:drawing>
          <wp:inline distT="0" distB="0" distL="0" distR="0">
            <wp:extent cx="8351520" cy="4697730"/>
            <wp:effectExtent l="19050" t="0" r="0" b="0"/>
            <wp:docPr id="1" name="図 1" descr="C:\Users\mariko pc\Desktop\TLR\Figure 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ko pc\Desktop\TLR\Figure S1.png"/>
                    <pic:cNvPicPr>
                      <a:picLocks noChangeAspect="1" noChangeArrowheads="1"/>
                    </pic:cNvPicPr>
                  </pic:nvPicPr>
                  <pic:blipFill>
                    <a:blip r:embed="rId6" cstate="print"/>
                    <a:srcRect/>
                    <a:stretch>
                      <a:fillRect/>
                    </a:stretch>
                  </pic:blipFill>
                  <pic:spPr bwMode="auto">
                    <a:xfrm>
                      <a:off x="0" y="0"/>
                      <a:ext cx="8351520" cy="4697730"/>
                    </a:xfrm>
                    <a:prstGeom prst="rect">
                      <a:avLst/>
                    </a:prstGeom>
                    <a:noFill/>
                    <a:ln w="9525">
                      <a:noFill/>
                      <a:miter lim="800000"/>
                      <a:headEnd/>
                      <a:tailEnd/>
                    </a:ln>
                  </pic:spPr>
                </pic:pic>
              </a:graphicData>
            </a:graphic>
          </wp:inline>
        </w:drawing>
      </w:r>
      <w:r w:rsidRPr="00E9538E">
        <w:rPr>
          <w:rFonts w:ascii="Times New Roman" w:hAnsi="Times New Roman" w:cs="Times New Roman"/>
          <w:b/>
          <w:color w:val="333333"/>
          <w:sz w:val="24"/>
          <w:szCs w:val="24"/>
          <w:shd w:val="clear" w:color="auto" w:fill="FFFFFF"/>
        </w:rPr>
        <w:t xml:space="preserve"> </w:t>
      </w:r>
      <w:r w:rsidRPr="00DE55E5">
        <w:rPr>
          <w:rFonts w:ascii="Times New Roman" w:hAnsi="Times New Roman" w:cs="Times New Roman"/>
          <w:b/>
          <w:color w:val="333333"/>
          <w:sz w:val="24"/>
          <w:szCs w:val="24"/>
          <w:shd w:val="clear" w:color="auto" w:fill="FFFFFF"/>
        </w:rPr>
        <w:t>Supplementary Figure S1 Distribution of TLR across interventions in Cochrane reviews</w:t>
      </w:r>
      <w:r w:rsidRPr="00DE55E5">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proofErr w:type="gramStart"/>
      <w:r w:rsidRPr="00F94C78">
        <w:rPr>
          <w:rFonts w:ascii="Times New Roman" w:hAnsi="Times New Roman" w:cs="Times New Roman"/>
          <w:color w:val="333333"/>
          <w:sz w:val="24"/>
          <w:szCs w:val="24"/>
          <w:shd w:val="clear" w:color="auto" w:fill="FFFFFF"/>
        </w:rPr>
        <w:lastRenderedPageBreak/>
        <w:t>This</w:t>
      </w:r>
      <w:proofErr w:type="gramEnd"/>
      <w:r w:rsidRPr="00F94C78">
        <w:rPr>
          <w:rFonts w:ascii="Times New Roman" w:hAnsi="Times New Roman" w:cs="Times New Roman"/>
          <w:color w:val="333333"/>
          <w:sz w:val="24"/>
          <w:szCs w:val="24"/>
          <w:shd w:val="clear" w:color="auto" w:fill="FFFFFF"/>
        </w:rPr>
        <w:t xml:space="preserve"> scatter plot illustrates the distribution of TLR values across multiple interventions reported in Cochrane reviews. Each point represents an intervention–comparator pair, with TLR values derived from reported summary statistics using a consistent MCID-based re-expression.</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 xml:space="preserve">Each point represents an intervention estimate derived from a study or study arm: Physical therapy, exercise, manual therapy (red), Acupuncture, Massage (yellow), Psychological, Education (green), physical agent (blue), Operation (pink). </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Horizontal dashed line indicates median CI width (1.44) and median TLR (1.86).</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The overall distribution demonstrates that TLR values typically fall within a moderate range across interventions.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Note</w:t>
      </w:r>
      <w:proofErr w:type="gramStart"/>
      <w:r w:rsidRPr="00F94C78">
        <w:rPr>
          <w:rFonts w:ascii="Times New Roman" w:hAnsi="Times New Roman" w:cs="Times New Roman"/>
          <w:color w:val="333333"/>
          <w:sz w:val="24"/>
          <w:szCs w:val="24"/>
          <w:shd w:val="clear" w:color="auto" w:fill="FFFFFF"/>
        </w:rPr>
        <w:t>:</w:t>
      </w:r>
      <w:proofErr w:type="gramEnd"/>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The number of interventions (n=22) varies across analyses due to differences in the reporting formats of the original Cochrane reviews (e.g., missing primary event rates or standard deviations for certain studies.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“Abbreviations: TLR, Therapeutic leverage ratio; MD, Mean difference; SMD, Standardized mean difference; PT, Physical therapy; MT, Manual therapy.”</w:t>
      </w:r>
      <w:r w:rsidRPr="00F94C78">
        <w:rPr>
          <w:rFonts w:ascii="Times New Roman" w:hAnsi="Times New Roman" w:cs="Times New Roman"/>
          <w:color w:val="333333"/>
          <w:sz w:val="24"/>
          <w:szCs w:val="24"/>
        </w:rPr>
        <w:br/>
      </w:r>
    </w:p>
    <w:p w:rsidR="00F94C78"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rPr>
        <w:lastRenderedPageBreak/>
        <w:br/>
      </w:r>
      <w:r w:rsidRPr="005061B8">
        <w:rPr>
          <w:rFonts w:ascii="Times New Roman" w:hAnsi="Times New Roman" w:cs="Times New Roman"/>
          <w:color w:val="333333"/>
          <w:sz w:val="24"/>
          <w:szCs w:val="24"/>
        </w:rPr>
        <w:br/>
      </w:r>
      <w:proofErr w:type="gramStart"/>
      <w:r w:rsidRPr="00F94C78">
        <w:rPr>
          <w:rFonts w:ascii="Times New Roman" w:hAnsi="Times New Roman" w:cs="Times New Roman"/>
          <w:b/>
          <w:color w:val="333333"/>
          <w:sz w:val="28"/>
          <w:szCs w:val="28"/>
          <w:shd w:val="clear" w:color="auto" w:fill="FFFFFF"/>
        </w:rPr>
        <w:t>Supplementary Section S3.</w:t>
      </w:r>
      <w:proofErr w:type="gramEnd"/>
      <w:r w:rsidRPr="00F94C78">
        <w:rPr>
          <w:rFonts w:ascii="Times New Roman" w:hAnsi="Times New Roman" w:cs="Times New Roman"/>
          <w:b/>
          <w:color w:val="333333"/>
          <w:sz w:val="28"/>
          <w:szCs w:val="28"/>
          <w:shd w:val="clear" w:color="auto" w:fill="FFFFFF"/>
        </w:rPr>
        <w:t xml:space="preserve"> Alternative representations of factor-based visualization</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This section presents an alternative visualization of comparator configurations using Therapeutic Leverage Ratio (TLR) values derived from the same underlying dataset as S1.5.</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The purpose of this representation is to illustrate how differences in comparator conditions are reflected in TLR values across intervention types, rather than to define spatial or geometric relationships.</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The analysis is consistent with the framework described in S1.5, but integrates data across multiple studies to show how TLR values vary across comparator configurations.</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Across these representations, the relative ordering of TLR values remained consistent, while absolute values varied depending on comparator structure. This indicates that differences between conditions are expressed through variation in TLR values rather than changes in rank.</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A dual-axis representation is used to illustrate the relationship between reference conditions and resulting probabilities based on MCID-based re-expression. This is intended as a visualization aid for understanding probabilistic changes, not as a spatial or geometric mapping.</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TLR values are displayed using logarithmic scaling to reflect multiplicative differences in effect magnitude.</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Sham interventions, including non-</w:t>
      </w:r>
      <w:proofErr w:type="spellStart"/>
      <w:r w:rsidRPr="005061B8">
        <w:rPr>
          <w:rFonts w:ascii="Times New Roman" w:hAnsi="Times New Roman" w:cs="Times New Roman"/>
          <w:color w:val="333333"/>
          <w:sz w:val="24"/>
          <w:szCs w:val="24"/>
          <w:shd w:val="clear" w:color="auto" w:fill="FFFFFF"/>
        </w:rPr>
        <w:t>acupoint</w:t>
      </w:r>
      <w:proofErr w:type="spellEnd"/>
      <w:r w:rsidRPr="005061B8">
        <w:rPr>
          <w:rFonts w:ascii="Times New Roman" w:hAnsi="Times New Roman" w:cs="Times New Roman"/>
          <w:color w:val="333333"/>
          <w:sz w:val="24"/>
          <w:szCs w:val="24"/>
          <w:shd w:val="clear" w:color="auto" w:fill="FFFFFF"/>
        </w:rPr>
        <w:t xml:space="preserve"> and non-penetrating procedures, generally fall between waitlist conditions and active acupuncture in terms of TLR values, reflecting intermediate probabilistic effects within comparator structures.</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These observations indicate that differences in comparator configuration are not simply reflected as rankings of effectiveness, but as systematic variation in TLR values across conditions.</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lastRenderedPageBreak/>
        <w:br/>
      </w:r>
      <w:r w:rsidRPr="005061B8">
        <w:rPr>
          <w:rFonts w:ascii="Times New Roman" w:hAnsi="Times New Roman" w:cs="Times New Roman"/>
          <w:color w:val="333333"/>
          <w:sz w:val="24"/>
          <w:szCs w:val="24"/>
          <w:shd w:val="clear" w:color="auto" w:fill="FFFFFF"/>
        </w:rPr>
        <w:t>Importantly, these representations should be interpreted as alternative projections of the same underlying data, rather than as spatial structures.</w:t>
      </w:r>
    </w:p>
    <w:p w:rsidR="00E9538E" w:rsidRDefault="005061B8">
      <w:pPr>
        <w:rPr>
          <w:rFonts w:ascii="Times New Roman" w:hAnsi="Times New Roman" w:cs="Times New Roman"/>
          <w:color w:val="333333"/>
          <w:sz w:val="24"/>
          <w:szCs w:val="24"/>
        </w:rPr>
        <w:sectPr w:rsidR="00E9538E" w:rsidSect="00E9538E">
          <w:pgSz w:w="11906" w:h="16838"/>
          <w:pgMar w:top="1985" w:right="1701" w:bottom="1701" w:left="1701" w:header="851" w:footer="992" w:gutter="0"/>
          <w:cols w:space="425"/>
          <w:docGrid w:type="lines" w:linePitch="360"/>
        </w:sect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Across all representations, the ordering of TLR values remains stable, supporting the consistency of the probabilistic re-expression approach.</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Note</w:t>
      </w:r>
      <w:proofErr w:type="gramStart"/>
      <w:r w:rsidRPr="005061B8">
        <w:rPr>
          <w:rFonts w:ascii="Times New Roman" w:hAnsi="Times New Roman" w:cs="Times New Roman"/>
          <w:color w:val="333333"/>
          <w:sz w:val="24"/>
          <w:szCs w:val="24"/>
          <w:shd w:val="clear" w:color="auto" w:fill="FFFFFF"/>
        </w:rPr>
        <w:t>:</w:t>
      </w:r>
      <w:proofErr w:type="gramEnd"/>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For illustrative purposes, a change in TLR magnitude may correspond to a shift in the probability of achieving the MCID (e.g., from approximately 50% to 57%), depending on baseline probabilities. This is provided as a conceptual example of probabilistic interpretation.</w:t>
      </w:r>
      <w:r w:rsidRPr="005061B8">
        <w:rPr>
          <w:rFonts w:ascii="Times New Roman" w:hAnsi="Times New Roman" w:cs="Times New Roman"/>
          <w:color w:val="333333"/>
          <w:sz w:val="24"/>
          <w:szCs w:val="24"/>
        </w:rPr>
        <w:br/>
      </w:r>
    </w:p>
    <w:p w:rsidR="00E9538E" w:rsidRDefault="00E9538E" w:rsidP="00E9538E">
      <w:pPr>
        <w:rPr>
          <w:rFonts w:ascii="Times New Roman" w:hAnsi="Times New Roman" w:cs="Times New Roman" w:hint="eastAsia"/>
          <w:color w:val="333333"/>
          <w:sz w:val="24"/>
          <w:szCs w:val="24"/>
          <w:shd w:val="clear" w:color="auto" w:fill="FFFFFF"/>
        </w:rPr>
      </w:pPr>
      <w:r>
        <w:rPr>
          <w:rFonts w:ascii="Times New Roman" w:hAnsi="Times New Roman" w:cs="Times New Roman"/>
          <w:noProof/>
          <w:color w:val="333333"/>
          <w:sz w:val="24"/>
          <w:szCs w:val="24"/>
        </w:rPr>
        <w:lastRenderedPageBreak/>
        <w:drawing>
          <wp:inline distT="0" distB="0" distL="0" distR="0">
            <wp:extent cx="8351520" cy="4697730"/>
            <wp:effectExtent l="19050" t="0" r="0" b="0"/>
            <wp:docPr id="2" name="図 2" descr="C:\Users\mariko pc\Desktop\TLR\Figure 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ko pc\Desktop\TLR\Figure S2.png"/>
                    <pic:cNvPicPr>
                      <a:picLocks noChangeAspect="1" noChangeArrowheads="1"/>
                    </pic:cNvPicPr>
                  </pic:nvPicPr>
                  <pic:blipFill>
                    <a:blip r:embed="rId7" cstate="print"/>
                    <a:srcRect/>
                    <a:stretch>
                      <a:fillRect/>
                    </a:stretch>
                  </pic:blipFill>
                  <pic:spPr bwMode="auto">
                    <a:xfrm>
                      <a:off x="0" y="0"/>
                      <a:ext cx="8351520" cy="4697730"/>
                    </a:xfrm>
                    <a:prstGeom prst="rect">
                      <a:avLst/>
                    </a:prstGeom>
                    <a:noFill/>
                    <a:ln w="9525">
                      <a:noFill/>
                      <a:miter lim="800000"/>
                      <a:headEnd/>
                      <a:tailEnd/>
                    </a:ln>
                  </pic:spPr>
                </pic:pic>
              </a:graphicData>
            </a:graphic>
          </wp:inline>
        </w:drawing>
      </w:r>
      <w:r w:rsidRPr="00E9538E">
        <w:rPr>
          <w:rFonts w:ascii="Times New Roman" w:hAnsi="Times New Roman" w:cs="Times New Roman"/>
          <w:b/>
          <w:color w:val="333333"/>
          <w:sz w:val="24"/>
          <w:szCs w:val="24"/>
          <w:shd w:val="clear" w:color="auto" w:fill="FFFFFF"/>
        </w:rPr>
        <w:t xml:space="preserve"> </w:t>
      </w:r>
      <w:proofErr w:type="gramStart"/>
      <w:r w:rsidRPr="00DE55E5">
        <w:rPr>
          <w:rFonts w:ascii="Times New Roman" w:hAnsi="Times New Roman" w:cs="Times New Roman"/>
          <w:b/>
          <w:color w:val="333333"/>
          <w:sz w:val="24"/>
          <w:szCs w:val="24"/>
          <w:shd w:val="clear" w:color="auto" w:fill="FFFFFF"/>
        </w:rPr>
        <w:t>Supplementary Figure S2.</w:t>
      </w:r>
      <w:proofErr w:type="gramEnd"/>
      <w:r w:rsidRPr="00DE55E5">
        <w:rPr>
          <w:rFonts w:ascii="Times New Roman" w:hAnsi="Times New Roman" w:cs="Times New Roman"/>
          <w:b/>
          <w:color w:val="333333"/>
          <w:sz w:val="24"/>
          <w:szCs w:val="24"/>
          <w:shd w:val="clear" w:color="auto" w:fill="FFFFFF"/>
        </w:rPr>
        <w:t xml:space="preserve"> Structural and probabilistic re-expression of therapeutic leverage using a shared dataset</w:t>
      </w:r>
    </w:p>
    <w:p w:rsidR="00E9538E" w:rsidRDefault="00E9538E" w:rsidP="00E9538E">
      <w:pPr>
        <w:rPr>
          <w:rFonts w:ascii="Times New Roman" w:hAnsi="Times New Roman" w:cs="Times New Roman" w:hint="eastAsia"/>
          <w:color w:val="333333"/>
          <w:sz w:val="24"/>
          <w:szCs w:val="24"/>
          <w:shd w:val="clear" w:color="auto" w:fill="FFFFFF"/>
        </w:rPr>
      </w:pPr>
      <w:r w:rsidRPr="00DE55E5">
        <w:rPr>
          <w:rFonts w:ascii="Times New Roman" w:hAnsi="Times New Roman" w:cs="Times New Roman"/>
          <w:color w:val="333333"/>
          <w:sz w:val="24"/>
          <w:szCs w:val="24"/>
          <w:shd w:val="clear" w:color="auto" w:fill="FFFFFF"/>
        </w:rPr>
        <w:br/>
      </w:r>
      <w:r w:rsidRPr="00F94C78">
        <w:rPr>
          <w:rFonts w:ascii="Times New Roman" w:hAnsi="Times New Roman" w:cs="Times New Roman"/>
          <w:color w:val="333333"/>
          <w:sz w:val="24"/>
          <w:szCs w:val="24"/>
          <w:shd w:val="clear" w:color="auto" w:fill="FFFFFF"/>
        </w:rPr>
        <w:lastRenderedPageBreak/>
        <w:t xml:space="preserve">This figure presents an alternative representation of the comparator configuration shown in Figure 2 of the main text. Using the same dataset as S1.5, it visualizes structural features and corresponding probabilistic changes in TLR. A </w:t>
      </w:r>
      <w:proofErr w:type="spellStart"/>
      <w:r w:rsidRPr="00F94C78">
        <w:rPr>
          <w:rFonts w:ascii="Times New Roman" w:hAnsi="Times New Roman" w:cs="Times New Roman"/>
          <w:color w:val="333333"/>
          <w:sz w:val="24"/>
          <w:szCs w:val="24"/>
          <w:shd w:val="clear" w:color="auto" w:fill="FFFFFF"/>
        </w:rPr>
        <w:t>nomogram</w:t>
      </w:r>
      <w:proofErr w:type="spellEnd"/>
      <w:r w:rsidRPr="00F94C78">
        <w:rPr>
          <w:rFonts w:ascii="Times New Roman" w:hAnsi="Times New Roman" w:cs="Times New Roman"/>
          <w:color w:val="333333"/>
          <w:sz w:val="24"/>
          <w:szCs w:val="24"/>
          <w:shd w:val="clear" w:color="auto" w:fill="FFFFFF"/>
        </w:rPr>
        <w:t xml:space="preserve"> representation is incorporated to explicitly display probabilistic variations associated with structural differences across comparator conditions.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The configuration of Supplementary Figure S2 is as follows</w:t>
      </w:r>
      <w:proofErr w:type="gramStart"/>
      <w:r w:rsidRPr="00F94C78">
        <w:rPr>
          <w:rFonts w:ascii="Times New Roman" w:hAnsi="Times New Roman" w:cs="Times New Roman"/>
          <w:color w:val="333333"/>
          <w:sz w:val="24"/>
          <w:szCs w:val="24"/>
          <w:shd w:val="clear" w:color="auto" w:fill="FFFFFF"/>
        </w:rPr>
        <w:t>:</w:t>
      </w:r>
      <w:proofErr w:type="gramEnd"/>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Baseline (Waitlist): TLR = 1.0</w:t>
      </w:r>
    </w:p>
    <w:p w:rsidR="00E9538E" w:rsidRDefault="00E9538E" w:rsidP="00E9538E">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shd w:val="clear" w:color="auto" w:fill="FFFFFF"/>
        </w:rPr>
        <w:t xml:space="preserve">Waitlist </w:t>
      </w:r>
      <w:proofErr w:type="spellStart"/>
      <w:r w:rsidRPr="00F94C78">
        <w:rPr>
          <w:rFonts w:ascii="Times New Roman" w:hAnsi="Times New Roman" w:cs="Times New Roman"/>
          <w:color w:val="333333"/>
          <w:sz w:val="24"/>
          <w:szCs w:val="24"/>
          <w:shd w:val="clear" w:color="auto" w:fill="FFFFFF"/>
        </w:rPr>
        <w:t>vs</w:t>
      </w:r>
      <w:proofErr w:type="spellEnd"/>
      <w:r w:rsidRPr="00F94C78">
        <w:rPr>
          <w:rFonts w:ascii="Times New Roman" w:hAnsi="Times New Roman" w:cs="Times New Roman"/>
          <w:color w:val="333333"/>
          <w:sz w:val="24"/>
          <w:szCs w:val="24"/>
          <w:shd w:val="clear" w:color="auto" w:fill="FFFFFF"/>
        </w:rPr>
        <w:t xml:space="preserve"> ANP (non-penet</w:t>
      </w:r>
      <w:r>
        <w:rPr>
          <w:rFonts w:ascii="Times New Roman" w:hAnsi="Times New Roman" w:cs="Times New Roman"/>
          <w:color w:val="333333"/>
          <w:sz w:val="24"/>
          <w:szCs w:val="24"/>
          <w:shd w:val="clear" w:color="auto" w:fill="FFFFFF"/>
        </w:rPr>
        <w:t xml:space="preserve">rating at </w:t>
      </w:r>
      <w:proofErr w:type="spellStart"/>
      <w:r>
        <w:rPr>
          <w:rFonts w:ascii="Times New Roman" w:hAnsi="Times New Roman" w:cs="Times New Roman"/>
          <w:color w:val="333333"/>
          <w:sz w:val="24"/>
          <w:szCs w:val="24"/>
          <w:shd w:val="clear" w:color="auto" w:fill="FFFFFF"/>
        </w:rPr>
        <w:t>acupoint</w:t>
      </w:r>
      <w:proofErr w:type="spellEnd"/>
      <w:r>
        <w:rPr>
          <w:rFonts w:ascii="Times New Roman" w:hAnsi="Times New Roman" w:cs="Times New Roman"/>
          <w:color w:val="333333"/>
          <w:sz w:val="24"/>
          <w:szCs w:val="24"/>
          <w:shd w:val="clear" w:color="auto" w:fill="FFFFFF"/>
        </w:rPr>
        <w:t>): TLR = 1.45</w:t>
      </w:r>
    </w:p>
    <w:p w:rsidR="00E9538E" w:rsidRDefault="00E9538E" w:rsidP="00E9538E">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shd w:val="clear" w:color="auto" w:fill="FFFFFF"/>
        </w:rPr>
        <w:t>NNP (non-penetrat</w:t>
      </w:r>
      <w:r>
        <w:rPr>
          <w:rFonts w:ascii="Times New Roman" w:hAnsi="Times New Roman" w:cs="Times New Roman"/>
          <w:color w:val="333333"/>
          <w:sz w:val="24"/>
          <w:szCs w:val="24"/>
          <w:shd w:val="clear" w:color="auto" w:fill="FFFFFF"/>
        </w:rPr>
        <w:t xml:space="preserve">ing at no </w:t>
      </w:r>
      <w:proofErr w:type="spellStart"/>
      <w:r>
        <w:rPr>
          <w:rFonts w:ascii="Times New Roman" w:hAnsi="Times New Roman" w:cs="Times New Roman"/>
          <w:color w:val="333333"/>
          <w:sz w:val="24"/>
          <w:szCs w:val="24"/>
          <w:shd w:val="clear" w:color="auto" w:fill="FFFFFF"/>
        </w:rPr>
        <w:t>acupoint</w:t>
      </w:r>
      <w:proofErr w:type="spellEnd"/>
      <w:r>
        <w:rPr>
          <w:rFonts w:ascii="Times New Roman" w:hAnsi="Times New Roman" w:cs="Times New Roman"/>
          <w:color w:val="333333"/>
          <w:sz w:val="24"/>
          <w:szCs w:val="24"/>
          <w:shd w:val="clear" w:color="auto" w:fill="FFFFFF"/>
        </w:rPr>
        <w:t>): TLR = 1.35</w:t>
      </w:r>
    </w:p>
    <w:p w:rsidR="00E9538E" w:rsidRDefault="00E9538E" w:rsidP="00E9538E">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shd w:val="clear" w:color="auto" w:fill="FFFFFF"/>
        </w:rPr>
        <w:t>NDN (depth-needl</w:t>
      </w:r>
      <w:r>
        <w:rPr>
          <w:rFonts w:ascii="Times New Roman" w:hAnsi="Times New Roman" w:cs="Times New Roman"/>
          <w:color w:val="333333"/>
          <w:sz w:val="24"/>
          <w:szCs w:val="24"/>
          <w:shd w:val="clear" w:color="auto" w:fill="FFFFFF"/>
        </w:rPr>
        <w:t xml:space="preserve">ing at no </w:t>
      </w:r>
      <w:proofErr w:type="spellStart"/>
      <w:r>
        <w:rPr>
          <w:rFonts w:ascii="Times New Roman" w:hAnsi="Times New Roman" w:cs="Times New Roman"/>
          <w:color w:val="333333"/>
          <w:sz w:val="24"/>
          <w:szCs w:val="24"/>
          <w:shd w:val="clear" w:color="auto" w:fill="FFFFFF"/>
        </w:rPr>
        <w:t>acupoint</w:t>
      </w:r>
      <w:proofErr w:type="spellEnd"/>
      <w:r>
        <w:rPr>
          <w:rFonts w:ascii="Times New Roman" w:hAnsi="Times New Roman" w:cs="Times New Roman"/>
          <w:color w:val="333333"/>
          <w:sz w:val="24"/>
          <w:szCs w:val="24"/>
          <w:shd w:val="clear" w:color="auto" w:fill="FFFFFF"/>
        </w:rPr>
        <w:t>): TLR = 1.15</w:t>
      </w:r>
    </w:p>
    <w:p w:rsidR="00E9538E" w:rsidRDefault="00E9538E" w:rsidP="00E9538E">
      <w:pPr>
        <w:rPr>
          <w:rFonts w:ascii="Times New Roman" w:hAnsi="Times New Roman" w:cs="Times New Roman"/>
          <w:color w:val="333333"/>
          <w:sz w:val="24"/>
          <w:szCs w:val="24"/>
        </w:rPr>
        <w:sectPr w:rsidR="00E9538E" w:rsidSect="00E9538E">
          <w:pgSz w:w="16838" w:h="11906" w:orient="landscape"/>
          <w:pgMar w:top="1701" w:right="1985" w:bottom="1701" w:left="1701" w:header="851" w:footer="992" w:gutter="0"/>
          <w:cols w:space="425"/>
          <w:docGrid w:type="lines" w:linePitch="360"/>
        </w:sectPr>
      </w:pPr>
      <w:r w:rsidRPr="00F94C78">
        <w:rPr>
          <w:rFonts w:ascii="Times New Roman" w:hAnsi="Times New Roman" w:cs="Times New Roman"/>
          <w:color w:val="333333"/>
          <w:sz w:val="24"/>
          <w:szCs w:val="24"/>
          <w:shd w:val="clear" w:color="auto" w:fill="FFFFFF"/>
        </w:rPr>
        <w:t xml:space="preserve">ASN (superficial needling at </w:t>
      </w:r>
      <w:proofErr w:type="spellStart"/>
      <w:r w:rsidRPr="00F94C78">
        <w:rPr>
          <w:rFonts w:ascii="Times New Roman" w:hAnsi="Times New Roman" w:cs="Times New Roman"/>
          <w:color w:val="333333"/>
          <w:sz w:val="24"/>
          <w:szCs w:val="24"/>
          <w:shd w:val="clear" w:color="auto" w:fill="FFFFFF"/>
        </w:rPr>
        <w:t>acupoint</w:t>
      </w:r>
      <w:proofErr w:type="spellEnd"/>
      <w:r w:rsidRPr="00F94C78">
        <w:rPr>
          <w:rFonts w:ascii="Times New Roman" w:hAnsi="Times New Roman" w:cs="Times New Roman"/>
          <w:color w:val="333333"/>
          <w:sz w:val="24"/>
          <w:szCs w:val="24"/>
          <w:shd w:val="clear" w:color="auto" w:fill="FFFFFF"/>
        </w:rPr>
        <w:t>): TLR = 1.35</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TLR values are presented on a logarithmic scale to reflect multiplicative differences. Corresponding probability values are also displayed in the figure to represent their nonlinear re-expression under MCID-based re-expression.</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 xml:space="preserve">Sham interventions occupy an intermediate position within the comparator structure defined by </w:t>
      </w:r>
      <w:proofErr w:type="spellStart"/>
      <w:r w:rsidRPr="00F94C78">
        <w:rPr>
          <w:rFonts w:ascii="Times New Roman" w:hAnsi="Times New Roman" w:cs="Times New Roman"/>
          <w:color w:val="333333"/>
          <w:sz w:val="24"/>
          <w:szCs w:val="24"/>
          <w:shd w:val="clear" w:color="auto" w:fill="FFFFFF"/>
        </w:rPr>
        <w:t>acupoint</w:t>
      </w:r>
      <w:proofErr w:type="spellEnd"/>
      <w:r w:rsidRPr="00F94C78">
        <w:rPr>
          <w:rFonts w:ascii="Times New Roman" w:hAnsi="Times New Roman" w:cs="Times New Roman"/>
          <w:color w:val="333333"/>
          <w:sz w:val="24"/>
          <w:szCs w:val="24"/>
          <w:shd w:val="clear" w:color="auto" w:fill="FFFFFF"/>
        </w:rPr>
        <w:t xml:space="preserve"> location, penetration depth, and procedural characteristics.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These observations indicate that the results do not represent a simple ranking of effects, but rather a mapping within a shared structural space in which comparator-related configurations correspond to different projections of the same underlying system.</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 xml:space="preserve">Note: </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 xml:space="preserve">Probability scales are non-linearly related to log-transformed leverage; therefore, bar heights are not linearly comparable across axes. </w:t>
      </w:r>
      <w:r w:rsidRPr="00F94C78">
        <w:rPr>
          <w:rFonts w:ascii="Times New Roman" w:hAnsi="Times New Roman" w:cs="Times New Roman"/>
          <w:color w:val="333333"/>
          <w:sz w:val="24"/>
          <w:szCs w:val="24"/>
          <w:shd w:val="clear" w:color="auto" w:fill="FFFFFF"/>
        </w:rPr>
        <w:lastRenderedPageBreak/>
        <w:t>This misalignment reflects the non-linear transformation between multiplicative leverage and probability space. Values below 1.0 indicate attenuation of leverage under specific comparator conditions.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“Abbreviations: TLR, Therapeutic leverage ratio.”</w:t>
      </w:r>
      <w:r w:rsidRPr="00F94C78">
        <w:rPr>
          <w:rFonts w:ascii="Times New Roman" w:hAnsi="Times New Roman" w:cs="Times New Roman"/>
          <w:color w:val="333333"/>
          <w:sz w:val="24"/>
          <w:szCs w:val="24"/>
        </w:rPr>
        <w:br/>
      </w:r>
    </w:p>
    <w:p w:rsidR="00F94C78" w:rsidRDefault="005061B8" w:rsidP="00E9538E">
      <w:pPr>
        <w:rPr>
          <w:rFonts w:ascii="Times New Roman" w:hAnsi="Times New Roman" w:cs="Times New Roman" w:hint="eastAsia"/>
          <w:b/>
          <w:color w:val="333333"/>
          <w:sz w:val="28"/>
          <w:szCs w:val="28"/>
          <w:shd w:val="clear" w:color="auto" w:fill="FFFFFF"/>
        </w:rPr>
      </w:pPr>
      <w:r w:rsidRPr="005061B8">
        <w:rPr>
          <w:rFonts w:ascii="Times New Roman" w:hAnsi="Times New Roman" w:cs="Times New Roman"/>
          <w:color w:val="333333"/>
          <w:sz w:val="24"/>
          <w:szCs w:val="24"/>
        </w:rPr>
        <w:lastRenderedPageBreak/>
        <w:br/>
      </w:r>
      <w:proofErr w:type="gramStart"/>
      <w:r w:rsidRPr="00F94C78">
        <w:rPr>
          <w:rFonts w:ascii="Times New Roman" w:hAnsi="Times New Roman" w:cs="Times New Roman"/>
          <w:b/>
          <w:color w:val="333333"/>
          <w:sz w:val="28"/>
          <w:szCs w:val="28"/>
          <w:shd w:val="clear" w:color="auto" w:fill="FFFFFF"/>
        </w:rPr>
        <w:t>Supplementary Section S4.</w:t>
      </w:r>
      <w:proofErr w:type="gramEnd"/>
      <w:r w:rsidRPr="00F94C78">
        <w:rPr>
          <w:rFonts w:ascii="Times New Roman" w:hAnsi="Times New Roman" w:cs="Times New Roman"/>
          <w:b/>
          <w:color w:val="333333"/>
          <w:sz w:val="28"/>
          <w:szCs w:val="28"/>
          <w:shd w:val="clear" w:color="auto" w:fill="FFFFFF"/>
        </w:rPr>
        <w:t xml:space="preserve"> Definition of TLR and Probability Re-expression</w:t>
      </w:r>
    </w:p>
    <w:p w:rsidR="00F94C78" w:rsidRDefault="005061B8">
      <w:pPr>
        <w:rPr>
          <w:rFonts w:ascii="Times New Roman" w:hAnsi="Times New Roman" w:cs="Times New Roman" w:hint="eastAsia"/>
          <w:b/>
          <w:color w:val="333333"/>
          <w:sz w:val="28"/>
          <w:szCs w:val="28"/>
          <w:shd w:val="clear" w:color="auto" w:fill="FFFFFF"/>
        </w:rPr>
      </w:pPr>
      <w:r w:rsidRPr="00F94C78">
        <w:rPr>
          <w:rFonts w:ascii="Times New Roman" w:hAnsi="Times New Roman" w:cs="Times New Roman"/>
          <w:b/>
          <w:color w:val="333333"/>
          <w:sz w:val="28"/>
          <w:szCs w:val="28"/>
        </w:rPr>
        <w:br/>
      </w:r>
      <w:r w:rsidRPr="00F94C78">
        <w:rPr>
          <w:rFonts w:ascii="Times New Roman" w:hAnsi="Times New Roman" w:cs="Times New Roman"/>
          <w:b/>
          <w:color w:val="333333"/>
          <w:sz w:val="28"/>
          <w:szCs w:val="28"/>
          <w:shd w:val="clear" w:color="auto" w:fill="FFFFFF"/>
        </w:rPr>
        <w:t>S4.1 Rationale for probability re-expression</w:t>
      </w:r>
    </w:p>
    <w:p w:rsidR="00F94C78" w:rsidRDefault="005061B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b/>
          <w:color w:val="333333"/>
          <w:sz w:val="28"/>
          <w:szCs w:val="28"/>
        </w:rPr>
        <w:br/>
      </w:r>
      <w:r w:rsidRPr="005061B8">
        <w:rPr>
          <w:rFonts w:ascii="Times New Roman" w:hAnsi="Times New Roman" w:cs="Times New Roman"/>
          <w:color w:val="333333"/>
          <w:sz w:val="24"/>
          <w:szCs w:val="24"/>
          <w:shd w:val="clear" w:color="auto" w:fill="FFFFFF"/>
        </w:rPr>
        <w:t>Although individual outcome distributions in clinical pain data are often non-normal, the use of mean-based summary statistics in meta-analytic frameworks is supported by large-sample statistical principles, including the central limit theorem. Accordingly, the normality assumption applied in the probability re-expression is a pragmatic approximation consistent with standard meta-analytic practice rather than an assertion of strict distributional normality at the individual level.</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Conventional systematic reviews and meta-analyses commonly use mean difference (MD) and standardized mean difference (SMD) as primary effect measures. These indices describe average treatment effects at the group level and are suitable for assessing whether an intervention shows a me</w:t>
      </w:r>
      <w:r w:rsidR="00F94C78">
        <w:rPr>
          <w:rFonts w:ascii="Times New Roman" w:hAnsi="Times New Roman" w:cs="Times New Roman"/>
          <w:color w:val="333333"/>
          <w:sz w:val="24"/>
          <w:szCs w:val="24"/>
          <w:shd w:val="clear" w:color="auto" w:fill="FFFFFF"/>
        </w:rPr>
        <w:t>an benefit across a population.</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shd w:val="clear" w:color="auto" w:fill="FFFFFF"/>
        </w:rPr>
        <w:t>However, these measures do not directly indicate the probability that individual patients achieve a clinically meaningful improvement [1]. As a result, there remains a gap between average treatment effects and clinically interpretable outcomes at the patient level.</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In this study, this gap is addressed through a probabilistic re-expression based on MCID as a threshold. By comparing probabilities of achieving MCID between intervention and control conditions, treatment effects are expressed as a ratio of improvement probabilities.</w:t>
      </w:r>
    </w:p>
    <w:p w:rsidR="00F94C78"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Under this approximation, the focus of the re-expression is not on exact distributional fidelity but on the consistent transformation of relative differences into a probabilistic scale.</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rPr>
        <w:br/>
      </w:r>
      <w:r w:rsidRPr="00F94C78">
        <w:rPr>
          <w:rFonts w:ascii="Times New Roman" w:hAnsi="Times New Roman" w:cs="Times New Roman"/>
          <w:b/>
          <w:color w:val="333333"/>
          <w:sz w:val="28"/>
          <w:szCs w:val="28"/>
          <w:shd w:val="clear" w:color="auto" w:fill="FFFFFF"/>
        </w:rPr>
        <w:t>S4.2 Definition of TLR</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 xml:space="preserve">Here, </w:t>
      </w:r>
      <w:proofErr w:type="gramStart"/>
      <w:r w:rsidRPr="005061B8">
        <w:rPr>
          <w:rFonts w:ascii="Times New Roman" w:hAnsi="Times New Roman" w:cs="Times New Roman"/>
          <w:color w:val="333333"/>
          <w:sz w:val="24"/>
          <w:szCs w:val="24"/>
          <w:shd w:val="clear" w:color="auto" w:fill="FFFFFF"/>
        </w:rPr>
        <w:t>P(</w:t>
      </w:r>
      <w:proofErr w:type="gramEnd"/>
      <w:r w:rsidRPr="005061B8">
        <w:rPr>
          <w:rFonts w:ascii="Times New Roman" w:hAnsi="Times New Roman" w:cs="Times New Roman"/>
          <w:color w:val="333333"/>
          <w:sz w:val="24"/>
          <w:szCs w:val="24"/>
          <w:shd w:val="clear" w:color="auto" w:fill="FFFFFF"/>
        </w:rPr>
        <w:t>achieving MCID | group) denotes the probability that the outcome achieves the predefined MCID threshold.</w:t>
      </w:r>
    </w:p>
    <w:p w:rsidR="00F94C78"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rPr>
        <w:br/>
      </w:r>
      <w:r w:rsidRPr="00F94C78">
        <w:rPr>
          <w:rFonts w:ascii="Times New Roman" w:hAnsi="Times New Roman" w:cs="Times New Roman"/>
          <w:color w:val="333333"/>
          <w:sz w:val="28"/>
          <w:szCs w:val="28"/>
          <w:shd w:val="clear" w:color="auto" w:fill="FFFFFF"/>
        </w:rPr>
        <w:lastRenderedPageBreak/>
        <w:t>TLR is defined as:</w:t>
      </w:r>
    </w:p>
    <w:p w:rsidR="00F94C78"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rPr>
        <w:br/>
      </w:r>
      <w:r w:rsidRPr="00F94C78">
        <w:rPr>
          <w:rFonts w:ascii="Times New Roman" w:hAnsi="Times New Roman" w:cs="Times New Roman"/>
          <w:i/>
          <w:color w:val="333333"/>
          <w:sz w:val="24"/>
          <w:szCs w:val="24"/>
          <w:shd w:val="clear" w:color="auto" w:fill="FFFFFF"/>
        </w:rPr>
        <w:t xml:space="preserve">TLR = </w:t>
      </w:r>
      <w:proofErr w:type="gramStart"/>
      <w:r w:rsidRPr="00F94C78">
        <w:rPr>
          <w:rFonts w:ascii="Times New Roman" w:hAnsi="Times New Roman" w:cs="Times New Roman"/>
          <w:i/>
          <w:color w:val="333333"/>
          <w:sz w:val="24"/>
          <w:szCs w:val="24"/>
          <w:shd w:val="clear" w:color="auto" w:fill="FFFFFF"/>
        </w:rPr>
        <w:t>P(</w:t>
      </w:r>
      <w:proofErr w:type="gramEnd"/>
      <w:r w:rsidRPr="00F94C78">
        <w:rPr>
          <w:rFonts w:ascii="Times New Roman" w:hAnsi="Times New Roman" w:cs="Times New Roman"/>
          <w:i/>
          <w:color w:val="333333"/>
          <w:sz w:val="24"/>
          <w:szCs w:val="24"/>
          <w:shd w:val="clear" w:color="auto" w:fill="FFFFFF"/>
        </w:rPr>
        <w:t>achieving MCID | intervention) / P(achieving MCID | comparator)</w:t>
      </w:r>
    </w:p>
    <w:p w:rsidR="00F94C78"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TLR represents a comparative probabilistic re-expression of treatment effects derived from continuous outcomes. It is not intended as a causal estimator and is mathematically equivalent to a ratio of probabilities under the specified re-expression.</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rPr>
        <w:br/>
      </w:r>
      <w:r w:rsidRPr="00F94C78">
        <w:rPr>
          <w:rFonts w:ascii="Times New Roman" w:hAnsi="Times New Roman" w:cs="Times New Roman"/>
          <w:b/>
          <w:color w:val="333333"/>
          <w:sz w:val="28"/>
          <w:szCs w:val="28"/>
          <w:shd w:val="clear" w:color="auto" w:fill="FFFFFF"/>
        </w:rPr>
        <w:t>S4.3 Illustrative computation of TLR using Cochrane migraine data</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This section illustrates the computational procedure of TLR using summary statistics reported in a Cochrane systematic review on acupuncture for ep</w:t>
      </w:r>
      <w:r w:rsidR="00F94C78">
        <w:rPr>
          <w:rFonts w:ascii="Times New Roman" w:hAnsi="Times New Roman" w:cs="Times New Roman"/>
          <w:color w:val="333333"/>
          <w:sz w:val="24"/>
          <w:szCs w:val="24"/>
          <w:shd w:val="clear" w:color="auto" w:fill="FFFFFF"/>
        </w:rPr>
        <w:t>isodic migraine prevention [9].</w:t>
      </w:r>
    </w:p>
    <w:p w:rsidR="00F94C78" w:rsidRDefault="005061B8">
      <w:pPr>
        <w:rPr>
          <w:rFonts w:ascii="Times New Roman" w:hAnsi="Times New Roman" w:cs="Times New Roman" w:hint="eastAsia"/>
          <w:color w:val="333333"/>
          <w:sz w:val="24"/>
          <w:szCs w:val="24"/>
        </w:rPr>
      </w:pPr>
      <w:r w:rsidRPr="005061B8">
        <w:rPr>
          <w:rFonts w:ascii="Times New Roman" w:hAnsi="Times New Roman" w:cs="Times New Roman"/>
          <w:color w:val="333333"/>
          <w:sz w:val="24"/>
          <w:szCs w:val="24"/>
          <w:shd w:val="clear" w:color="auto" w:fill="FFFFFF"/>
        </w:rPr>
        <w:t>The purpose is to demonstrate the re-expression process from conventional effect measures into probability-based representations. No additional modeling assumptions beyond Section S4.2 are introduced.</w:t>
      </w: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rPr>
        <w:br/>
      </w:r>
      <w:r w:rsidRPr="00F94C78">
        <w:rPr>
          <w:rFonts w:ascii="Times New Roman" w:hAnsi="Times New Roman" w:cs="Times New Roman"/>
          <w:b/>
          <w:color w:val="333333"/>
          <w:sz w:val="28"/>
          <w:szCs w:val="28"/>
          <w:shd w:val="clear" w:color="auto" w:fill="FFFFFF"/>
        </w:rPr>
        <w:t>S4.3.1 Data source</w:t>
      </w:r>
    </w:p>
    <w:p w:rsidR="00F94C78" w:rsidRDefault="005061B8">
      <w:pPr>
        <w:rPr>
          <w:rFonts w:ascii="Times New Roman" w:hAnsi="Times New Roman" w:cs="Times New Roman" w:hint="eastAsia"/>
          <w:color w:val="333333"/>
          <w:sz w:val="24"/>
          <w:szCs w:val="24"/>
          <w:shd w:val="clear" w:color="auto" w:fill="FFFFFF"/>
        </w:rPr>
      </w:pPr>
      <w:r w:rsidRPr="005061B8">
        <w:rPr>
          <w:rFonts w:ascii="Times New Roman" w:hAnsi="Times New Roman" w:cs="Times New Roman"/>
          <w:color w:val="333333"/>
          <w:sz w:val="24"/>
          <w:szCs w:val="24"/>
        </w:rPr>
        <w:br/>
      </w:r>
      <w:r w:rsidRPr="005061B8">
        <w:rPr>
          <w:rFonts w:ascii="Times New Roman" w:hAnsi="Times New Roman" w:cs="Times New Roman"/>
          <w:color w:val="333333"/>
          <w:sz w:val="24"/>
          <w:szCs w:val="24"/>
          <w:shd w:val="clear" w:color="auto" w:fill="FFFFFF"/>
        </w:rPr>
        <w:t>The Cochrane review reports c</w:t>
      </w:r>
      <w:r w:rsidR="00F94C78">
        <w:rPr>
          <w:rFonts w:ascii="Times New Roman" w:hAnsi="Times New Roman" w:cs="Times New Roman"/>
          <w:color w:val="333333"/>
          <w:sz w:val="24"/>
          <w:szCs w:val="24"/>
          <w:shd w:val="clear" w:color="auto" w:fill="FFFFFF"/>
        </w:rPr>
        <w:t>omparisons of acupuncture with:</w:t>
      </w:r>
    </w:p>
    <w:p w:rsidR="00F94C78" w:rsidRPr="00F94C78" w:rsidRDefault="00F94C78" w:rsidP="00F94C78">
      <w:pPr>
        <w:pStyle w:val="a3"/>
        <w:numPr>
          <w:ilvl w:val="0"/>
          <w:numId w:val="1"/>
        </w:numPr>
        <w:ind w:leftChars="0"/>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shd w:val="clear" w:color="auto" w:fill="FFFFFF"/>
        </w:rPr>
        <w:t>no acupuncture control,</w:t>
      </w:r>
    </w:p>
    <w:p w:rsidR="00F94C78" w:rsidRPr="00F94C78" w:rsidRDefault="005061B8" w:rsidP="00F94C78">
      <w:pPr>
        <w:pStyle w:val="a3"/>
        <w:numPr>
          <w:ilvl w:val="0"/>
          <w:numId w:val="1"/>
        </w:numPr>
        <w:ind w:leftChars="0"/>
        <w:rPr>
          <w:rFonts w:ascii="Times New Roman" w:hAnsi="Times New Roman" w:cs="Times New Roman" w:hint="eastAsia"/>
          <w:sz w:val="24"/>
          <w:szCs w:val="24"/>
        </w:rPr>
      </w:pPr>
      <w:r w:rsidRPr="00F94C78">
        <w:rPr>
          <w:rFonts w:ascii="Times New Roman" w:hAnsi="Times New Roman" w:cs="Times New Roman"/>
          <w:color w:val="333333"/>
          <w:sz w:val="24"/>
          <w:szCs w:val="24"/>
          <w:shd w:val="clear" w:color="auto" w:fill="FFFFFF"/>
        </w:rPr>
        <w:t>sham acupuncture, and</w:t>
      </w:r>
    </w:p>
    <w:p w:rsidR="00F94C78" w:rsidRPr="00F94C78" w:rsidRDefault="005061B8" w:rsidP="00F94C78">
      <w:pPr>
        <w:pStyle w:val="a3"/>
        <w:numPr>
          <w:ilvl w:val="0"/>
          <w:numId w:val="1"/>
        </w:numPr>
        <w:ind w:leftChars="0"/>
        <w:rPr>
          <w:rFonts w:ascii="Times New Roman" w:hAnsi="Times New Roman" w:cs="Times New Roman" w:hint="eastAsia"/>
          <w:sz w:val="24"/>
          <w:szCs w:val="24"/>
        </w:rPr>
      </w:pPr>
      <w:proofErr w:type="gramStart"/>
      <w:r w:rsidRPr="00F94C78">
        <w:rPr>
          <w:rFonts w:ascii="Times New Roman" w:hAnsi="Times New Roman" w:cs="Times New Roman"/>
          <w:color w:val="333333"/>
          <w:sz w:val="24"/>
          <w:szCs w:val="24"/>
          <w:shd w:val="clear" w:color="auto" w:fill="FFFFFF"/>
        </w:rPr>
        <w:t>prophylactic</w:t>
      </w:r>
      <w:proofErr w:type="gramEnd"/>
      <w:r w:rsidRPr="00F94C78">
        <w:rPr>
          <w:rFonts w:ascii="Times New Roman" w:hAnsi="Times New Roman" w:cs="Times New Roman"/>
          <w:color w:val="333333"/>
          <w:sz w:val="24"/>
          <w:szCs w:val="24"/>
          <w:shd w:val="clear" w:color="auto" w:fill="FFFFFF"/>
        </w:rPr>
        <w:t xml:space="preserve"> drug treatment.</w:t>
      </w:r>
    </w:p>
    <w:p w:rsidR="00F94C78" w:rsidRDefault="005061B8" w:rsidP="00F94C78">
      <w:pPr>
        <w:rPr>
          <w:rFonts w:ascii="Times New Roman" w:hAnsi="Times New Roman" w:cs="Times New Roman" w:hint="eastAsia"/>
          <w:b/>
          <w:color w:val="333333"/>
          <w:sz w:val="28"/>
          <w:szCs w:val="28"/>
          <w:shd w:val="clear" w:color="auto" w:fill="FFFFFF"/>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For each comparison, standardized mean differences (SMDs) and responder rates (≥50% reduction in headache frequency) were reported.</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b/>
          <w:color w:val="333333"/>
          <w:sz w:val="28"/>
          <w:szCs w:val="28"/>
          <w:shd w:val="clear" w:color="auto" w:fill="FFFFFF"/>
        </w:rPr>
        <w:t>S4.3.2 Probability re-expression</w:t>
      </w:r>
    </w:p>
    <w:p w:rsidR="00F94C7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b/>
          <w:color w:val="333333"/>
          <w:sz w:val="28"/>
          <w:szCs w:val="28"/>
        </w:rPr>
        <w:br/>
      </w:r>
      <w:r w:rsidRPr="00F94C78">
        <w:rPr>
          <w:rFonts w:ascii="Times New Roman" w:hAnsi="Times New Roman" w:cs="Times New Roman"/>
          <w:color w:val="333333"/>
          <w:sz w:val="24"/>
          <w:szCs w:val="24"/>
          <w:shd w:val="clear" w:color="auto" w:fill="FFFFFF"/>
        </w:rPr>
        <w:t>For each comparison, the observed SMD is mapped onto a standard normal distribution under the assumption described in Section S4.2.</w:t>
      </w:r>
    </w:p>
    <w:p w:rsidR="00F94C7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The probability of achieving a clinically meaningful improvement is expressed as:</w:t>
      </w:r>
    </w:p>
    <w:p w:rsidR="00F94C7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proofErr w:type="gramStart"/>
      <w:r w:rsidRPr="00F94C78">
        <w:rPr>
          <w:rFonts w:ascii="Times New Roman" w:hAnsi="Times New Roman" w:cs="Times New Roman"/>
          <w:i/>
          <w:color w:val="333333"/>
          <w:sz w:val="24"/>
          <w:szCs w:val="24"/>
          <w:shd w:val="clear" w:color="auto" w:fill="FFFFFF"/>
        </w:rPr>
        <w:t>P(</w:t>
      </w:r>
      <w:proofErr w:type="gramEnd"/>
      <w:r w:rsidRPr="00F94C78">
        <w:rPr>
          <w:rFonts w:ascii="Times New Roman" w:hAnsi="Times New Roman" w:cs="Times New Roman"/>
          <w:i/>
          <w:color w:val="333333"/>
          <w:sz w:val="24"/>
          <w:szCs w:val="24"/>
          <w:shd w:val="clear" w:color="auto" w:fill="FFFFFF"/>
        </w:rPr>
        <w:t>achieving MCID | intervention)</w:t>
      </w:r>
      <w:r w:rsidRPr="00F94C78">
        <w:rPr>
          <w:rFonts w:ascii="Times New Roman" w:hAnsi="Times New Roman" w:cs="Times New Roman"/>
          <w:i/>
          <w:color w:val="333333"/>
          <w:sz w:val="24"/>
          <w:szCs w:val="24"/>
        </w:rPr>
        <w:br/>
      </w:r>
      <w:r w:rsidRPr="00F94C78">
        <w:rPr>
          <w:rFonts w:ascii="Times New Roman" w:hAnsi="Times New Roman" w:cs="Times New Roman"/>
          <w:i/>
          <w:color w:val="333333"/>
          <w:sz w:val="24"/>
          <w:szCs w:val="24"/>
          <w:shd w:val="clear" w:color="auto" w:fill="FFFFFF"/>
        </w:rPr>
        <w:t>P(achieving MCID | comparator)</w:t>
      </w:r>
      <w:r w:rsidRPr="00F94C78">
        <w:rPr>
          <w:rFonts w:ascii="Times New Roman" w:hAnsi="Times New Roman" w:cs="Times New Roman"/>
          <w:color w:val="333333"/>
          <w:sz w:val="24"/>
          <w:szCs w:val="24"/>
          <w:shd w:val="clear" w:color="auto" w:fill="FFFFFF"/>
        </w:rPr>
        <w:br/>
      </w:r>
      <w:r w:rsidRPr="00F94C78">
        <w:rPr>
          <w:rFonts w:ascii="Times New Roman" w:hAnsi="Times New Roman" w:cs="Times New Roman"/>
          <w:color w:val="333333"/>
          <w:sz w:val="24"/>
          <w:szCs w:val="24"/>
          <w:shd w:val="clear" w:color="auto" w:fill="FFFFFF"/>
        </w:rPr>
        <w:lastRenderedPageBreak/>
        <w:t>where MCID denotes a fixed clinically interpretable threshold defined in Section S4.2.</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b/>
          <w:color w:val="333333"/>
          <w:sz w:val="28"/>
          <w:szCs w:val="28"/>
          <w:shd w:val="clear" w:color="auto" w:fill="FFFFFF"/>
        </w:rPr>
        <w:t>S4.3.3 Calculation of TLR</w:t>
      </w:r>
    </w:p>
    <w:p w:rsidR="00F94C7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shd w:val="clear" w:color="auto" w:fill="FFFFFF"/>
        </w:rPr>
        <w:br/>
        <w:t>TLR is computed as:</w:t>
      </w:r>
    </w:p>
    <w:p w:rsidR="00F94C7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r w:rsidRPr="00F94C78">
        <w:rPr>
          <w:rFonts w:ascii="Times New Roman" w:hAnsi="Times New Roman" w:cs="Times New Roman"/>
          <w:i/>
          <w:color w:val="333333"/>
          <w:sz w:val="24"/>
          <w:szCs w:val="24"/>
          <w:shd w:val="clear" w:color="auto" w:fill="FFFFFF"/>
        </w:rPr>
        <w:t xml:space="preserve">TLR = </w:t>
      </w:r>
      <w:proofErr w:type="gramStart"/>
      <w:r w:rsidRPr="00F94C78">
        <w:rPr>
          <w:rFonts w:ascii="Times New Roman" w:hAnsi="Times New Roman" w:cs="Times New Roman"/>
          <w:i/>
          <w:color w:val="333333"/>
          <w:sz w:val="24"/>
          <w:szCs w:val="24"/>
          <w:shd w:val="clear" w:color="auto" w:fill="FFFFFF"/>
        </w:rPr>
        <w:t>P(</w:t>
      </w:r>
      <w:proofErr w:type="gramEnd"/>
      <w:r w:rsidRPr="00F94C78">
        <w:rPr>
          <w:rFonts w:ascii="Times New Roman" w:hAnsi="Times New Roman" w:cs="Times New Roman"/>
          <w:i/>
          <w:color w:val="333333"/>
          <w:sz w:val="24"/>
          <w:szCs w:val="24"/>
          <w:shd w:val="clear" w:color="auto" w:fill="FFFFFF"/>
        </w:rPr>
        <w:t>achieving MCID | intervention) / P(achieving MCID | comparator)</w:t>
      </w:r>
    </w:p>
    <w:p w:rsidR="00D26A6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shd w:val="clear" w:color="auto" w:fill="FFFFFF"/>
        </w:rPr>
        <w:br/>
        <w:t>This ratio represents the relative probability of achieving a clinically meaningful improvement between groups.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D26A68">
        <w:rPr>
          <w:rFonts w:ascii="Times New Roman" w:hAnsi="Times New Roman" w:cs="Times New Roman"/>
          <w:b/>
          <w:color w:val="333333"/>
          <w:sz w:val="28"/>
          <w:szCs w:val="28"/>
          <w:shd w:val="clear" w:color="auto" w:fill="FFFFFF"/>
        </w:rPr>
        <w:t>S4.3.4 Illustrative example (sham comparison)</w:t>
      </w:r>
    </w:p>
    <w:p w:rsidR="00D26A68" w:rsidRDefault="005061B8" w:rsidP="00F94C78">
      <w:pPr>
        <w:rPr>
          <w:rFonts w:ascii="Times New Roman" w:hAnsi="Times New Roman" w:cs="Times New Roman" w:hint="eastAsia"/>
          <w:color w:val="333333"/>
          <w:sz w:val="24"/>
          <w:szCs w:val="24"/>
          <w:shd w:val="clear" w:color="auto" w:fill="FFFFFF"/>
        </w:rPr>
      </w:pPr>
      <w:r w:rsidRPr="00D26A68">
        <w:rPr>
          <w:rFonts w:ascii="Times New Roman" w:hAnsi="Times New Roman" w:cs="Times New Roman"/>
          <w:color w:val="333333"/>
          <w:sz w:val="24"/>
          <w:szCs w:val="24"/>
          <w:shd w:val="clear" w:color="auto" w:fill="FFFFFF"/>
        </w:rPr>
        <w:br/>
      </w:r>
      <w:r w:rsidRPr="00F94C78">
        <w:rPr>
          <w:rFonts w:ascii="Times New Roman" w:hAnsi="Times New Roman" w:cs="Times New Roman"/>
          <w:color w:val="333333"/>
          <w:sz w:val="24"/>
          <w:szCs w:val="24"/>
          <w:shd w:val="clear" w:color="auto" w:fill="FFFFFF"/>
        </w:rPr>
        <w:t>For the comparison between acupuncture and sham acupuncture, the reported effect size is SMD = −0.18.</w:t>
      </w:r>
    </w:p>
    <w:p w:rsidR="00D26A6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Under the standard normal re-expression, this corresponds to:</w:t>
      </w:r>
    </w:p>
    <w:p w:rsidR="00D26A6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proofErr w:type="gramStart"/>
      <w:r w:rsidRPr="00D26A68">
        <w:rPr>
          <w:rFonts w:ascii="Times New Roman" w:hAnsi="Times New Roman" w:cs="Times New Roman"/>
          <w:i/>
          <w:color w:val="333333"/>
          <w:sz w:val="24"/>
          <w:szCs w:val="24"/>
          <w:shd w:val="clear" w:color="auto" w:fill="FFFFFF"/>
        </w:rPr>
        <w:t>P(</w:t>
      </w:r>
      <w:proofErr w:type="gramEnd"/>
      <w:r w:rsidRPr="00D26A68">
        <w:rPr>
          <w:rFonts w:ascii="Times New Roman" w:hAnsi="Times New Roman" w:cs="Times New Roman"/>
          <w:i/>
          <w:color w:val="333333"/>
          <w:sz w:val="24"/>
          <w:szCs w:val="24"/>
          <w:shd w:val="clear" w:color="auto" w:fill="FFFFFF"/>
        </w:rPr>
        <w:t>achieving MCID | acupuncture) ≈ 0.571</w:t>
      </w:r>
      <w:r w:rsidRPr="00D26A68">
        <w:rPr>
          <w:rFonts w:ascii="Times New Roman" w:hAnsi="Times New Roman" w:cs="Times New Roman"/>
          <w:i/>
          <w:color w:val="333333"/>
          <w:sz w:val="24"/>
          <w:szCs w:val="24"/>
        </w:rPr>
        <w:br/>
      </w:r>
      <w:r w:rsidRPr="00D26A68">
        <w:rPr>
          <w:rFonts w:ascii="Times New Roman" w:hAnsi="Times New Roman" w:cs="Times New Roman"/>
          <w:i/>
          <w:color w:val="333333"/>
          <w:sz w:val="24"/>
          <w:szCs w:val="24"/>
          <w:shd w:val="clear" w:color="auto" w:fill="FFFFFF"/>
        </w:rPr>
        <w:t>P(achieving MCID | sham) ≈ 0.465</w:t>
      </w:r>
      <w:r w:rsidRPr="00D26A68">
        <w:rPr>
          <w:rFonts w:ascii="Times New Roman" w:hAnsi="Times New Roman" w:cs="Times New Roman"/>
          <w:i/>
          <w:color w:val="333333"/>
          <w:sz w:val="24"/>
          <w:szCs w:val="24"/>
        </w:rPr>
        <w:br/>
      </w:r>
      <w:r w:rsidRPr="00F94C78">
        <w:rPr>
          <w:rFonts w:ascii="Times New Roman" w:hAnsi="Times New Roman" w:cs="Times New Roman"/>
          <w:color w:val="333333"/>
          <w:sz w:val="24"/>
          <w:szCs w:val="24"/>
          <w:shd w:val="clear" w:color="auto" w:fill="FFFFFF"/>
        </w:rPr>
        <w:t>yielding:</w:t>
      </w:r>
    </w:p>
    <w:p w:rsidR="00D26A68" w:rsidRDefault="005061B8" w:rsidP="00F94C78">
      <w:pPr>
        <w:rPr>
          <w:rFonts w:ascii="Times New Roman" w:hAnsi="Times New Roman" w:cs="Times New Roman" w:hint="eastAsia"/>
          <w:color w:val="333333"/>
          <w:sz w:val="24"/>
          <w:szCs w:val="24"/>
        </w:rPr>
      </w:pPr>
      <w:r w:rsidRPr="00F94C78">
        <w:rPr>
          <w:rFonts w:ascii="Times New Roman" w:hAnsi="Times New Roman" w:cs="Times New Roman"/>
          <w:color w:val="333333"/>
          <w:sz w:val="24"/>
          <w:szCs w:val="24"/>
        </w:rPr>
        <w:br/>
      </w:r>
      <w:r w:rsidRPr="00D26A68">
        <w:rPr>
          <w:rFonts w:ascii="Times New Roman" w:hAnsi="Times New Roman" w:cs="Times New Roman"/>
          <w:i/>
          <w:color w:val="333333"/>
          <w:sz w:val="24"/>
          <w:szCs w:val="24"/>
          <w:shd w:val="clear" w:color="auto" w:fill="FFFFFF"/>
        </w:rPr>
        <w:t xml:space="preserve">TLR ≈ </w:t>
      </w:r>
      <w:proofErr w:type="gramStart"/>
      <w:r w:rsidRPr="00D26A68">
        <w:rPr>
          <w:rFonts w:ascii="Times New Roman" w:hAnsi="Times New Roman" w:cs="Times New Roman"/>
          <w:i/>
          <w:color w:val="333333"/>
          <w:sz w:val="24"/>
          <w:szCs w:val="24"/>
          <w:shd w:val="clear" w:color="auto" w:fill="FFFFFF"/>
        </w:rPr>
        <w:t>1.23</w:t>
      </w:r>
      <w:r w:rsidRPr="00D26A68">
        <w:rPr>
          <w:rFonts w:ascii="Times New Roman" w:hAnsi="Times New Roman" w:cs="Times New Roman"/>
          <w:i/>
          <w:color w:val="333333"/>
          <w:sz w:val="24"/>
          <w:szCs w:val="24"/>
        </w:rPr>
        <w:br/>
      </w:r>
      <w:r w:rsidRPr="00F94C78">
        <w:rPr>
          <w:rFonts w:ascii="Times New Roman" w:hAnsi="Times New Roman" w:cs="Times New Roman"/>
          <w:color w:val="333333"/>
          <w:sz w:val="24"/>
          <w:szCs w:val="24"/>
        </w:rPr>
        <w:br/>
      </w:r>
      <w:r w:rsidRPr="00D26A68">
        <w:rPr>
          <w:rFonts w:ascii="Times New Roman" w:hAnsi="Times New Roman" w:cs="Times New Roman"/>
          <w:b/>
          <w:color w:val="333333"/>
          <w:sz w:val="28"/>
          <w:szCs w:val="28"/>
          <w:shd w:val="clear" w:color="auto" w:fill="FFFFFF"/>
        </w:rPr>
        <w:t>S4.3.5 Responder-based comparison</w:t>
      </w:r>
      <w:proofErr w:type="gramEnd"/>
      <w:r w:rsidRPr="00D26A68">
        <w:rPr>
          <w:rFonts w:ascii="Times New Roman" w:hAnsi="Times New Roman" w:cs="Times New Roman"/>
          <w:b/>
          <w:color w:val="333333"/>
          <w:sz w:val="28"/>
          <w:szCs w:val="28"/>
          <w:shd w:val="clear" w:color="auto" w:fill="FFFFFF"/>
        </w:rPr>
        <w:t xml:space="preserve"> (RR)</w:t>
      </w:r>
    </w:p>
    <w:p w:rsidR="00D26A6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The same dataset reports responder rates defined as ≥50% reduction in headache frequency:</w:t>
      </w:r>
    </w:p>
    <w:p w:rsidR="00D26A6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r w:rsidRPr="00D26A68">
        <w:rPr>
          <w:rFonts w:ascii="Times New Roman" w:hAnsi="Times New Roman" w:cs="Times New Roman"/>
          <w:i/>
          <w:color w:val="333333"/>
          <w:sz w:val="24"/>
          <w:szCs w:val="24"/>
          <w:shd w:val="clear" w:color="auto" w:fill="FFFFFF"/>
        </w:rPr>
        <w:t>Acupuncture: 50%</w:t>
      </w:r>
      <w:r w:rsidRPr="00D26A68">
        <w:rPr>
          <w:rFonts w:ascii="Times New Roman" w:hAnsi="Times New Roman" w:cs="Times New Roman"/>
          <w:i/>
          <w:color w:val="333333"/>
          <w:sz w:val="24"/>
          <w:szCs w:val="24"/>
        </w:rPr>
        <w:br/>
      </w:r>
      <w:r w:rsidRPr="00D26A68">
        <w:rPr>
          <w:rFonts w:ascii="Times New Roman" w:hAnsi="Times New Roman" w:cs="Times New Roman"/>
          <w:i/>
          <w:color w:val="333333"/>
          <w:sz w:val="24"/>
          <w:szCs w:val="24"/>
          <w:shd w:val="clear" w:color="auto" w:fill="FFFFFF"/>
        </w:rPr>
        <w:t>Sham: 41%</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resulting in:</w:t>
      </w:r>
    </w:p>
    <w:p w:rsidR="00D26A68" w:rsidRDefault="005061B8" w:rsidP="00F94C78">
      <w:pPr>
        <w:rPr>
          <w:rFonts w:ascii="Times New Roman" w:hAnsi="Times New Roman" w:cs="Times New Roman" w:hint="eastAsia"/>
          <w:color w:val="333333"/>
          <w:sz w:val="24"/>
          <w:szCs w:val="24"/>
        </w:rPr>
      </w:pPr>
      <w:r w:rsidRPr="00F94C78">
        <w:rPr>
          <w:rFonts w:ascii="Times New Roman" w:hAnsi="Times New Roman" w:cs="Times New Roman"/>
          <w:color w:val="333333"/>
          <w:sz w:val="24"/>
          <w:szCs w:val="24"/>
        </w:rPr>
        <w:br/>
      </w:r>
      <w:r w:rsidRPr="00D26A68">
        <w:rPr>
          <w:rFonts w:ascii="Times New Roman" w:hAnsi="Times New Roman" w:cs="Times New Roman"/>
          <w:i/>
          <w:color w:val="333333"/>
          <w:sz w:val="24"/>
          <w:szCs w:val="24"/>
          <w:shd w:val="clear" w:color="auto" w:fill="FFFFFF"/>
        </w:rPr>
        <w:t>RR ≈ 1.22</w:t>
      </w:r>
      <w:r w:rsidRPr="00D26A68">
        <w:rPr>
          <w:rFonts w:ascii="Times New Roman" w:hAnsi="Times New Roman" w:cs="Times New Roman"/>
          <w:i/>
          <w:color w:val="333333"/>
          <w:sz w:val="24"/>
          <w:szCs w:val="24"/>
        </w:rPr>
        <w:br/>
      </w:r>
      <w:r w:rsidRPr="00F94C78">
        <w:rPr>
          <w:rFonts w:ascii="Times New Roman" w:hAnsi="Times New Roman" w:cs="Times New Roman"/>
          <w:color w:val="333333"/>
          <w:sz w:val="24"/>
          <w:szCs w:val="24"/>
        </w:rPr>
        <w:br/>
      </w:r>
      <w:r w:rsidRPr="00D26A68">
        <w:rPr>
          <w:rFonts w:ascii="Times New Roman" w:hAnsi="Times New Roman" w:cs="Times New Roman"/>
          <w:b/>
          <w:color w:val="333333"/>
          <w:sz w:val="28"/>
          <w:szCs w:val="28"/>
          <w:shd w:val="clear" w:color="auto" w:fill="FFFFFF"/>
        </w:rPr>
        <w:t>S4.3.6 Summary of re-expression</w:t>
      </w:r>
    </w:p>
    <w:p w:rsidR="00D26A6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lastRenderedPageBreak/>
        <w:br/>
      </w:r>
      <w:r w:rsidRPr="00F94C78">
        <w:rPr>
          <w:rFonts w:ascii="Times New Roman" w:hAnsi="Times New Roman" w:cs="Times New Roman"/>
          <w:color w:val="333333"/>
          <w:sz w:val="24"/>
          <w:szCs w:val="24"/>
          <w:shd w:val="clear" w:color="auto" w:fill="FFFFFF"/>
        </w:rPr>
        <w:t>This example demonstrates that continuous-outcome-based re-expression (SMD → probability → TLR) and binary responder analysis (RR) can be expressed within a consistent probabilistic framework.</w:t>
      </w:r>
    </w:p>
    <w:p w:rsidR="00D26A6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Rather than representing competing effect measures, these re-expressions reflect different projections of the same outcome structure under a shared probabilistic representation.</w:t>
      </w:r>
    </w:p>
    <w:p w:rsidR="00D26A68" w:rsidRDefault="005061B8" w:rsidP="00F94C78">
      <w:pPr>
        <w:rPr>
          <w:rFonts w:ascii="Times New Roman" w:hAnsi="Times New Roman" w:cs="Times New Roman" w:hint="eastAsia"/>
          <w:color w:val="333333"/>
          <w:sz w:val="24"/>
          <w:szCs w:val="24"/>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This section is intended as an illustrative example of the computational procedure.</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D26A68">
        <w:rPr>
          <w:rFonts w:ascii="Times New Roman" w:hAnsi="Times New Roman" w:cs="Times New Roman"/>
          <w:b/>
          <w:color w:val="333333"/>
          <w:sz w:val="28"/>
          <w:szCs w:val="28"/>
          <w:shd w:val="clear" w:color="auto" w:fill="FFFFFF"/>
        </w:rPr>
        <w:t>S4.3.7 Interpretation of TLR</w:t>
      </w:r>
    </w:p>
    <w:p w:rsidR="00D26A6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The interpretation of TLR follows a probability-based comparison:</w:t>
      </w:r>
    </w:p>
    <w:p w:rsidR="00D26A6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r w:rsidR="00D26A68">
        <w:rPr>
          <w:rFonts w:ascii="Times New Roman" w:hAnsi="Times New Roman" w:cs="Times New Roman"/>
          <w:color w:val="333333"/>
          <w:sz w:val="24"/>
          <w:szCs w:val="24"/>
          <w:shd w:val="clear" w:color="auto" w:fill="FFFFFF"/>
        </w:rPr>
        <w:t>・</w:t>
      </w:r>
      <w:r w:rsidRPr="00F94C78">
        <w:rPr>
          <w:rFonts w:ascii="Times New Roman" w:hAnsi="Times New Roman" w:cs="Times New Roman"/>
          <w:color w:val="333333"/>
          <w:sz w:val="24"/>
          <w:szCs w:val="24"/>
          <w:shd w:val="clear" w:color="auto" w:fill="FFFFFF"/>
        </w:rPr>
        <w:t>TLR = 1 indicates no difference in the probability of achieving a clinically meaningful improvement.</w:t>
      </w:r>
      <w:r w:rsidRPr="00F94C78">
        <w:rPr>
          <w:rFonts w:ascii="Times New Roman" w:hAnsi="Times New Roman" w:cs="Times New Roman"/>
          <w:color w:val="333333"/>
          <w:sz w:val="24"/>
          <w:szCs w:val="24"/>
        </w:rPr>
        <w:br/>
      </w:r>
      <w:r w:rsidR="00D26A68">
        <w:rPr>
          <w:rFonts w:ascii="Times New Roman" w:hAnsi="Times New Roman" w:cs="Times New Roman"/>
          <w:color w:val="333333"/>
          <w:sz w:val="24"/>
          <w:szCs w:val="24"/>
          <w:shd w:val="clear" w:color="auto" w:fill="FFFFFF"/>
        </w:rPr>
        <w:t>・</w:t>
      </w:r>
      <w:r w:rsidRPr="00F94C78">
        <w:rPr>
          <w:rFonts w:ascii="Times New Roman" w:hAnsi="Times New Roman" w:cs="Times New Roman"/>
          <w:color w:val="333333"/>
          <w:sz w:val="24"/>
          <w:szCs w:val="24"/>
          <w:shd w:val="clear" w:color="auto" w:fill="FFFFFF"/>
        </w:rPr>
        <w:t>TLR &gt; 1 indicates a higher probability of improvement in the intervention group.</w:t>
      </w:r>
      <w:r w:rsidRPr="00F94C78">
        <w:rPr>
          <w:rFonts w:ascii="Times New Roman" w:hAnsi="Times New Roman" w:cs="Times New Roman"/>
          <w:color w:val="333333"/>
          <w:sz w:val="24"/>
          <w:szCs w:val="24"/>
        </w:rPr>
        <w:br/>
      </w:r>
      <w:r w:rsidR="00D26A68">
        <w:rPr>
          <w:rFonts w:ascii="Times New Roman" w:hAnsi="Times New Roman" w:cs="Times New Roman"/>
          <w:color w:val="333333"/>
          <w:sz w:val="24"/>
          <w:szCs w:val="24"/>
          <w:shd w:val="clear" w:color="auto" w:fill="FFFFFF"/>
        </w:rPr>
        <w:t>・</w:t>
      </w:r>
      <w:r w:rsidRPr="00F94C78">
        <w:rPr>
          <w:rFonts w:ascii="Times New Roman" w:hAnsi="Times New Roman" w:cs="Times New Roman"/>
          <w:color w:val="333333"/>
          <w:sz w:val="24"/>
          <w:szCs w:val="24"/>
          <w:shd w:val="clear" w:color="auto" w:fill="FFFFFF"/>
        </w:rPr>
        <w:t>TLR &lt; 1 indicates a lower probability of improvement.</w:t>
      </w:r>
    </w:p>
    <w:p w:rsidR="00D26A68" w:rsidRDefault="005061B8" w:rsidP="00F94C78">
      <w:pPr>
        <w:rPr>
          <w:rFonts w:ascii="Times New Roman" w:hAnsi="Times New Roman" w:cs="Times New Roman" w:hint="eastAsia"/>
          <w:b/>
          <w:color w:val="333333"/>
          <w:sz w:val="28"/>
          <w:szCs w:val="28"/>
          <w:shd w:val="clear" w:color="auto" w:fill="FFFFFF"/>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The range of TLR values across studies reflects variability across clinical contexts rather than statistical uncertainty.</w:t>
      </w:r>
      <w:r w:rsidR="00D26A68">
        <w:rPr>
          <w:rFonts w:ascii="Times New Roman" w:hAnsi="Times New Roman" w:cs="Times New Roman"/>
          <w:color w:val="333333"/>
          <w:sz w:val="24"/>
          <w:szCs w:val="24"/>
        </w:rPr>
        <w:br/>
      </w:r>
      <w:r w:rsidR="00D26A6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proofErr w:type="gramStart"/>
      <w:r w:rsidRPr="00D26A68">
        <w:rPr>
          <w:rFonts w:ascii="Times New Roman" w:hAnsi="Times New Roman" w:cs="Times New Roman"/>
          <w:b/>
          <w:color w:val="333333"/>
          <w:sz w:val="28"/>
          <w:szCs w:val="28"/>
          <w:shd w:val="clear" w:color="auto" w:fill="FFFFFF"/>
        </w:rPr>
        <w:t>Supplementary Section S5.</w:t>
      </w:r>
      <w:proofErr w:type="gramEnd"/>
      <w:r w:rsidRPr="00D26A68">
        <w:rPr>
          <w:rFonts w:ascii="Times New Roman" w:hAnsi="Times New Roman" w:cs="Times New Roman"/>
          <w:b/>
          <w:color w:val="333333"/>
          <w:sz w:val="28"/>
          <w:szCs w:val="28"/>
          <w:shd w:val="clear" w:color="auto" w:fill="FFFFFF"/>
        </w:rPr>
        <w:t xml:space="preserve"> Statistical Properties and Validity of TLR</w:t>
      </w:r>
    </w:p>
    <w:p w:rsidR="00D26A68" w:rsidRDefault="005061B8" w:rsidP="00F94C78">
      <w:pPr>
        <w:rPr>
          <w:rFonts w:ascii="Times New Roman" w:hAnsi="Times New Roman" w:cs="Times New Roman" w:hint="eastAsia"/>
          <w:b/>
          <w:color w:val="333333"/>
          <w:sz w:val="28"/>
          <w:szCs w:val="28"/>
          <w:shd w:val="clear" w:color="auto" w:fill="FFFFFF"/>
        </w:rPr>
      </w:pPr>
      <w:r w:rsidRPr="00D26A68">
        <w:rPr>
          <w:rFonts w:ascii="Times New Roman" w:hAnsi="Times New Roman" w:cs="Times New Roman"/>
          <w:b/>
          <w:color w:val="333333"/>
          <w:sz w:val="28"/>
          <w:szCs w:val="28"/>
        </w:rPr>
        <w:br/>
      </w:r>
      <w:r w:rsidRPr="00D26A68">
        <w:rPr>
          <w:rFonts w:ascii="Times New Roman" w:hAnsi="Times New Roman" w:cs="Times New Roman"/>
          <w:b/>
          <w:color w:val="333333"/>
          <w:sz w:val="28"/>
          <w:szCs w:val="28"/>
          <w:shd w:val="clear" w:color="auto" w:fill="FFFFFF"/>
        </w:rPr>
        <w:t>S5.1 Summary table of related metrics</w:t>
      </w:r>
    </w:p>
    <w:p w:rsidR="00D26A68" w:rsidRDefault="005061B8" w:rsidP="00F94C78">
      <w:pPr>
        <w:rPr>
          <w:rFonts w:ascii="Times New Roman" w:hAnsi="Times New Roman" w:cs="Times New Roman" w:hint="eastAsia"/>
          <w:color w:val="333333"/>
          <w:sz w:val="24"/>
          <w:szCs w:val="24"/>
          <w:shd w:val="clear" w:color="auto" w:fill="FFFFFF"/>
        </w:rPr>
      </w:pPr>
      <w:r w:rsidRPr="00D26A68">
        <w:rPr>
          <w:rFonts w:ascii="Times New Roman" w:hAnsi="Times New Roman" w:cs="Times New Roman"/>
          <w:b/>
          <w:color w:val="333333"/>
          <w:sz w:val="28"/>
          <w:szCs w:val="28"/>
        </w:rPr>
        <w:br/>
      </w:r>
      <w:r w:rsidRPr="00F94C78">
        <w:rPr>
          <w:rFonts w:ascii="Times New Roman" w:hAnsi="Times New Roman" w:cs="Times New Roman"/>
          <w:color w:val="333333"/>
          <w:sz w:val="24"/>
          <w:szCs w:val="24"/>
          <w:shd w:val="clear" w:color="auto" w:fill="FFFFFF"/>
        </w:rPr>
        <w:t>Relationships with existing metrics (OR, RR, LR, NNT, etc.) are summarized in Table S2 (conceptual relationships) and Table S4 (empirical correspondence).</w:t>
      </w:r>
    </w:p>
    <w:p w:rsidR="00E9538E" w:rsidRDefault="005061B8" w:rsidP="00F94C78">
      <w:pPr>
        <w:rPr>
          <w:rFonts w:ascii="Times New Roman" w:hAnsi="Times New Roman" w:cs="Times New Roman" w:hint="eastAsia"/>
          <w:color w:val="333333"/>
          <w:sz w:val="24"/>
          <w:szCs w:val="24"/>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While the TLR can be expressed in a form analogous to a risk ratio, it is defined with respect to the probability of exceeding a clinically meaningful threshold (MCID), rather than directly observed event rates.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 xml:space="preserve">Accordingly, the TLR should not be interpreted as a conventional risk ratio, but as a </w:t>
      </w:r>
      <w:r w:rsidRPr="00F94C78">
        <w:rPr>
          <w:rFonts w:ascii="Times New Roman" w:hAnsi="Times New Roman" w:cs="Times New Roman"/>
          <w:color w:val="333333"/>
          <w:sz w:val="24"/>
          <w:szCs w:val="24"/>
          <w:shd w:val="clear" w:color="auto" w:fill="FFFFFF"/>
        </w:rPr>
        <w:lastRenderedPageBreak/>
        <w:t>re-expression of treatment effects within a clinically anchored probabilistic framework.</w:t>
      </w:r>
      <w:r w:rsidRPr="00F94C78">
        <w:rPr>
          <w:rFonts w:ascii="Times New Roman" w:hAnsi="Times New Roman" w:cs="Times New Roman"/>
          <w:color w:val="333333"/>
          <w:sz w:val="24"/>
          <w:szCs w:val="24"/>
        </w:rPr>
        <w:br/>
      </w:r>
    </w:p>
    <w:p w:rsidR="00E9538E" w:rsidRDefault="00E9538E" w:rsidP="00E9538E">
      <w:pPr>
        <w:rPr>
          <w:rFonts w:ascii="Times New Roman" w:hAnsi="Times New Roman" w:cs="Times New Roman" w:hint="eastAsia"/>
          <w:color w:val="333333"/>
          <w:sz w:val="24"/>
          <w:szCs w:val="24"/>
          <w:shd w:val="clear" w:color="auto" w:fill="FFFFFF"/>
        </w:rPr>
      </w:pPr>
      <w:proofErr w:type="gramStart"/>
      <w:r w:rsidRPr="00DE55E5">
        <w:rPr>
          <w:rFonts w:ascii="Times New Roman" w:hAnsi="Times New Roman" w:cs="Times New Roman"/>
          <w:b/>
          <w:color w:val="333333"/>
          <w:sz w:val="24"/>
          <w:szCs w:val="24"/>
          <w:shd w:val="clear" w:color="auto" w:fill="FFFFFF"/>
        </w:rPr>
        <w:t>Supplementary Table S2.</w:t>
      </w:r>
      <w:proofErr w:type="gramEnd"/>
      <w:r w:rsidRPr="00DE55E5">
        <w:rPr>
          <w:rFonts w:ascii="Times New Roman" w:hAnsi="Times New Roman" w:cs="Times New Roman"/>
          <w:b/>
          <w:color w:val="333333"/>
          <w:sz w:val="24"/>
          <w:szCs w:val="24"/>
          <w:shd w:val="clear" w:color="auto" w:fill="FFFFFF"/>
        </w:rPr>
        <w:t xml:space="preserve"> Indicators related to S5 (Statistical properties and comparative metrics)</w:t>
      </w:r>
    </w:p>
    <w:p w:rsidR="00E9538E" w:rsidRDefault="00E9538E" w:rsidP="00E9538E">
      <w:pPr>
        <w:rPr>
          <w:rFonts w:ascii="Times New Roman" w:hAnsi="Times New Roman" w:cs="Times New Roman" w:hint="eastAsia"/>
          <w:color w:val="333333"/>
          <w:sz w:val="24"/>
          <w:szCs w:val="24"/>
        </w:rPr>
      </w:pPr>
      <w:r w:rsidRPr="00DE55E5">
        <w:rPr>
          <w:rFonts w:ascii="Times New Roman" w:hAnsi="Times New Roman" w:cs="Times New Roman"/>
          <w:color w:val="333333"/>
          <w:sz w:val="24"/>
          <w:szCs w:val="24"/>
          <w:shd w:val="clear" w:color="auto" w:fill="FFFFFF"/>
        </w:rPr>
        <w:br/>
      </w:r>
      <w:r w:rsidRPr="00F94C78">
        <w:rPr>
          <w:rFonts w:ascii="Times New Roman" w:hAnsi="Times New Roman" w:cs="Times New Roman"/>
          <w:color w:val="333333"/>
          <w:sz w:val="24"/>
          <w:szCs w:val="24"/>
          <w:shd w:val="clear" w:color="auto" w:fill="FFFFFF"/>
        </w:rPr>
        <w:t>This table summarizes the conceptual and structural relationships between the TLR and conventional effect metrics, including OR, RR, NNT, and SMD. The purpose of this comparison is to clarify the positioning of TLR within existing statistical structure and to support interpretability. These relationships are presented descriptively and do not imply equivalence or interchangeability between measures.</w:t>
      </w:r>
      <w:r w:rsidRPr="00F94C78">
        <w:rPr>
          <w:rFonts w:ascii="Times New Roman" w:hAnsi="Times New Roman" w:cs="Times New Roman"/>
          <w:color w:val="333333"/>
          <w:sz w:val="24"/>
          <w:szCs w:val="24"/>
        </w:rPr>
        <w:br/>
      </w:r>
    </w:p>
    <w:p w:rsidR="00E9538E" w:rsidRDefault="00E9538E" w:rsidP="00F94C78">
      <w:pPr>
        <w:rPr>
          <w:rFonts w:ascii="Times New Roman" w:hAnsi="Times New Roman" w:cs="Times New Roman"/>
          <w:color w:val="333333"/>
          <w:sz w:val="24"/>
          <w:szCs w:val="24"/>
        </w:rPr>
        <w:sectPr w:rsidR="00E9538E" w:rsidSect="00E9538E">
          <w:pgSz w:w="11906" w:h="16838"/>
          <w:pgMar w:top="1985" w:right="1701" w:bottom="1701" w:left="1701" w:header="851" w:footer="992" w:gutter="0"/>
          <w:cols w:space="425"/>
          <w:docGrid w:type="lines" w:linePitch="360"/>
        </w:sectPr>
      </w:pPr>
    </w:p>
    <w:tbl>
      <w:tblPr>
        <w:tblStyle w:val="a4"/>
        <w:tblW w:w="0" w:type="auto"/>
        <w:tblLook w:val="04A0"/>
      </w:tblPr>
      <w:tblGrid>
        <w:gridCol w:w="2046"/>
        <w:gridCol w:w="2064"/>
        <w:gridCol w:w="1456"/>
        <w:gridCol w:w="1757"/>
        <w:gridCol w:w="1941"/>
        <w:gridCol w:w="2093"/>
        <w:gridCol w:w="2011"/>
      </w:tblGrid>
      <w:tr w:rsidR="00E9538E" w:rsidRPr="00E9538E" w:rsidTr="00E9538E">
        <w:trPr>
          <w:trHeight w:val="645"/>
        </w:trPr>
        <w:tc>
          <w:tcPr>
            <w:tcW w:w="2240" w:type="dxa"/>
            <w:hideMark/>
          </w:tcPr>
          <w:p w:rsidR="00E9538E" w:rsidRPr="00E9538E" w:rsidRDefault="00E9538E" w:rsidP="00E9538E">
            <w:pPr>
              <w:rPr>
                <w:rFonts w:ascii="Times New Roman" w:hAnsi="Times New Roman" w:cs="Times New Roman"/>
                <w:b/>
                <w:bCs/>
                <w:color w:val="333333"/>
                <w:sz w:val="24"/>
                <w:szCs w:val="24"/>
              </w:rPr>
            </w:pPr>
            <w:r w:rsidRPr="00E9538E">
              <w:rPr>
                <w:rFonts w:ascii="Times New Roman" w:hAnsi="Times New Roman" w:cs="Times New Roman"/>
                <w:b/>
                <w:bCs/>
                <w:color w:val="333333"/>
                <w:sz w:val="24"/>
                <w:szCs w:val="24"/>
              </w:rPr>
              <w:lastRenderedPageBreak/>
              <w:t>Indicator</w:t>
            </w:r>
          </w:p>
        </w:tc>
        <w:tc>
          <w:tcPr>
            <w:tcW w:w="2180" w:type="dxa"/>
            <w:hideMark/>
          </w:tcPr>
          <w:p w:rsidR="00E9538E" w:rsidRPr="00E9538E" w:rsidRDefault="00E9538E" w:rsidP="00E9538E">
            <w:pPr>
              <w:rPr>
                <w:rFonts w:ascii="Times New Roman" w:hAnsi="Times New Roman" w:cs="Times New Roman"/>
                <w:b/>
                <w:bCs/>
                <w:color w:val="333333"/>
                <w:sz w:val="24"/>
                <w:szCs w:val="24"/>
              </w:rPr>
            </w:pPr>
            <w:r w:rsidRPr="00E9538E">
              <w:rPr>
                <w:rFonts w:ascii="Times New Roman" w:hAnsi="Times New Roman" w:cs="Times New Roman"/>
                <w:b/>
                <w:bCs/>
                <w:color w:val="333333"/>
                <w:sz w:val="24"/>
                <w:szCs w:val="24"/>
              </w:rPr>
              <w:t>Primary Focus</w:t>
            </w:r>
          </w:p>
        </w:tc>
        <w:tc>
          <w:tcPr>
            <w:tcW w:w="1540" w:type="dxa"/>
            <w:hideMark/>
          </w:tcPr>
          <w:p w:rsidR="00E9538E" w:rsidRPr="00E9538E" w:rsidRDefault="00E9538E" w:rsidP="00E9538E">
            <w:pPr>
              <w:rPr>
                <w:rFonts w:ascii="Times New Roman" w:hAnsi="Times New Roman" w:cs="Times New Roman"/>
                <w:b/>
                <w:bCs/>
                <w:color w:val="333333"/>
                <w:sz w:val="24"/>
                <w:szCs w:val="24"/>
              </w:rPr>
            </w:pPr>
            <w:r w:rsidRPr="00E9538E">
              <w:rPr>
                <w:rFonts w:ascii="Times New Roman" w:hAnsi="Times New Roman" w:cs="Times New Roman"/>
                <w:b/>
                <w:bCs/>
                <w:color w:val="333333"/>
                <w:sz w:val="24"/>
                <w:szCs w:val="24"/>
              </w:rPr>
              <w:t>Unit</w:t>
            </w:r>
          </w:p>
        </w:tc>
        <w:tc>
          <w:tcPr>
            <w:tcW w:w="1760" w:type="dxa"/>
            <w:hideMark/>
          </w:tcPr>
          <w:p w:rsidR="00E9538E" w:rsidRPr="00E9538E" w:rsidRDefault="00E9538E" w:rsidP="00E9538E">
            <w:pPr>
              <w:rPr>
                <w:rFonts w:ascii="Times New Roman" w:hAnsi="Times New Roman" w:cs="Times New Roman"/>
                <w:b/>
                <w:bCs/>
                <w:color w:val="333333"/>
                <w:sz w:val="24"/>
                <w:szCs w:val="24"/>
              </w:rPr>
            </w:pPr>
            <w:r w:rsidRPr="00E9538E">
              <w:rPr>
                <w:rFonts w:ascii="Times New Roman" w:hAnsi="Times New Roman" w:cs="Times New Roman"/>
                <w:b/>
                <w:bCs/>
                <w:color w:val="333333"/>
                <w:sz w:val="24"/>
                <w:szCs w:val="24"/>
              </w:rPr>
              <w:t>Level</w:t>
            </w:r>
          </w:p>
        </w:tc>
        <w:tc>
          <w:tcPr>
            <w:tcW w:w="2140" w:type="dxa"/>
            <w:hideMark/>
          </w:tcPr>
          <w:p w:rsidR="00E9538E" w:rsidRPr="00E9538E" w:rsidRDefault="00E9538E" w:rsidP="00E9538E">
            <w:pPr>
              <w:rPr>
                <w:rFonts w:ascii="Times New Roman" w:hAnsi="Times New Roman" w:cs="Times New Roman"/>
                <w:b/>
                <w:bCs/>
                <w:color w:val="333333"/>
                <w:sz w:val="24"/>
                <w:szCs w:val="24"/>
              </w:rPr>
            </w:pPr>
            <w:r w:rsidRPr="00E9538E">
              <w:rPr>
                <w:rFonts w:ascii="Times New Roman" w:hAnsi="Times New Roman" w:cs="Times New Roman"/>
                <w:b/>
                <w:bCs/>
                <w:color w:val="333333"/>
                <w:sz w:val="24"/>
                <w:szCs w:val="24"/>
              </w:rPr>
              <w:t>Advantages</w:t>
            </w:r>
          </w:p>
        </w:tc>
        <w:tc>
          <w:tcPr>
            <w:tcW w:w="2140" w:type="dxa"/>
            <w:hideMark/>
          </w:tcPr>
          <w:p w:rsidR="00E9538E" w:rsidRPr="00E9538E" w:rsidRDefault="00E9538E" w:rsidP="00E9538E">
            <w:pPr>
              <w:rPr>
                <w:rFonts w:ascii="Times New Roman" w:hAnsi="Times New Roman" w:cs="Times New Roman"/>
                <w:b/>
                <w:bCs/>
                <w:color w:val="333333"/>
                <w:sz w:val="24"/>
                <w:szCs w:val="24"/>
              </w:rPr>
            </w:pPr>
            <w:r w:rsidRPr="00E9538E">
              <w:rPr>
                <w:rFonts w:ascii="Times New Roman" w:hAnsi="Times New Roman" w:cs="Times New Roman"/>
                <w:b/>
                <w:bCs/>
                <w:color w:val="333333"/>
                <w:sz w:val="24"/>
                <w:szCs w:val="24"/>
              </w:rPr>
              <w:t>Limitations</w:t>
            </w:r>
          </w:p>
        </w:tc>
        <w:tc>
          <w:tcPr>
            <w:tcW w:w="2160" w:type="dxa"/>
            <w:hideMark/>
          </w:tcPr>
          <w:p w:rsidR="00E9538E" w:rsidRPr="00E9538E" w:rsidRDefault="00E9538E" w:rsidP="00E9538E">
            <w:pPr>
              <w:rPr>
                <w:rFonts w:ascii="Times New Roman" w:hAnsi="Times New Roman" w:cs="Times New Roman"/>
                <w:b/>
                <w:bCs/>
                <w:color w:val="333333"/>
                <w:sz w:val="24"/>
                <w:szCs w:val="24"/>
              </w:rPr>
            </w:pPr>
            <w:r w:rsidRPr="00E9538E">
              <w:rPr>
                <w:rFonts w:ascii="Times New Roman" w:hAnsi="Times New Roman" w:cs="Times New Roman"/>
                <w:b/>
                <w:bCs/>
                <w:color w:val="333333"/>
                <w:sz w:val="24"/>
                <w:szCs w:val="24"/>
              </w:rPr>
              <w:t>Clinical Interpretation</w:t>
            </w:r>
          </w:p>
        </w:tc>
      </w:tr>
      <w:tr w:rsidR="00E9538E" w:rsidRPr="00E9538E" w:rsidTr="00E9538E">
        <w:trPr>
          <w:trHeight w:val="3570"/>
        </w:trPr>
        <w:tc>
          <w:tcPr>
            <w:tcW w:w="2240" w:type="dxa"/>
            <w:hideMark/>
          </w:tcPr>
          <w:p w:rsidR="00E9538E" w:rsidRPr="00E9538E" w:rsidRDefault="00E9538E">
            <w:pPr>
              <w:rPr>
                <w:rFonts w:ascii="Times New Roman" w:hAnsi="Times New Roman" w:cs="Times New Roman"/>
                <w:b/>
                <w:bCs/>
                <w:color w:val="333333"/>
                <w:sz w:val="24"/>
                <w:szCs w:val="24"/>
              </w:rPr>
            </w:pPr>
            <w:r w:rsidRPr="00E9538E">
              <w:rPr>
                <w:rFonts w:ascii="Times New Roman" w:hAnsi="Times New Roman" w:cs="Times New Roman"/>
                <w:b/>
                <w:bCs/>
                <w:color w:val="333333"/>
                <w:sz w:val="24"/>
                <w:szCs w:val="24"/>
              </w:rPr>
              <w:t>TLR (Therapeutic Leverage Ratio)</w:t>
            </w:r>
          </w:p>
        </w:tc>
        <w:tc>
          <w:tcPr>
            <w:tcW w:w="218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Amplification of individual probability of achieving MCID</w:t>
            </w:r>
          </w:p>
        </w:tc>
        <w:tc>
          <w:tcPr>
            <w:tcW w:w="15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Ratio</w:t>
            </w:r>
          </w:p>
        </w:tc>
        <w:tc>
          <w:tcPr>
            <w:tcW w:w="176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Individual level</w:t>
            </w:r>
          </w:p>
        </w:tc>
        <w:tc>
          <w:tcPr>
            <w:tcW w:w="21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Re-expresses treatment effects as probability of achieving MCID/ captures both improvement and deterioration / relatively robust to MCID threshold variation</w:t>
            </w:r>
          </w:p>
        </w:tc>
        <w:tc>
          <w:tcPr>
            <w:tcW w:w="21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Requires definition of MCID / derived from aggregate data when IPD unavailable / context-dependent</w:t>
            </w:r>
          </w:p>
        </w:tc>
        <w:tc>
          <w:tcPr>
            <w:tcW w:w="216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Indicates how much the probability of clinically meaningful improvement is amplified by an intervention (e.g., TLR = 1.5-2.0)</w:t>
            </w:r>
          </w:p>
        </w:tc>
      </w:tr>
      <w:tr w:rsidR="00E9538E" w:rsidRPr="00E9538E" w:rsidTr="00E9538E">
        <w:trPr>
          <w:trHeight w:val="2265"/>
        </w:trPr>
        <w:tc>
          <w:tcPr>
            <w:tcW w:w="2240" w:type="dxa"/>
            <w:hideMark/>
          </w:tcPr>
          <w:p w:rsidR="00E9538E" w:rsidRPr="00E9538E" w:rsidRDefault="00E9538E">
            <w:pPr>
              <w:rPr>
                <w:rFonts w:ascii="Times New Roman" w:hAnsi="Times New Roman" w:cs="Times New Roman"/>
                <w:b/>
                <w:bCs/>
                <w:color w:val="333333"/>
                <w:sz w:val="24"/>
                <w:szCs w:val="24"/>
              </w:rPr>
            </w:pPr>
            <w:r w:rsidRPr="00E9538E">
              <w:rPr>
                <w:rFonts w:ascii="Times New Roman" w:hAnsi="Times New Roman" w:cs="Times New Roman"/>
                <w:b/>
                <w:bCs/>
                <w:color w:val="333333"/>
                <w:sz w:val="24"/>
                <w:szCs w:val="24"/>
              </w:rPr>
              <w:t>NNT (Number Needed to Treat)</w:t>
            </w:r>
          </w:p>
        </w:tc>
        <w:tc>
          <w:tcPr>
            <w:tcW w:w="218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Population-level treatment efficiency</w:t>
            </w:r>
          </w:p>
        </w:tc>
        <w:tc>
          <w:tcPr>
            <w:tcW w:w="15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Number of patients</w:t>
            </w:r>
          </w:p>
        </w:tc>
        <w:tc>
          <w:tcPr>
            <w:tcW w:w="176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Population level</w:t>
            </w:r>
          </w:p>
        </w:tc>
        <w:tc>
          <w:tcPr>
            <w:tcW w:w="21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Easy to interpret clinically</w:t>
            </w:r>
          </w:p>
        </w:tc>
        <w:tc>
          <w:tcPr>
            <w:tcW w:w="21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Does not represent individual probability / cannot separate natural course</w:t>
            </w:r>
          </w:p>
        </w:tc>
        <w:tc>
          <w:tcPr>
            <w:tcW w:w="216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Number of patients needed for one additional patient to benefit</w:t>
            </w:r>
          </w:p>
        </w:tc>
      </w:tr>
      <w:tr w:rsidR="00E9538E" w:rsidRPr="00E9538E" w:rsidTr="00E9538E">
        <w:trPr>
          <w:trHeight w:val="3075"/>
        </w:trPr>
        <w:tc>
          <w:tcPr>
            <w:tcW w:w="2240" w:type="dxa"/>
            <w:hideMark/>
          </w:tcPr>
          <w:p w:rsidR="00E9538E" w:rsidRPr="00E9538E" w:rsidRDefault="00E9538E">
            <w:pPr>
              <w:rPr>
                <w:rFonts w:ascii="Times New Roman" w:hAnsi="Times New Roman" w:cs="Times New Roman"/>
                <w:b/>
                <w:bCs/>
                <w:color w:val="333333"/>
                <w:sz w:val="24"/>
                <w:szCs w:val="24"/>
              </w:rPr>
            </w:pPr>
            <w:r w:rsidRPr="00E9538E">
              <w:rPr>
                <w:rFonts w:ascii="Times New Roman" w:hAnsi="Times New Roman" w:cs="Times New Roman"/>
                <w:b/>
                <w:bCs/>
                <w:color w:val="333333"/>
                <w:sz w:val="24"/>
                <w:szCs w:val="24"/>
              </w:rPr>
              <w:lastRenderedPageBreak/>
              <w:t>OR (Odds Ratio)</w:t>
            </w:r>
          </w:p>
        </w:tc>
        <w:tc>
          <w:tcPr>
            <w:tcW w:w="218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Association between groups</w:t>
            </w:r>
          </w:p>
        </w:tc>
        <w:tc>
          <w:tcPr>
            <w:tcW w:w="15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Odds ratio</w:t>
            </w:r>
          </w:p>
        </w:tc>
        <w:tc>
          <w:tcPr>
            <w:tcW w:w="176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Statistical measure</w:t>
            </w:r>
          </w:p>
        </w:tc>
        <w:tc>
          <w:tcPr>
            <w:tcW w:w="21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Useful for binary outcome analysis</w:t>
            </w:r>
          </w:p>
        </w:tc>
        <w:tc>
          <w:tcPr>
            <w:tcW w:w="21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Limited clinical interpretability.  Cannot incorporate clinical threshold (MCID) into continuous outcome distributions</w:t>
            </w:r>
          </w:p>
        </w:tc>
        <w:tc>
          <w:tcPr>
            <w:tcW w:w="216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Comparison of odds between intervention and control</w:t>
            </w:r>
          </w:p>
        </w:tc>
      </w:tr>
      <w:tr w:rsidR="00E9538E" w:rsidRPr="00E9538E" w:rsidTr="00E9538E">
        <w:trPr>
          <w:trHeight w:val="2580"/>
        </w:trPr>
        <w:tc>
          <w:tcPr>
            <w:tcW w:w="2240" w:type="dxa"/>
            <w:hideMark/>
          </w:tcPr>
          <w:p w:rsidR="00E9538E" w:rsidRPr="00E9538E" w:rsidRDefault="00E9538E">
            <w:pPr>
              <w:rPr>
                <w:rFonts w:ascii="Times New Roman" w:hAnsi="Times New Roman" w:cs="Times New Roman"/>
                <w:b/>
                <w:bCs/>
                <w:color w:val="333333"/>
                <w:sz w:val="24"/>
                <w:szCs w:val="24"/>
              </w:rPr>
            </w:pPr>
            <w:r w:rsidRPr="00E9538E">
              <w:rPr>
                <w:rFonts w:ascii="Times New Roman" w:hAnsi="Times New Roman" w:cs="Times New Roman"/>
                <w:b/>
                <w:bCs/>
                <w:color w:val="333333"/>
                <w:sz w:val="24"/>
                <w:szCs w:val="24"/>
              </w:rPr>
              <w:t xml:space="preserve"> SMD</w:t>
            </w:r>
          </w:p>
        </w:tc>
        <w:tc>
          <w:tcPr>
            <w:tcW w:w="218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Standardized mean difference</w:t>
            </w:r>
          </w:p>
        </w:tc>
        <w:tc>
          <w:tcPr>
            <w:tcW w:w="15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Standard deviation units</w:t>
            </w:r>
          </w:p>
        </w:tc>
        <w:tc>
          <w:tcPr>
            <w:tcW w:w="176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Group level</w:t>
            </w:r>
          </w:p>
        </w:tc>
        <w:tc>
          <w:tcPr>
            <w:tcW w:w="21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Enables comparison of effect sizes across studies</w:t>
            </w:r>
          </w:p>
        </w:tc>
        <w:tc>
          <w:tcPr>
            <w:tcW w:w="21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Does not translate into individual probability / depends on distributional assumptions</w:t>
            </w:r>
          </w:p>
        </w:tc>
        <w:tc>
          <w:tcPr>
            <w:tcW w:w="216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Magnitude of difference in group means</w:t>
            </w:r>
          </w:p>
        </w:tc>
      </w:tr>
      <w:tr w:rsidR="00E9538E" w:rsidRPr="00E9538E" w:rsidTr="00E9538E">
        <w:trPr>
          <w:trHeight w:val="1920"/>
        </w:trPr>
        <w:tc>
          <w:tcPr>
            <w:tcW w:w="2240" w:type="dxa"/>
            <w:hideMark/>
          </w:tcPr>
          <w:p w:rsidR="00E9538E" w:rsidRPr="00E9538E" w:rsidRDefault="00E9538E">
            <w:pPr>
              <w:rPr>
                <w:rFonts w:ascii="Times New Roman" w:hAnsi="Times New Roman" w:cs="Times New Roman"/>
                <w:b/>
                <w:bCs/>
                <w:color w:val="333333"/>
                <w:sz w:val="24"/>
                <w:szCs w:val="24"/>
              </w:rPr>
            </w:pPr>
            <w:r w:rsidRPr="00E9538E">
              <w:rPr>
                <w:rFonts w:ascii="Times New Roman" w:hAnsi="Times New Roman" w:cs="Times New Roman"/>
                <w:b/>
                <w:bCs/>
                <w:color w:val="333333"/>
                <w:sz w:val="24"/>
                <w:szCs w:val="24"/>
              </w:rPr>
              <w:t>Improvement Rate</w:t>
            </w:r>
          </w:p>
        </w:tc>
        <w:tc>
          <w:tcPr>
            <w:tcW w:w="218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Unadjusted proportion of responders</w:t>
            </w:r>
          </w:p>
        </w:tc>
        <w:tc>
          <w:tcPr>
            <w:tcW w:w="15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Percentage (%)</w:t>
            </w:r>
          </w:p>
        </w:tc>
        <w:tc>
          <w:tcPr>
            <w:tcW w:w="176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Individual-level (unadjusted)</w:t>
            </w:r>
          </w:p>
        </w:tc>
        <w:tc>
          <w:tcPr>
            <w:tcW w:w="21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Intuitive and easy to understand</w:t>
            </w:r>
          </w:p>
        </w:tc>
        <w:tc>
          <w:tcPr>
            <w:tcW w:w="214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Does not account for control condition / cannot separate natural recovery</w:t>
            </w:r>
          </w:p>
        </w:tc>
        <w:tc>
          <w:tcPr>
            <w:tcW w:w="2160" w:type="dxa"/>
            <w:hideMark/>
          </w:tcPr>
          <w:p w:rsidR="00E9538E" w:rsidRPr="00E9538E" w:rsidRDefault="00E9538E">
            <w:pPr>
              <w:rPr>
                <w:rFonts w:ascii="Times New Roman" w:hAnsi="Times New Roman" w:cs="Times New Roman"/>
                <w:color w:val="333333"/>
                <w:sz w:val="24"/>
                <w:szCs w:val="24"/>
              </w:rPr>
            </w:pPr>
            <w:r w:rsidRPr="00E9538E">
              <w:rPr>
                <w:rFonts w:ascii="Times New Roman" w:hAnsi="Times New Roman" w:cs="Times New Roman"/>
                <w:color w:val="333333"/>
                <w:sz w:val="24"/>
                <w:szCs w:val="24"/>
              </w:rPr>
              <w:t>Raw proportion of improvement (not necessarily attributable to intervention effect)</w:t>
            </w:r>
          </w:p>
        </w:tc>
      </w:tr>
    </w:tbl>
    <w:p w:rsidR="00E9538E" w:rsidRDefault="00E9538E" w:rsidP="00F94C78">
      <w:pPr>
        <w:rPr>
          <w:rFonts w:ascii="Times New Roman" w:hAnsi="Times New Roman" w:cs="Times New Roman"/>
          <w:color w:val="333333"/>
          <w:sz w:val="24"/>
          <w:szCs w:val="24"/>
        </w:rPr>
        <w:sectPr w:rsidR="00E9538E" w:rsidSect="00E9538E">
          <w:pgSz w:w="16838" w:h="11906" w:orient="landscape"/>
          <w:pgMar w:top="1701" w:right="1985" w:bottom="1701" w:left="1701" w:header="851" w:footer="992" w:gutter="0"/>
          <w:cols w:space="425"/>
          <w:docGrid w:type="lines" w:linePitch="360"/>
        </w:sectPr>
      </w:pPr>
    </w:p>
    <w:p w:rsidR="00D26A68" w:rsidRDefault="005061B8" w:rsidP="00F94C78">
      <w:pPr>
        <w:rPr>
          <w:rFonts w:ascii="Times New Roman" w:hAnsi="Times New Roman" w:cs="Times New Roman" w:hint="eastAsia"/>
          <w:color w:val="333333"/>
          <w:sz w:val="24"/>
          <w:szCs w:val="24"/>
        </w:rPr>
      </w:pPr>
      <w:r w:rsidRPr="00F94C78">
        <w:rPr>
          <w:rFonts w:ascii="Times New Roman" w:hAnsi="Times New Roman" w:cs="Times New Roman"/>
          <w:color w:val="333333"/>
          <w:sz w:val="24"/>
          <w:szCs w:val="24"/>
        </w:rPr>
        <w:lastRenderedPageBreak/>
        <w:br/>
      </w:r>
      <w:r w:rsidRPr="00D26A68">
        <w:rPr>
          <w:rFonts w:ascii="Times New Roman" w:hAnsi="Times New Roman" w:cs="Times New Roman"/>
          <w:b/>
          <w:color w:val="333333"/>
          <w:sz w:val="28"/>
          <w:szCs w:val="28"/>
          <w:shd w:val="clear" w:color="auto" w:fill="FFFFFF"/>
        </w:rPr>
        <w:t>S5.2 Baseline dependence</w:t>
      </w:r>
    </w:p>
    <w:p w:rsidR="00D26A6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TLR is derived from group-level mean values and standard deviations; therefore, it is structurally influenced by baseline characteristics of the data. However, under consistent distributional assumptions, it may exhibit more stable behavior compared with outcome metrics directly based on event rates.</w:t>
      </w:r>
    </w:p>
    <w:p w:rsidR="00D26A6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Accordingly, TLR is not fully independent of baseline conditions, but its dependence may be attenuated under comparable analytical settings.</w:t>
      </w:r>
    </w:p>
    <w:p w:rsidR="00D26A6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This sensitivity reflects a structural property of probability-based ratio measures rather than instability of the estimator itself.</w:t>
      </w:r>
    </w:p>
    <w:p w:rsidR="00D26A6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This dependence reflects the re-expression from continuous distributions rather than an inherent instability of the metric itself.</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D26A68">
        <w:rPr>
          <w:rFonts w:ascii="Times New Roman" w:hAnsi="Times New Roman" w:cs="Times New Roman"/>
          <w:b/>
          <w:color w:val="333333"/>
          <w:sz w:val="28"/>
          <w:szCs w:val="28"/>
          <w:shd w:val="clear" w:color="auto" w:fill="FFFFFF"/>
        </w:rPr>
        <w:t>S5.3 Analytical approach</w:t>
      </w:r>
      <w:r w:rsidRPr="00D26A68">
        <w:rPr>
          <w:rFonts w:ascii="Times New Roman" w:hAnsi="Times New Roman" w:cs="Times New Roman"/>
          <w:b/>
          <w:color w:val="333333"/>
          <w:sz w:val="28"/>
          <w:szCs w:val="28"/>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Associations between TLR and conventional effect metrics (MD and SMD) were examined using regression analyses.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Relationships between TLR and continuous effect metrics were explored using linear regression, including regression analyses using log-transformed data to assess model fit. Associations between TLR and probability-based metrics (RR and NNT) were assessed using Pearson and Spearman correlation coefficients. Relationships with odds ratios (OR) were also assessed descriptively across comparator conditions.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Sensitivity analyses were additionally performed using an independent external dataset to examine the robustness of MCID-based probability re-expression across alternative data sources.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 xml:space="preserve">Statistical analyses were performed using </w:t>
      </w:r>
      <w:proofErr w:type="spellStart"/>
      <w:r w:rsidRPr="00F94C78">
        <w:rPr>
          <w:rFonts w:ascii="Times New Roman" w:hAnsi="Times New Roman" w:cs="Times New Roman"/>
          <w:color w:val="333333"/>
          <w:sz w:val="24"/>
          <w:szCs w:val="24"/>
          <w:shd w:val="clear" w:color="auto" w:fill="FFFFFF"/>
        </w:rPr>
        <w:t>StatView</w:t>
      </w:r>
      <w:proofErr w:type="spellEnd"/>
      <w:r w:rsidRPr="00F94C78">
        <w:rPr>
          <w:rFonts w:ascii="Times New Roman" w:hAnsi="Times New Roman" w:cs="Times New Roman"/>
          <w:color w:val="333333"/>
          <w:sz w:val="24"/>
          <w:szCs w:val="24"/>
          <w:shd w:val="clear" w:color="auto" w:fill="FFFFFF"/>
        </w:rPr>
        <w:t xml:space="preserve"> version 5.0 (SAS Institute, Cary, NC, USA). Influence diagnostics (Cook’s distance) were conducted separately using IBM SPSS Statistics.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D26A68">
        <w:rPr>
          <w:rFonts w:ascii="Times New Roman" w:hAnsi="Times New Roman" w:cs="Times New Roman"/>
          <w:color w:val="333333"/>
          <w:sz w:val="28"/>
          <w:szCs w:val="28"/>
          <w:shd w:val="clear" w:color="auto" w:fill="FFFFFF"/>
        </w:rPr>
        <w:lastRenderedPageBreak/>
        <w:t>Note on alter</w:t>
      </w:r>
      <w:r w:rsidR="00D26A68" w:rsidRPr="00D26A68">
        <w:rPr>
          <w:rFonts w:ascii="Times New Roman" w:hAnsi="Times New Roman" w:cs="Times New Roman"/>
          <w:color w:val="333333"/>
          <w:sz w:val="28"/>
          <w:szCs w:val="28"/>
          <w:shd w:val="clear" w:color="auto" w:fill="FFFFFF"/>
        </w:rPr>
        <w:t>native threshold specification.</w:t>
      </w:r>
    </w:p>
    <w:p w:rsidR="00D26A68" w:rsidRDefault="005061B8" w:rsidP="00F94C78">
      <w:pPr>
        <w:rPr>
          <w:rFonts w:ascii="Times New Roman" w:hAnsi="Times New Roman" w:cs="Times New Roman" w:hint="eastAsia"/>
          <w:color w:val="333333"/>
          <w:sz w:val="24"/>
          <w:szCs w:val="24"/>
        </w:rPr>
      </w:pPr>
      <w:r w:rsidRPr="00F94C78">
        <w:rPr>
          <w:rFonts w:ascii="Times New Roman" w:hAnsi="Times New Roman" w:cs="Times New Roman"/>
          <w:color w:val="333333"/>
          <w:sz w:val="24"/>
          <w:szCs w:val="24"/>
          <w:shd w:val="clear" w:color="auto" w:fill="FFFFFF"/>
        </w:rPr>
        <w:t>An alternative formulation could define the re-expression threshold in standardized distribution space (e.g., a zero-centered threshold), rather than using fixed clinically defined MCID values. This approach was not adopted in the present study, as the objective was probabilistic re-expression using clinically interpretable thresholds while preserving computational simplicity across datasets.</w:t>
      </w:r>
      <w:r w:rsidR="00D26A6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D26A68">
        <w:rPr>
          <w:rFonts w:ascii="Times New Roman" w:hAnsi="Times New Roman" w:cs="Times New Roman"/>
          <w:b/>
          <w:color w:val="333333"/>
          <w:sz w:val="28"/>
          <w:szCs w:val="28"/>
          <w:shd w:val="clear" w:color="auto" w:fill="FFFFFF"/>
        </w:rPr>
        <w:t>S5.4 Relationship with SMD and MD</w:t>
      </w:r>
    </w:p>
    <w:p w:rsidR="00D26A68" w:rsidRDefault="005061B8" w:rsidP="00F94C78">
      <w:pPr>
        <w:rPr>
          <w:rFonts w:ascii="Times New Roman" w:hAnsi="Times New Roman" w:cs="Times New Roman" w:hint="eastAsia"/>
          <w:color w:val="333333"/>
          <w:sz w:val="24"/>
          <w:szCs w:val="24"/>
          <w:shd w:val="clear" w:color="auto" w:fill="FFFFFF"/>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In this analysis, correlation between TLR and conventional effect measures (SMD and MD) was examined, and consistently strong correlations were observed (See Table S3). However, a single outlying observation was identified in the SMD dataset (SMD = 0.83, TLR = 4.52), and sensitivity analysis indicated that this point exceeded a Cook’s distance of 0.16.</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Accordingly, re-analysis excluding this observation showed improved model fit, with R² increasing from 0.849 to 0.867 in the linear regression model, and from 0.913 to 0.934 in the log-transformed model.</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For MD, no influential outliers were identified; therefore, sensitivity analysis was not performed. For MD, R² values were 0.649 for the linear regression model and 0.750 for the log-transformed model.</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Overall, these results indicate that the relationship between TLR and conventional effect measures is relatively robust and not substantially influenced by individual outlying observations. In addition, the improvement in model fit under log-transformed models suggests that these relationships may include non-linear characteristics.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Associations with probability-based metrics (RR, OR, and NNT) are summarized descriptively in Table S4, consistent with the analytical approach described above.</w:t>
      </w:r>
    </w:p>
    <w:p w:rsidR="00E9538E" w:rsidRDefault="005061B8" w:rsidP="00F94C78">
      <w:pPr>
        <w:rPr>
          <w:rFonts w:ascii="Times New Roman" w:hAnsi="Times New Roman" w:cs="Times New Roman" w:hint="eastAsia"/>
          <w:color w:val="333333"/>
          <w:sz w:val="24"/>
          <w:szCs w:val="24"/>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Despite minor non-</w:t>
      </w:r>
      <w:proofErr w:type="spellStart"/>
      <w:r w:rsidRPr="00F94C78">
        <w:rPr>
          <w:rFonts w:ascii="Times New Roman" w:hAnsi="Times New Roman" w:cs="Times New Roman"/>
          <w:color w:val="333333"/>
          <w:sz w:val="24"/>
          <w:szCs w:val="24"/>
          <w:shd w:val="clear" w:color="auto" w:fill="FFFFFF"/>
        </w:rPr>
        <w:t>linearities</w:t>
      </w:r>
      <w:proofErr w:type="spellEnd"/>
      <w:r w:rsidRPr="00F94C78">
        <w:rPr>
          <w:rFonts w:ascii="Times New Roman" w:hAnsi="Times New Roman" w:cs="Times New Roman"/>
          <w:color w:val="333333"/>
          <w:sz w:val="24"/>
          <w:szCs w:val="24"/>
          <w:shd w:val="clear" w:color="auto" w:fill="FFFFFF"/>
        </w:rPr>
        <w:t>, the overall consistency indicates that TLR preserves the relative structure of treatment effects observed with conventional metrics.</w:t>
      </w:r>
      <w:r w:rsidR="00D26A68">
        <w:rPr>
          <w:rFonts w:ascii="Times New Roman" w:hAnsi="Times New Roman" w:cs="Times New Roman"/>
          <w:color w:val="333333"/>
          <w:sz w:val="24"/>
          <w:szCs w:val="24"/>
        </w:rPr>
        <w:br/>
      </w:r>
    </w:p>
    <w:p w:rsidR="00E9538E" w:rsidRDefault="00E9538E" w:rsidP="00F94C78">
      <w:pPr>
        <w:rPr>
          <w:rFonts w:ascii="Times New Roman" w:hAnsi="Times New Roman" w:cs="Times New Roman" w:hint="eastAsia"/>
          <w:color w:val="333333"/>
          <w:sz w:val="24"/>
          <w:szCs w:val="24"/>
        </w:rPr>
      </w:pPr>
    </w:p>
    <w:p w:rsidR="00E9538E" w:rsidRDefault="00E9538E" w:rsidP="00F94C78">
      <w:pPr>
        <w:rPr>
          <w:rFonts w:ascii="Times New Roman" w:hAnsi="Times New Roman" w:cs="Times New Roman"/>
          <w:color w:val="333333"/>
          <w:sz w:val="24"/>
          <w:szCs w:val="24"/>
        </w:rPr>
        <w:sectPr w:rsidR="00E9538E" w:rsidSect="00E9538E">
          <w:pgSz w:w="11906" w:h="16838"/>
          <w:pgMar w:top="1985" w:right="1701" w:bottom="1701" w:left="1701" w:header="851" w:footer="992" w:gutter="0"/>
          <w:cols w:space="425"/>
          <w:docGrid w:type="lines" w:linePitch="360"/>
        </w:sectPr>
      </w:pPr>
    </w:p>
    <w:p w:rsidR="00E9538E" w:rsidRDefault="00E9538E" w:rsidP="00E9538E">
      <w:pPr>
        <w:rPr>
          <w:rFonts w:ascii="Times New Roman" w:hAnsi="Times New Roman" w:cs="Times New Roman" w:hint="eastAsia"/>
          <w:color w:val="333333"/>
          <w:sz w:val="24"/>
          <w:szCs w:val="24"/>
          <w:shd w:val="clear" w:color="auto" w:fill="FFFFFF"/>
        </w:rPr>
      </w:pPr>
      <w:proofErr w:type="gramStart"/>
      <w:r w:rsidRPr="00DE55E5">
        <w:rPr>
          <w:rFonts w:ascii="Times New Roman" w:hAnsi="Times New Roman" w:cs="Times New Roman"/>
          <w:b/>
          <w:color w:val="333333"/>
          <w:sz w:val="24"/>
          <w:szCs w:val="24"/>
          <w:shd w:val="clear" w:color="auto" w:fill="FFFFFF"/>
        </w:rPr>
        <w:lastRenderedPageBreak/>
        <w:t>Supplementary Table S3.</w:t>
      </w:r>
      <w:proofErr w:type="gramEnd"/>
      <w:r w:rsidRPr="00DE55E5">
        <w:rPr>
          <w:rFonts w:ascii="Times New Roman" w:hAnsi="Times New Roman" w:cs="Times New Roman"/>
          <w:b/>
          <w:color w:val="333333"/>
          <w:sz w:val="24"/>
          <w:szCs w:val="24"/>
          <w:shd w:val="clear" w:color="auto" w:fill="FFFFFF"/>
        </w:rPr>
        <w:t xml:space="preserve"> Correlation between TLR and conventional effect metrics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proofErr w:type="gramStart"/>
      <w:r w:rsidRPr="00F94C78">
        <w:rPr>
          <w:rFonts w:ascii="Times New Roman" w:hAnsi="Times New Roman" w:cs="Times New Roman"/>
          <w:color w:val="333333"/>
          <w:sz w:val="24"/>
          <w:szCs w:val="24"/>
          <w:shd w:val="clear" w:color="auto" w:fill="FFFFFF"/>
        </w:rPr>
        <w:t>This</w:t>
      </w:r>
      <w:proofErr w:type="gramEnd"/>
      <w:r w:rsidRPr="00F94C78">
        <w:rPr>
          <w:rFonts w:ascii="Times New Roman" w:hAnsi="Times New Roman" w:cs="Times New Roman"/>
          <w:color w:val="333333"/>
          <w:sz w:val="24"/>
          <w:szCs w:val="24"/>
          <w:shd w:val="clear" w:color="auto" w:fill="FFFFFF"/>
        </w:rPr>
        <w:t xml:space="preserve"> table summarizes the relationships between the TLR and conventional effect metrics, including MD and SMD.</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SMD values were standardized such that positive values consistently indicated improvement, allowing direct comparison with TLR.</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The results demonstrate a nonlinear relationship between mean-based effect sizes and probability-based representations, consistent with the interpretation of TLR as a re-expression of continuous outcomes into clinically interpretable probabilities. These relationships reflect mathematical re-expression properties between continuous effect measures and probability-based representations, rather than interchangeability of effect measures.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Note:</w:t>
      </w:r>
    </w:p>
    <w:p w:rsidR="00B947E4" w:rsidRPr="00F94C78" w:rsidRDefault="00E9538E" w:rsidP="00E9538E">
      <w:pPr>
        <w:rPr>
          <w:rFonts w:ascii="Times New Roman" w:hAnsi="Times New Roman" w:cs="Times New Roman"/>
          <w:color w:val="333333"/>
          <w:sz w:val="24"/>
          <w:szCs w:val="24"/>
        </w:rPr>
      </w:pPr>
      <w:r w:rsidRPr="00F94C78">
        <w:rPr>
          <w:rFonts w:ascii="Times New Roman" w:hAnsi="Times New Roman" w:cs="Times New Roman"/>
          <w:color w:val="333333"/>
          <w:sz w:val="24"/>
          <w:szCs w:val="24"/>
          <w:shd w:val="clear" w:color="auto" w:fill="FFFFFF"/>
        </w:rPr>
        <w:t>The number of interventions (MD: n=19; SMD: n=25) varies across analyses due to differences in reporting formats across the original Cochrane reviews (e.g., missing event rates or standard deviations in some studies).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For correlation analyses, SMD values were standardized such that positive values consistently indicated clinical improvement.</w:t>
      </w:r>
      <w:r w:rsidRPr="00F94C78">
        <w:rPr>
          <w:rFonts w:ascii="Times New Roman" w:hAnsi="Times New Roman" w:cs="Times New Roman"/>
          <w:color w:val="333333"/>
          <w:sz w:val="24"/>
          <w:szCs w:val="24"/>
        </w:rPr>
        <w:br/>
      </w:r>
    </w:p>
    <w:tbl>
      <w:tblPr>
        <w:tblW w:w="7560" w:type="dxa"/>
        <w:tblInd w:w="84" w:type="dxa"/>
        <w:tblCellMar>
          <w:left w:w="99" w:type="dxa"/>
          <w:right w:w="99" w:type="dxa"/>
        </w:tblCellMar>
        <w:tblLook w:val="04A0"/>
      </w:tblPr>
      <w:tblGrid>
        <w:gridCol w:w="1079"/>
        <w:gridCol w:w="1078"/>
        <w:gridCol w:w="1079"/>
        <w:gridCol w:w="1076"/>
        <w:gridCol w:w="1078"/>
        <w:gridCol w:w="1078"/>
        <w:gridCol w:w="1092"/>
      </w:tblGrid>
      <w:tr w:rsidR="00B947E4" w:rsidRPr="00B947E4" w:rsidTr="00B947E4">
        <w:trPr>
          <w:trHeight w:val="570"/>
        </w:trPr>
        <w:tc>
          <w:tcPr>
            <w:tcW w:w="3240" w:type="dxa"/>
            <w:gridSpan w:val="3"/>
            <w:tcBorders>
              <w:top w:val="single" w:sz="8" w:space="0" w:color="auto"/>
              <w:left w:val="single" w:sz="4" w:space="0" w:color="FFFFFF"/>
              <w:bottom w:val="double" w:sz="6" w:space="0" w:color="auto"/>
              <w:right w:val="single" w:sz="4" w:space="0" w:color="FFFFFF"/>
            </w:tcBorders>
            <w:shd w:val="clear" w:color="000000" w:fill="FFFFFF"/>
            <w:vAlign w:val="center"/>
            <w:hideMark/>
          </w:tcPr>
          <w:p w:rsidR="00B947E4" w:rsidRPr="00B947E4" w:rsidRDefault="00B947E4" w:rsidP="00B947E4">
            <w:pPr>
              <w:widowControl/>
              <w:jc w:val="center"/>
              <w:rPr>
                <w:rFonts w:ascii="Times New Roman" w:eastAsia="ＭＳ Ｐゴシック" w:hAnsi="Times New Roman" w:cs="Times New Roman"/>
                <w:b/>
                <w:bCs/>
                <w:kern w:val="0"/>
                <w:sz w:val="28"/>
                <w:szCs w:val="28"/>
              </w:rPr>
            </w:pPr>
            <w:r w:rsidRPr="00B947E4">
              <w:rPr>
                <w:rFonts w:ascii="Times New Roman" w:eastAsia="ＭＳ Ｐゴシック" w:hAnsi="Times New Roman" w:cs="Times New Roman"/>
                <w:b/>
                <w:bCs/>
                <w:kern w:val="0"/>
                <w:sz w:val="28"/>
                <w:szCs w:val="28"/>
              </w:rPr>
              <w:t xml:space="preserve">MD data with </w:t>
            </w:r>
            <w:proofErr w:type="spellStart"/>
            <w:r w:rsidRPr="00B947E4">
              <w:rPr>
                <w:rFonts w:ascii="Times New Roman" w:eastAsia="ＭＳ Ｐゴシック" w:hAnsi="Times New Roman" w:cs="Times New Roman"/>
                <w:b/>
                <w:bCs/>
                <w:kern w:val="0"/>
                <w:sz w:val="28"/>
                <w:szCs w:val="28"/>
              </w:rPr>
              <w:t>ln</w:t>
            </w:r>
            <w:proofErr w:type="spellEnd"/>
            <w:r w:rsidRPr="00B947E4">
              <w:rPr>
                <w:rFonts w:ascii="Times New Roman" w:eastAsia="ＭＳ Ｐゴシック" w:hAnsi="Times New Roman" w:cs="Times New Roman"/>
                <w:b/>
                <w:bCs/>
                <w:kern w:val="0"/>
                <w:sz w:val="28"/>
                <w:szCs w:val="28"/>
              </w:rPr>
              <w:t>(MD)</w:t>
            </w:r>
          </w:p>
        </w:tc>
        <w:tc>
          <w:tcPr>
            <w:tcW w:w="1080" w:type="dxa"/>
            <w:tcBorders>
              <w:top w:val="single" w:sz="8" w:space="0" w:color="auto"/>
              <w:left w:val="nil"/>
              <w:bottom w:val="double" w:sz="6" w:space="0" w:color="auto"/>
              <w:right w:val="single" w:sz="4" w:space="0" w:color="FFFFFF"/>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3240" w:type="dxa"/>
            <w:gridSpan w:val="3"/>
            <w:tcBorders>
              <w:top w:val="single" w:sz="8" w:space="0" w:color="auto"/>
              <w:left w:val="nil"/>
              <w:bottom w:val="double" w:sz="6" w:space="0" w:color="auto"/>
              <w:right w:val="single" w:sz="4" w:space="0" w:color="FFFFFF"/>
            </w:tcBorders>
            <w:shd w:val="clear" w:color="000000" w:fill="FFFFFF"/>
            <w:vAlign w:val="center"/>
            <w:hideMark/>
          </w:tcPr>
          <w:p w:rsidR="00B947E4" w:rsidRPr="00B947E4" w:rsidRDefault="00B947E4" w:rsidP="00B947E4">
            <w:pPr>
              <w:widowControl/>
              <w:jc w:val="center"/>
              <w:rPr>
                <w:rFonts w:ascii="Times New Roman" w:eastAsia="ＭＳ Ｐゴシック" w:hAnsi="Times New Roman" w:cs="Times New Roman"/>
                <w:b/>
                <w:bCs/>
                <w:color w:val="000000"/>
                <w:kern w:val="0"/>
                <w:sz w:val="28"/>
                <w:szCs w:val="28"/>
              </w:rPr>
            </w:pPr>
            <w:r w:rsidRPr="00B947E4">
              <w:rPr>
                <w:rFonts w:ascii="Times New Roman" w:eastAsia="ＭＳ Ｐゴシック" w:hAnsi="Times New Roman" w:cs="Times New Roman"/>
                <w:b/>
                <w:bCs/>
                <w:color w:val="000000"/>
                <w:kern w:val="0"/>
                <w:sz w:val="28"/>
                <w:szCs w:val="28"/>
              </w:rPr>
              <w:t xml:space="preserve">SMD data with </w:t>
            </w:r>
            <w:proofErr w:type="spellStart"/>
            <w:r w:rsidRPr="00B947E4">
              <w:rPr>
                <w:rFonts w:ascii="Times New Roman" w:eastAsia="ＭＳ Ｐゴシック" w:hAnsi="Times New Roman" w:cs="Times New Roman"/>
                <w:b/>
                <w:bCs/>
                <w:color w:val="000000"/>
                <w:kern w:val="0"/>
                <w:sz w:val="28"/>
                <w:szCs w:val="28"/>
              </w:rPr>
              <w:t>ln</w:t>
            </w:r>
            <w:proofErr w:type="spellEnd"/>
            <w:r w:rsidRPr="00B947E4">
              <w:rPr>
                <w:rFonts w:ascii="Times New Roman" w:eastAsia="ＭＳ Ｐゴシック" w:hAnsi="Times New Roman" w:cs="Times New Roman"/>
                <w:b/>
                <w:bCs/>
                <w:color w:val="000000"/>
                <w:kern w:val="0"/>
                <w:sz w:val="28"/>
                <w:szCs w:val="28"/>
              </w:rPr>
              <w:t>(SMD)</w:t>
            </w:r>
          </w:p>
        </w:tc>
      </w:tr>
      <w:tr w:rsidR="00B947E4" w:rsidRPr="00B947E4" w:rsidTr="00B947E4">
        <w:trPr>
          <w:trHeight w:val="345"/>
        </w:trPr>
        <w:tc>
          <w:tcPr>
            <w:tcW w:w="1080" w:type="dxa"/>
            <w:tcBorders>
              <w:top w:val="nil"/>
              <w:left w:val="single" w:sz="4" w:space="0" w:color="FFFFFF"/>
              <w:bottom w:val="nil"/>
              <w:right w:val="single" w:sz="4" w:space="0" w:color="FFFFFF"/>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b/>
                <w:bCs/>
                <w:color w:val="000000"/>
                <w:kern w:val="0"/>
                <w:sz w:val="24"/>
                <w:szCs w:val="24"/>
              </w:rPr>
            </w:pPr>
            <w:r w:rsidRPr="00B947E4">
              <w:rPr>
                <w:rFonts w:ascii="Times New Roman" w:eastAsia="ＭＳ Ｐゴシック" w:hAnsi="Times New Roman" w:cs="Times New Roman"/>
                <w:b/>
                <w:bCs/>
                <w:color w:val="000000"/>
                <w:kern w:val="0"/>
                <w:sz w:val="24"/>
                <w:szCs w:val="24"/>
              </w:rPr>
              <w:t>TLR</w:t>
            </w:r>
          </w:p>
        </w:tc>
        <w:tc>
          <w:tcPr>
            <w:tcW w:w="1080" w:type="dxa"/>
            <w:tcBorders>
              <w:top w:val="nil"/>
              <w:left w:val="nil"/>
              <w:bottom w:val="double" w:sz="6"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b/>
                <w:bCs/>
                <w:color w:val="000000"/>
                <w:kern w:val="0"/>
                <w:sz w:val="24"/>
                <w:szCs w:val="24"/>
              </w:rPr>
            </w:pPr>
            <w:r w:rsidRPr="00B947E4">
              <w:rPr>
                <w:rFonts w:ascii="Times New Roman" w:eastAsia="ＭＳ Ｐゴシック" w:hAnsi="Times New Roman" w:cs="Times New Roman"/>
                <w:b/>
                <w:bCs/>
                <w:color w:val="000000"/>
                <w:kern w:val="0"/>
                <w:sz w:val="24"/>
                <w:szCs w:val="24"/>
              </w:rPr>
              <w:t>MD</w:t>
            </w:r>
          </w:p>
        </w:tc>
        <w:tc>
          <w:tcPr>
            <w:tcW w:w="1080" w:type="dxa"/>
            <w:tcBorders>
              <w:top w:val="nil"/>
              <w:left w:val="nil"/>
              <w:bottom w:val="double" w:sz="6"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b/>
                <w:bCs/>
                <w:color w:val="000000"/>
                <w:kern w:val="0"/>
                <w:sz w:val="24"/>
                <w:szCs w:val="24"/>
              </w:rPr>
            </w:pPr>
            <w:proofErr w:type="spellStart"/>
            <w:r w:rsidRPr="00B947E4">
              <w:rPr>
                <w:rFonts w:ascii="Times New Roman" w:eastAsia="ＭＳ Ｐゴシック" w:hAnsi="Times New Roman" w:cs="Times New Roman"/>
                <w:b/>
                <w:bCs/>
                <w:color w:val="000000"/>
                <w:kern w:val="0"/>
                <w:sz w:val="24"/>
                <w:szCs w:val="24"/>
              </w:rPr>
              <w:t>ln</w:t>
            </w:r>
            <w:proofErr w:type="spellEnd"/>
            <w:r w:rsidRPr="00B947E4">
              <w:rPr>
                <w:rFonts w:ascii="Times New Roman" w:eastAsia="ＭＳ Ｐゴシック" w:hAnsi="Times New Roman" w:cs="Times New Roman"/>
                <w:b/>
                <w:bCs/>
                <w:color w:val="000000"/>
                <w:kern w:val="0"/>
                <w:sz w:val="24"/>
                <w:szCs w:val="24"/>
              </w:rPr>
              <w:t>(MD)</w:t>
            </w:r>
          </w:p>
        </w:tc>
        <w:tc>
          <w:tcPr>
            <w:tcW w:w="1080" w:type="dxa"/>
            <w:tcBorders>
              <w:top w:val="nil"/>
              <w:left w:val="nil"/>
              <w:bottom w:val="double" w:sz="6" w:space="0" w:color="auto"/>
              <w:right w:val="single" w:sz="4" w:space="0" w:color="FFFFFF"/>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double" w:sz="6" w:space="0" w:color="auto"/>
              <w:right w:val="single" w:sz="4" w:space="0" w:color="FFFFFF"/>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TLR</w:t>
            </w:r>
          </w:p>
        </w:tc>
        <w:tc>
          <w:tcPr>
            <w:tcW w:w="1080" w:type="dxa"/>
            <w:tcBorders>
              <w:top w:val="nil"/>
              <w:left w:val="nil"/>
              <w:bottom w:val="double" w:sz="6"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b/>
                <w:bCs/>
                <w:color w:val="000000"/>
                <w:kern w:val="0"/>
                <w:sz w:val="24"/>
                <w:szCs w:val="24"/>
              </w:rPr>
            </w:pPr>
            <w:r w:rsidRPr="00B947E4">
              <w:rPr>
                <w:rFonts w:ascii="Times New Roman" w:eastAsia="ＭＳ Ｐゴシック" w:hAnsi="Times New Roman" w:cs="Times New Roman"/>
                <w:b/>
                <w:bCs/>
                <w:color w:val="000000"/>
                <w:kern w:val="0"/>
                <w:sz w:val="24"/>
                <w:szCs w:val="24"/>
              </w:rPr>
              <w:t>SMD</w:t>
            </w:r>
          </w:p>
        </w:tc>
        <w:tc>
          <w:tcPr>
            <w:tcW w:w="1080" w:type="dxa"/>
            <w:tcBorders>
              <w:top w:val="nil"/>
              <w:left w:val="nil"/>
              <w:bottom w:val="nil"/>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b/>
                <w:bCs/>
                <w:color w:val="000000"/>
                <w:kern w:val="0"/>
                <w:sz w:val="24"/>
                <w:szCs w:val="24"/>
              </w:rPr>
            </w:pPr>
            <w:proofErr w:type="spellStart"/>
            <w:r w:rsidRPr="00B947E4">
              <w:rPr>
                <w:rFonts w:ascii="Times New Roman" w:eastAsia="ＭＳ Ｐゴシック" w:hAnsi="Times New Roman" w:cs="Times New Roman"/>
                <w:b/>
                <w:bCs/>
                <w:color w:val="000000"/>
                <w:kern w:val="0"/>
                <w:sz w:val="24"/>
                <w:szCs w:val="24"/>
              </w:rPr>
              <w:t>ln</w:t>
            </w:r>
            <w:proofErr w:type="spellEnd"/>
            <w:r w:rsidRPr="00B947E4">
              <w:rPr>
                <w:rFonts w:ascii="Times New Roman" w:eastAsia="ＭＳ Ｐゴシック" w:hAnsi="Times New Roman" w:cs="Times New Roman"/>
                <w:b/>
                <w:bCs/>
                <w:color w:val="000000"/>
                <w:kern w:val="0"/>
                <w:sz w:val="24"/>
                <w:szCs w:val="24"/>
              </w:rPr>
              <w:t>(SMD)</w:t>
            </w:r>
          </w:p>
        </w:tc>
      </w:tr>
      <w:tr w:rsidR="00B947E4" w:rsidRPr="00B947E4" w:rsidTr="00B947E4">
        <w:trPr>
          <w:trHeight w:val="345"/>
        </w:trPr>
        <w:tc>
          <w:tcPr>
            <w:tcW w:w="1080" w:type="dxa"/>
            <w:tcBorders>
              <w:top w:val="double" w:sz="6" w:space="0" w:color="auto"/>
              <w:left w:val="single" w:sz="4" w:space="0" w:color="FFFFFF"/>
              <w:bottom w:val="nil"/>
              <w:right w:val="nil"/>
            </w:tcBorders>
            <w:shd w:val="clear" w:color="000000" w:fill="FFFFFF"/>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2.52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15.1</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2.7147</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2.43</w:t>
            </w:r>
          </w:p>
        </w:tc>
        <w:tc>
          <w:tcPr>
            <w:tcW w:w="1080" w:type="dxa"/>
            <w:tcBorders>
              <w:top w:val="nil"/>
              <w:left w:val="nil"/>
              <w:bottom w:val="nil"/>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0.49</w:t>
            </w:r>
          </w:p>
        </w:tc>
        <w:tc>
          <w:tcPr>
            <w:tcW w:w="1080" w:type="dxa"/>
            <w:tcBorders>
              <w:top w:val="double" w:sz="6" w:space="0" w:color="auto"/>
              <w:left w:val="nil"/>
              <w:bottom w:val="nil"/>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-0.7133</w:t>
            </w:r>
          </w:p>
        </w:tc>
      </w:tr>
      <w:tr w:rsidR="00B947E4" w:rsidRPr="00B947E4" w:rsidTr="00B947E4">
        <w:trPr>
          <w:trHeight w:val="345"/>
        </w:trPr>
        <w:tc>
          <w:tcPr>
            <w:tcW w:w="1080" w:type="dxa"/>
            <w:tcBorders>
              <w:top w:val="single" w:sz="4" w:space="0" w:color="auto"/>
              <w:left w:val="single" w:sz="4" w:space="0" w:color="FFFFFF"/>
              <w:bottom w:val="nil"/>
              <w:right w:val="nil"/>
            </w:tcBorders>
            <w:shd w:val="clear" w:color="000000" w:fill="FFFFFF"/>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1.92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11.5</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2.4423</w:t>
            </w:r>
          </w:p>
        </w:tc>
        <w:tc>
          <w:tcPr>
            <w:tcW w:w="1080" w:type="dxa"/>
            <w:tcBorders>
              <w:top w:val="nil"/>
              <w:left w:val="nil"/>
              <w:bottom w:val="nil"/>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nil"/>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2.45</w:t>
            </w:r>
          </w:p>
        </w:tc>
        <w:tc>
          <w:tcPr>
            <w:tcW w:w="1080" w:type="dxa"/>
            <w:tcBorders>
              <w:top w:val="single" w:sz="4" w:space="0" w:color="auto"/>
              <w:left w:val="nil"/>
              <w:bottom w:val="nil"/>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0.57</w:t>
            </w:r>
          </w:p>
        </w:tc>
        <w:tc>
          <w:tcPr>
            <w:tcW w:w="1080" w:type="dxa"/>
            <w:tcBorders>
              <w:top w:val="single" w:sz="4" w:space="0" w:color="auto"/>
              <w:left w:val="nil"/>
              <w:bottom w:val="nil"/>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-0.5621</w:t>
            </w:r>
          </w:p>
        </w:tc>
      </w:tr>
      <w:tr w:rsidR="00B947E4" w:rsidRPr="00B947E4" w:rsidTr="00B947E4">
        <w:trPr>
          <w:trHeight w:val="345"/>
        </w:trPr>
        <w:tc>
          <w:tcPr>
            <w:tcW w:w="1080" w:type="dxa"/>
            <w:tcBorders>
              <w:top w:val="single" w:sz="4" w:space="0" w:color="auto"/>
              <w:left w:val="single" w:sz="4" w:space="0" w:color="FFFFFF"/>
              <w:bottom w:val="single" w:sz="4" w:space="0" w:color="auto"/>
              <w:right w:val="nil"/>
            </w:tcBorders>
            <w:shd w:val="clear" w:color="000000" w:fill="FFFFFF"/>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1.73</w:t>
            </w:r>
          </w:p>
        </w:tc>
        <w:tc>
          <w:tcPr>
            <w:tcW w:w="1080" w:type="dxa"/>
            <w:tcBorders>
              <w:top w:val="nil"/>
              <w:left w:val="nil"/>
              <w:bottom w:val="nil"/>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9.2</w:t>
            </w:r>
          </w:p>
        </w:tc>
        <w:tc>
          <w:tcPr>
            <w:tcW w:w="1080" w:type="dxa"/>
            <w:tcBorders>
              <w:top w:val="nil"/>
              <w:left w:val="nil"/>
              <w:bottom w:val="nil"/>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2.2192</w:t>
            </w:r>
          </w:p>
        </w:tc>
        <w:tc>
          <w:tcPr>
            <w:tcW w:w="1080" w:type="dxa"/>
            <w:tcBorders>
              <w:top w:val="single" w:sz="4" w:space="0" w:color="auto"/>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single" w:sz="4" w:space="0" w:color="auto"/>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2.21</w:t>
            </w:r>
          </w:p>
        </w:tc>
        <w:tc>
          <w:tcPr>
            <w:tcW w:w="1080" w:type="dxa"/>
            <w:tcBorders>
              <w:top w:val="single" w:sz="4" w:space="0" w:color="auto"/>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0.44</w:t>
            </w:r>
          </w:p>
        </w:tc>
        <w:tc>
          <w:tcPr>
            <w:tcW w:w="1080" w:type="dxa"/>
            <w:tcBorders>
              <w:top w:val="single" w:sz="4" w:space="0" w:color="auto"/>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-0.821</w:t>
            </w:r>
          </w:p>
        </w:tc>
      </w:tr>
      <w:tr w:rsidR="00B947E4" w:rsidRPr="00B947E4" w:rsidTr="00B947E4">
        <w:trPr>
          <w:trHeight w:val="345"/>
        </w:trPr>
        <w:tc>
          <w:tcPr>
            <w:tcW w:w="1080" w:type="dxa"/>
            <w:tcBorders>
              <w:top w:val="nil"/>
              <w:left w:val="single" w:sz="4" w:space="0" w:color="FFFFFF"/>
              <w:bottom w:val="single" w:sz="4" w:space="0" w:color="auto"/>
              <w:right w:val="nil"/>
            </w:tcBorders>
            <w:shd w:val="clear" w:color="000000" w:fill="FFFFFF"/>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1.42</w:t>
            </w:r>
          </w:p>
        </w:tc>
        <w:tc>
          <w:tcPr>
            <w:tcW w:w="1080" w:type="dxa"/>
            <w:tcBorders>
              <w:top w:val="single" w:sz="4" w:space="0" w:color="auto"/>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5.5</w:t>
            </w:r>
          </w:p>
        </w:tc>
        <w:tc>
          <w:tcPr>
            <w:tcW w:w="1080" w:type="dxa"/>
            <w:tcBorders>
              <w:top w:val="single" w:sz="4" w:space="0" w:color="auto"/>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1.7047</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1.48</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0.23</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-1.4697</w:t>
            </w:r>
          </w:p>
        </w:tc>
      </w:tr>
      <w:tr w:rsidR="00B947E4" w:rsidRPr="00B947E4" w:rsidTr="00B947E4">
        <w:trPr>
          <w:trHeight w:val="345"/>
        </w:trPr>
        <w:tc>
          <w:tcPr>
            <w:tcW w:w="1080" w:type="dxa"/>
            <w:tcBorders>
              <w:top w:val="nil"/>
              <w:left w:val="single" w:sz="4" w:space="0" w:color="FFFFFF"/>
              <w:bottom w:val="single" w:sz="4" w:space="0" w:color="auto"/>
              <w:right w:val="nil"/>
            </w:tcBorders>
            <w:shd w:val="clear" w:color="000000" w:fill="FFFFFF"/>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2.05</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12.1</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2.4932</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2.38</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0.48</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-0.734</w:t>
            </w:r>
          </w:p>
        </w:tc>
      </w:tr>
      <w:tr w:rsidR="00B947E4" w:rsidRPr="00B947E4" w:rsidTr="00B947E4">
        <w:trPr>
          <w:trHeight w:val="345"/>
        </w:trPr>
        <w:tc>
          <w:tcPr>
            <w:tcW w:w="1080" w:type="dxa"/>
            <w:tcBorders>
              <w:top w:val="nil"/>
              <w:left w:val="single" w:sz="4" w:space="0" w:color="FFFFFF"/>
              <w:bottom w:val="single" w:sz="4" w:space="0" w:color="auto"/>
              <w:right w:val="nil"/>
            </w:tcBorders>
            <w:shd w:val="clear" w:color="000000" w:fill="FFFFFF"/>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2.40</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14.5</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2.6741</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2.25</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0.4</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-0.9163</w:t>
            </w:r>
          </w:p>
        </w:tc>
      </w:tr>
      <w:tr w:rsidR="00B947E4" w:rsidRPr="00B947E4" w:rsidTr="00B947E4">
        <w:trPr>
          <w:trHeight w:val="345"/>
        </w:trPr>
        <w:tc>
          <w:tcPr>
            <w:tcW w:w="1080" w:type="dxa"/>
            <w:tcBorders>
              <w:top w:val="nil"/>
              <w:left w:val="single" w:sz="4" w:space="0" w:color="FFFFFF"/>
              <w:bottom w:val="single" w:sz="4" w:space="0" w:color="auto"/>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2.62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16.2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2.785</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1.85</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0.45</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-0.7985</w:t>
            </w:r>
          </w:p>
        </w:tc>
      </w:tr>
      <w:tr w:rsidR="00B947E4" w:rsidRPr="00B947E4" w:rsidTr="00B947E4">
        <w:trPr>
          <w:trHeight w:val="345"/>
        </w:trPr>
        <w:tc>
          <w:tcPr>
            <w:tcW w:w="1080" w:type="dxa"/>
            <w:tcBorders>
              <w:top w:val="nil"/>
              <w:left w:val="single" w:sz="4" w:space="0" w:color="FFFFFF"/>
              <w:bottom w:val="single" w:sz="4" w:space="0" w:color="auto"/>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1.62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2.1</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0.7419</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2.65</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0.67</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-0.4005</w:t>
            </w:r>
          </w:p>
        </w:tc>
      </w:tr>
      <w:tr w:rsidR="00B947E4" w:rsidRPr="00B947E4" w:rsidTr="00B947E4">
        <w:trPr>
          <w:trHeight w:val="345"/>
        </w:trPr>
        <w:tc>
          <w:tcPr>
            <w:tcW w:w="1080" w:type="dxa"/>
            <w:tcBorders>
              <w:top w:val="nil"/>
              <w:left w:val="single" w:sz="4" w:space="0" w:color="FFFFFF"/>
              <w:bottom w:val="single" w:sz="4" w:space="0" w:color="auto"/>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1.12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3.4</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1.2238</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1.95</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0.55</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-0.5978</w:t>
            </w:r>
          </w:p>
        </w:tc>
      </w:tr>
      <w:tr w:rsidR="00B947E4" w:rsidRPr="00B947E4" w:rsidTr="00B947E4">
        <w:trPr>
          <w:trHeight w:val="345"/>
        </w:trPr>
        <w:tc>
          <w:tcPr>
            <w:tcW w:w="1080" w:type="dxa"/>
            <w:tcBorders>
              <w:top w:val="nil"/>
              <w:left w:val="single" w:sz="4" w:space="0" w:color="FFFFFF"/>
              <w:bottom w:val="single" w:sz="4" w:space="0" w:color="auto"/>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1.18</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10.1</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2.3125</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1.72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0.3</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-1.204</w:t>
            </w:r>
          </w:p>
        </w:tc>
      </w:tr>
      <w:tr w:rsidR="00B947E4" w:rsidRPr="00B947E4" w:rsidTr="00B947E4">
        <w:trPr>
          <w:trHeight w:val="345"/>
        </w:trPr>
        <w:tc>
          <w:tcPr>
            <w:tcW w:w="1080" w:type="dxa"/>
            <w:tcBorders>
              <w:top w:val="nil"/>
              <w:left w:val="single" w:sz="4" w:space="0" w:color="FFFFFF"/>
              <w:bottom w:val="single" w:sz="4" w:space="0" w:color="auto"/>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lastRenderedPageBreak/>
              <w:t>1.82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7.35</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1.9947</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1.53</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0.23</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-1.4697</w:t>
            </w:r>
          </w:p>
        </w:tc>
      </w:tr>
      <w:tr w:rsidR="00B947E4" w:rsidRPr="00B947E4" w:rsidTr="00B947E4">
        <w:trPr>
          <w:trHeight w:val="345"/>
        </w:trPr>
        <w:tc>
          <w:tcPr>
            <w:tcW w:w="1080" w:type="dxa"/>
            <w:tcBorders>
              <w:top w:val="nil"/>
              <w:left w:val="single" w:sz="4" w:space="0" w:color="FFFFFF"/>
              <w:bottom w:val="single" w:sz="4" w:space="0" w:color="auto"/>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1.51</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7.29</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1.9865</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1.59</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0.25</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-1.3863</w:t>
            </w:r>
          </w:p>
        </w:tc>
      </w:tr>
      <w:tr w:rsidR="00B947E4" w:rsidRPr="00B947E4" w:rsidTr="00B947E4">
        <w:trPr>
          <w:trHeight w:val="345"/>
        </w:trPr>
        <w:tc>
          <w:tcPr>
            <w:tcW w:w="1080" w:type="dxa"/>
            <w:tcBorders>
              <w:top w:val="nil"/>
              <w:left w:val="single" w:sz="4" w:space="0" w:color="FFFFFF"/>
              <w:bottom w:val="single" w:sz="4" w:space="0" w:color="auto"/>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1.51</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0.1823</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1.33</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0.15</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-1.8971</w:t>
            </w:r>
          </w:p>
        </w:tc>
      </w:tr>
      <w:tr w:rsidR="00B947E4" w:rsidRPr="00B947E4" w:rsidTr="00B947E4">
        <w:trPr>
          <w:trHeight w:val="345"/>
        </w:trPr>
        <w:tc>
          <w:tcPr>
            <w:tcW w:w="1080" w:type="dxa"/>
            <w:tcBorders>
              <w:top w:val="nil"/>
              <w:left w:val="single" w:sz="4" w:space="0" w:color="FFFFFF"/>
              <w:bottom w:val="single" w:sz="4" w:space="0" w:color="auto"/>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1.62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1.67</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0.5128</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1.72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0.3</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-1.204</w:t>
            </w:r>
          </w:p>
        </w:tc>
      </w:tr>
      <w:tr w:rsidR="00B947E4" w:rsidRPr="00B947E4" w:rsidTr="00B947E4">
        <w:trPr>
          <w:trHeight w:val="345"/>
        </w:trPr>
        <w:tc>
          <w:tcPr>
            <w:tcW w:w="1080" w:type="dxa"/>
            <w:tcBorders>
              <w:top w:val="nil"/>
              <w:left w:val="single" w:sz="4" w:space="0" w:color="FFFFFF"/>
              <w:bottom w:val="single" w:sz="4" w:space="0" w:color="auto"/>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1.90</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9</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2.1972</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2.37</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0.52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-0.6539</w:t>
            </w:r>
          </w:p>
        </w:tc>
      </w:tr>
      <w:tr w:rsidR="00B947E4" w:rsidRPr="00B947E4" w:rsidTr="00B947E4">
        <w:trPr>
          <w:trHeight w:val="345"/>
        </w:trPr>
        <w:tc>
          <w:tcPr>
            <w:tcW w:w="1080" w:type="dxa"/>
            <w:tcBorders>
              <w:top w:val="nil"/>
              <w:left w:val="single" w:sz="4" w:space="0" w:color="FFFFFF"/>
              <w:bottom w:val="single" w:sz="4" w:space="0" w:color="auto"/>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1.60</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6</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1.7918</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1.72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0.3</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-1.204</w:t>
            </w:r>
          </w:p>
        </w:tc>
      </w:tr>
      <w:tr w:rsidR="00B947E4" w:rsidRPr="00B947E4" w:rsidTr="00B947E4">
        <w:trPr>
          <w:trHeight w:val="345"/>
        </w:trPr>
        <w:tc>
          <w:tcPr>
            <w:tcW w:w="1080" w:type="dxa"/>
            <w:tcBorders>
              <w:top w:val="nil"/>
              <w:left w:val="single" w:sz="4" w:space="0" w:color="FFFFFF"/>
              <w:bottom w:val="nil"/>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1.50</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5</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1.6094</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1.55</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0.24</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-1.4271</w:t>
            </w:r>
          </w:p>
        </w:tc>
      </w:tr>
      <w:tr w:rsidR="00B947E4" w:rsidRPr="00B947E4" w:rsidTr="00B947E4">
        <w:trPr>
          <w:trHeight w:val="345"/>
        </w:trPr>
        <w:tc>
          <w:tcPr>
            <w:tcW w:w="1080" w:type="dxa"/>
            <w:tcBorders>
              <w:top w:val="single" w:sz="4" w:space="0" w:color="auto"/>
              <w:left w:val="single" w:sz="4" w:space="0" w:color="FFFFFF"/>
              <w:bottom w:val="nil"/>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1.40</w:t>
            </w:r>
          </w:p>
        </w:tc>
        <w:tc>
          <w:tcPr>
            <w:tcW w:w="1080" w:type="dxa"/>
            <w:tcBorders>
              <w:top w:val="nil"/>
              <w:left w:val="nil"/>
              <w:bottom w:val="nil"/>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4</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1.3863</w:t>
            </w:r>
          </w:p>
        </w:tc>
        <w:tc>
          <w:tcPr>
            <w:tcW w:w="1080" w:type="dxa"/>
            <w:tcBorders>
              <w:top w:val="nil"/>
              <w:left w:val="nil"/>
              <w:bottom w:val="nil"/>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1.34</w:t>
            </w:r>
          </w:p>
        </w:tc>
        <w:tc>
          <w:tcPr>
            <w:tcW w:w="1080" w:type="dxa"/>
            <w:tcBorders>
              <w:top w:val="nil"/>
              <w:left w:val="nil"/>
              <w:bottom w:val="nil"/>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0.16</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-1.8326</w:t>
            </w:r>
          </w:p>
        </w:tc>
      </w:tr>
      <w:tr w:rsidR="00B947E4" w:rsidRPr="00B947E4" w:rsidTr="00B947E4">
        <w:trPr>
          <w:trHeight w:val="345"/>
        </w:trPr>
        <w:tc>
          <w:tcPr>
            <w:tcW w:w="1080" w:type="dxa"/>
            <w:tcBorders>
              <w:top w:val="single" w:sz="4" w:space="0" w:color="auto"/>
              <w:left w:val="single" w:sz="4" w:space="0" w:color="FFFFFF"/>
              <w:bottom w:val="single" w:sz="8" w:space="0" w:color="auto"/>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1.10</w:t>
            </w:r>
          </w:p>
        </w:tc>
        <w:tc>
          <w:tcPr>
            <w:tcW w:w="1080" w:type="dxa"/>
            <w:tcBorders>
              <w:top w:val="single" w:sz="4" w:space="0" w:color="auto"/>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w:t>
            </w:r>
          </w:p>
        </w:tc>
        <w:tc>
          <w:tcPr>
            <w:tcW w:w="1080" w:type="dxa"/>
            <w:tcBorders>
              <w:top w:val="nil"/>
              <w:left w:val="nil"/>
              <w:bottom w:val="nil"/>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w:t>
            </w:r>
          </w:p>
        </w:tc>
        <w:tc>
          <w:tcPr>
            <w:tcW w:w="1080" w:type="dxa"/>
            <w:tcBorders>
              <w:top w:val="single" w:sz="4" w:space="0" w:color="auto"/>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nil"/>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2.81</w:t>
            </w:r>
          </w:p>
        </w:tc>
        <w:tc>
          <w:tcPr>
            <w:tcW w:w="1080" w:type="dxa"/>
            <w:tcBorders>
              <w:top w:val="single" w:sz="4" w:space="0" w:color="auto"/>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0.57</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-0.5621</w:t>
            </w:r>
          </w:p>
        </w:tc>
      </w:tr>
      <w:tr w:rsidR="00B947E4" w:rsidRPr="00B947E4" w:rsidTr="00B947E4">
        <w:trPr>
          <w:trHeight w:val="345"/>
        </w:trPr>
        <w:tc>
          <w:tcPr>
            <w:tcW w:w="1080" w:type="dxa"/>
            <w:tcBorders>
              <w:top w:val="nil"/>
              <w:left w:val="single" w:sz="4" w:space="0" w:color="FFFFFF"/>
              <w:bottom w:val="nil"/>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FFFFFF"/>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single" w:sz="4" w:space="0" w:color="auto"/>
              <w:left w:val="nil"/>
              <w:bottom w:val="single" w:sz="4" w:space="0" w:color="FFFFFF"/>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FFFFFF"/>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single" w:sz="4" w:space="0" w:color="auto"/>
              <w:left w:val="nil"/>
              <w:bottom w:val="nil"/>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1.36</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0.17</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-1.772</w:t>
            </w:r>
          </w:p>
        </w:tc>
      </w:tr>
      <w:tr w:rsidR="00B947E4" w:rsidRPr="00B947E4" w:rsidTr="00B947E4">
        <w:trPr>
          <w:trHeight w:val="345"/>
        </w:trPr>
        <w:tc>
          <w:tcPr>
            <w:tcW w:w="1080" w:type="dxa"/>
            <w:tcBorders>
              <w:top w:val="nil"/>
              <w:left w:val="single" w:sz="4" w:space="0" w:color="FFFFFF"/>
              <w:bottom w:val="nil"/>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FFFFFF"/>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FFFFFF"/>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FFFFFF"/>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single" w:sz="4" w:space="0" w:color="auto"/>
              <w:left w:val="nil"/>
              <w:bottom w:val="nil"/>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4.52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0.83</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-0.1863</w:t>
            </w:r>
          </w:p>
        </w:tc>
      </w:tr>
      <w:tr w:rsidR="00B947E4" w:rsidRPr="00B947E4" w:rsidTr="00B947E4">
        <w:trPr>
          <w:trHeight w:val="345"/>
        </w:trPr>
        <w:tc>
          <w:tcPr>
            <w:tcW w:w="1080" w:type="dxa"/>
            <w:tcBorders>
              <w:top w:val="nil"/>
              <w:left w:val="single" w:sz="4" w:space="0" w:color="FFFFFF"/>
              <w:bottom w:val="nil"/>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FFFFFF"/>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FFFFFF"/>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FFFFFF"/>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single" w:sz="4" w:space="0" w:color="auto"/>
              <w:left w:val="nil"/>
              <w:bottom w:val="single" w:sz="4" w:space="0" w:color="auto"/>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2.66</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0.54</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-0.6162</w:t>
            </w:r>
          </w:p>
        </w:tc>
      </w:tr>
      <w:tr w:rsidR="00B947E4" w:rsidRPr="00B947E4" w:rsidTr="00B947E4">
        <w:trPr>
          <w:trHeight w:val="345"/>
        </w:trPr>
        <w:tc>
          <w:tcPr>
            <w:tcW w:w="1080" w:type="dxa"/>
            <w:tcBorders>
              <w:top w:val="nil"/>
              <w:left w:val="single" w:sz="4" w:space="0" w:color="FFFFFF"/>
              <w:bottom w:val="nil"/>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FFFFFF"/>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FFFFFF"/>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FFFFFF"/>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nil"/>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3.13</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0.63</w:t>
            </w:r>
          </w:p>
        </w:tc>
        <w:tc>
          <w:tcPr>
            <w:tcW w:w="1080" w:type="dxa"/>
            <w:tcBorders>
              <w:top w:val="nil"/>
              <w:left w:val="nil"/>
              <w:bottom w:val="nil"/>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-0.462</w:t>
            </w:r>
          </w:p>
        </w:tc>
      </w:tr>
      <w:tr w:rsidR="00B947E4" w:rsidRPr="00B947E4" w:rsidTr="00B947E4">
        <w:trPr>
          <w:trHeight w:val="345"/>
        </w:trPr>
        <w:tc>
          <w:tcPr>
            <w:tcW w:w="1080" w:type="dxa"/>
            <w:tcBorders>
              <w:top w:val="nil"/>
              <w:left w:val="single" w:sz="4" w:space="0" w:color="FFFFFF"/>
              <w:bottom w:val="nil"/>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FFFFFF"/>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FFFFFF"/>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4" w:space="0" w:color="FFFFFF"/>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single" w:sz="4" w:space="0" w:color="auto"/>
              <w:left w:val="nil"/>
              <w:bottom w:val="nil"/>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2.22</w:t>
            </w:r>
          </w:p>
        </w:tc>
        <w:tc>
          <w:tcPr>
            <w:tcW w:w="1080" w:type="dxa"/>
            <w:tcBorders>
              <w:top w:val="nil"/>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0.44</w:t>
            </w:r>
          </w:p>
        </w:tc>
        <w:tc>
          <w:tcPr>
            <w:tcW w:w="1080" w:type="dxa"/>
            <w:tcBorders>
              <w:top w:val="single" w:sz="4" w:space="0" w:color="auto"/>
              <w:left w:val="nil"/>
              <w:bottom w:val="single" w:sz="4"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-0.821</w:t>
            </w:r>
          </w:p>
        </w:tc>
      </w:tr>
      <w:tr w:rsidR="00B947E4" w:rsidRPr="00B947E4" w:rsidTr="00B947E4">
        <w:trPr>
          <w:trHeight w:val="345"/>
        </w:trPr>
        <w:tc>
          <w:tcPr>
            <w:tcW w:w="1080" w:type="dxa"/>
            <w:tcBorders>
              <w:top w:val="nil"/>
              <w:left w:val="single" w:sz="4" w:space="0" w:color="FFFFFF"/>
              <w:bottom w:val="single" w:sz="8" w:space="0" w:color="auto"/>
              <w:right w:val="nil"/>
            </w:tcBorders>
            <w:shd w:val="clear" w:color="000000" w:fill="FFFFFF"/>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8"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single" w:sz="8"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nil"/>
              <w:left w:val="nil"/>
              <w:bottom w:val="nil"/>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 xml:space="preserve">　</w:t>
            </w:r>
          </w:p>
        </w:tc>
        <w:tc>
          <w:tcPr>
            <w:tcW w:w="1080" w:type="dxa"/>
            <w:tcBorders>
              <w:top w:val="single" w:sz="4" w:space="0" w:color="auto"/>
              <w:left w:val="nil"/>
              <w:bottom w:val="nil"/>
              <w:right w:val="single" w:sz="4" w:space="0" w:color="FFFFFF"/>
            </w:tcBorders>
            <w:shd w:val="clear" w:color="auto" w:fill="auto"/>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2.3</w:t>
            </w:r>
          </w:p>
        </w:tc>
        <w:tc>
          <w:tcPr>
            <w:tcW w:w="1080" w:type="dxa"/>
            <w:tcBorders>
              <w:top w:val="nil"/>
              <w:left w:val="nil"/>
              <w:bottom w:val="single" w:sz="8"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0.46</w:t>
            </w:r>
          </w:p>
        </w:tc>
        <w:tc>
          <w:tcPr>
            <w:tcW w:w="1080" w:type="dxa"/>
            <w:tcBorders>
              <w:top w:val="nil"/>
              <w:left w:val="nil"/>
              <w:bottom w:val="single" w:sz="8" w:space="0" w:color="auto"/>
              <w:right w:val="single" w:sz="4" w:space="0" w:color="FFFFFF"/>
            </w:tcBorders>
            <w:shd w:val="clear" w:color="auto" w:fill="auto"/>
            <w:vAlign w:val="center"/>
            <w:hideMark/>
          </w:tcPr>
          <w:p w:rsidR="00B947E4" w:rsidRPr="00B947E4" w:rsidRDefault="00B947E4" w:rsidP="00B947E4">
            <w:pPr>
              <w:widowControl/>
              <w:jc w:val="center"/>
              <w:rPr>
                <w:rFonts w:ascii="Times New Roman" w:eastAsia="ＭＳ Ｐゴシック" w:hAnsi="Times New Roman" w:cs="Times New Roman"/>
                <w:color w:val="000000"/>
                <w:kern w:val="0"/>
                <w:sz w:val="24"/>
                <w:szCs w:val="24"/>
              </w:rPr>
            </w:pPr>
            <w:r w:rsidRPr="00B947E4">
              <w:rPr>
                <w:rFonts w:ascii="Times New Roman" w:eastAsia="ＭＳ Ｐゴシック" w:hAnsi="Times New Roman" w:cs="Times New Roman"/>
                <w:color w:val="000000"/>
                <w:kern w:val="0"/>
                <w:sz w:val="24"/>
                <w:szCs w:val="24"/>
              </w:rPr>
              <w:t>-0.7765</w:t>
            </w:r>
          </w:p>
        </w:tc>
      </w:tr>
    </w:tbl>
    <w:p w:rsidR="00B947E4" w:rsidRDefault="00B947E4" w:rsidP="00E9538E">
      <w:pPr>
        <w:rPr>
          <w:rFonts w:ascii="Times New Roman" w:hAnsi="Times New Roman" w:cs="Times New Roman" w:hint="eastAsia"/>
          <w:color w:val="333333"/>
          <w:sz w:val="24"/>
          <w:szCs w:val="24"/>
        </w:rPr>
      </w:pPr>
    </w:p>
    <w:p w:rsidR="00B947E4" w:rsidRDefault="00B947E4" w:rsidP="00E9538E">
      <w:pPr>
        <w:rPr>
          <w:rFonts w:ascii="Times New Roman" w:hAnsi="Times New Roman" w:cs="Times New Roman"/>
          <w:color w:val="333333"/>
          <w:sz w:val="24"/>
          <w:szCs w:val="24"/>
        </w:rPr>
        <w:sectPr w:rsidR="00B947E4" w:rsidSect="00B947E4">
          <w:pgSz w:w="11906" w:h="16838"/>
          <w:pgMar w:top="1985" w:right="1701" w:bottom="1701" w:left="1701" w:header="851" w:footer="992" w:gutter="0"/>
          <w:cols w:space="425"/>
          <w:docGrid w:type="lines" w:linePitch="360"/>
        </w:sectPr>
      </w:pPr>
    </w:p>
    <w:p w:rsidR="00B947E4" w:rsidRDefault="00B947E4" w:rsidP="00B947E4">
      <w:pPr>
        <w:rPr>
          <w:rFonts w:ascii="Times New Roman" w:hAnsi="Times New Roman" w:cs="Times New Roman" w:hint="eastAsia"/>
          <w:color w:val="333333"/>
          <w:sz w:val="24"/>
          <w:szCs w:val="24"/>
          <w:shd w:val="clear" w:color="auto" w:fill="FFFFFF"/>
        </w:rPr>
      </w:pPr>
      <w:proofErr w:type="gramStart"/>
      <w:r w:rsidRPr="00DE55E5">
        <w:rPr>
          <w:rFonts w:ascii="Times New Roman" w:hAnsi="Times New Roman" w:cs="Times New Roman"/>
          <w:b/>
          <w:color w:val="333333"/>
          <w:sz w:val="24"/>
          <w:szCs w:val="24"/>
          <w:shd w:val="clear" w:color="auto" w:fill="FFFFFF"/>
        </w:rPr>
        <w:lastRenderedPageBreak/>
        <w:t>Supplementary Table S4.</w:t>
      </w:r>
      <w:proofErr w:type="gramEnd"/>
      <w:r w:rsidRPr="00DE55E5">
        <w:rPr>
          <w:rFonts w:ascii="Times New Roman" w:hAnsi="Times New Roman" w:cs="Times New Roman"/>
          <w:b/>
          <w:color w:val="333333"/>
          <w:sz w:val="24"/>
          <w:szCs w:val="24"/>
          <w:shd w:val="clear" w:color="auto" w:fill="FFFFFF"/>
        </w:rPr>
        <w:t xml:space="preserve"> </w:t>
      </w:r>
      <w:proofErr w:type="gramStart"/>
      <w:r w:rsidRPr="00DE55E5">
        <w:rPr>
          <w:rFonts w:ascii="Times New Roman" w:hAnsi="Times New Roman" w:cs="Times New Roman"/>
          <w:b/>
          <w:color w:val="333333"/>
          <w:sz w:val="24"/>
          <w:szCs w:val="24"/>
          <w:shd w:val="clear" w:color="auto" w:fill="FFFFFF"/>
        </w:rPr>
        <w:t>Intervention-level data and correlation analyses relating TLR to derived probability-based measures.</w:t>
      </w:r>
      <w:proofErr w:type="gramEnd"/>
      <w:r w:rsidRPr="00DE55E5">
        <w:rPr>
          <w:rFonts w:ascii="Times New Roman" w:hAnsi="Times New Roman" w:cs="Times New Roman"/>
          <w:b/>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This table summarizes the relationships between the TLR and derived probability-based measures, including OR, RR, and NNT.</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Associations are presented descriptively to illustrate the mathematical and probabilistic correspondence between TLR and existing metrics. TLR shows direct correspondence with OR and RR, while showing an inverse relationship with NNT.</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These comparisons are intended to support interpretability and do not imply that these measures are interchangeable for inference or clinical decision-making.</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Note:</w:t>
      </w:r>
    </w:p>
    <w:p w:rsidR="00B947E4" w:rsidRDefault="00B947E4" w:rsidP="00B947E4">
      <w:pPr>
        <w:rPr>
          <w:rFonts w:ascii="Times New Roman" w:hAnsi="Times New Roman" w:cs="Times New Roman" w:hint="eastAsia"/>
          <w:color w:val="333333"/>
          <w:sz w:val="24"/>
          <w:szCs w:val="24"/>
        </w:rPr>
      </w:pPr>
      <w:r w:rsidRPr="00F94C78">
        <w:rPr>
          <w:rFonts w:ascii="Times New Roman" w:hAnsi="Times New Roman" w:cs="Times New Roman"/>
          <w:color w:val="333333"/>
          <w:sz w:val="24"/>
          <w:szCs w:val="24"/>
          <w:shd w:val="clear" w:color="auto" w:fill="FFFFFF"/>
        </w:rPr>
        <w:t>The number of interventions (n=25) varies across analyses due to differences in reporting formats across the original Cochrane reviews (e.g., missing event rates or standard deviations in some studies).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OR and LR+ show mathematical correspondence with TLR under the re-expression approach used in this study.</w:t>
      </w:r>
      <w:r w:rsidRPr="00F94C78">
        <w:rPr>
          <w:rFonts w:ascii="Times New Roman" w:hAnsi="Times New Roman" w:cs="Times New Roman"/>
          <w:color w:val="333333"/>
          <w:sz w:val="24"/>
          <w:szCs w:val="24"/>
        </w:rPr>
        <w:br/>
      </w:r>
    </w:p>
    <w:tbl>
      <w:tblPr>
        <w:tblStyle w:val="a4"/>
        <w:tblW w:w="0" w:type="auto"/>
        <w:tblLook w:val="04A0"/>
      </w:tblPr>
      <w:tblGrid>
        <w:gridCol w:w="2004"/>
        <w:gridCol w:w="1524"/>
        <w:gridCol w:w="1345"/>
        <w:gridCol w:w="1679"/>
        <w:gridCol w:w="1350"/>
        <w:gridCol w:w="1350"/>
        <w:gridCol w:w="1416"/>
        <w:gridCol w:w="1350"/>
        <w:gridCol w:w="1350"/>
      </w:tblGrid>
      <w:tr w:rsidR="00B2055F" w:rsidRPr="00B2055F" w:rsidTr="00B2055F">
        <w:trPr>
          <w:trHeight w:val="1275"/>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Intervention</w:t>
            </w:r>
          </w:p>
        </w:tc>
        <w:tc>
          <w:tcPr>
            <w:tcW w:w="1398"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Disease</w:t>
            </w:r>
          </w:p>
        </w:tc>
        <w:tc>
          <w:tcPr>
            <w:tcW w:w="1163"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TLR+</w:t>
            </w:r>
          </w:p>
        </w:tc>
        <w:tc>
          <w:tcPr>
            <w:tcW w:w="1597"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Estimate RR (relative risk): P=10%</w:t>
            </w:r>
          </w:p>
        </w:tc>
        <w:tc>
          <w:tcPr>
            <w:tcW w:w="1584"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RR: P=25%</w:t>
            </w:r>
          </w:p>
        </w:tc>
        <w:tc>
          <w:tcPr>
            <w:tcW w:w="1584"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RR: P=50%</w:t>
            </w:r>
          </w:p>
        </w:tc>
        <w:tc>
          <w:tcPr>
            <w:tcW w:w="1587"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Estimate NNT (Number Needed to Treat) : P=10%</w:t>
            </w:r>
          </w:p>
        </w:tc>
        <w:tc>
          <w:tcPr>
            <w:tcW w:w="1584"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NNT: P=25%</w:t>
            </w:r>
          </w:p>
        </w:tc>
        <w:tc>
          <w:tcPr>
            <w:tcW w:w="1584"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NNT: P=50%</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Exercise</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NSLBP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2.52</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2.19</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1.83</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1.43</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8.4</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4.8</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7.1</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lastRenderedPageBreak/>
              <w:t>Manual therapy</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NSLBP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1.92</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1.76</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1.56</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1.32</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13.2</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7.1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11</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Acupuncture</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NSLBP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1.73</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1.61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1.46</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1.27</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16.4</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8.6</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13.6</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Education</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NSLBP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1.42</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1.36</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1.28</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1.17</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27.6</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23.6</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 xml:space="preserve">Multidisciplinary </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NSLBP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2.05</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1.85</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1.62</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1.34</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11.7</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6.4</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9.8</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Yoga</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NSLBP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2.4</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2.11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1.78</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1.41</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9</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5.1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7.6</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Pilates</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NSLBP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2.62</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2.26</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1.87</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1.45</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7.9</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4.6</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6.8</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Mindfulness</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NSLBP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1.62</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1.52</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1.24</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19.3</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10</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15.8</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Traction</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NSLBP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1.12</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1.11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1.09</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1.06</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92.2</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45</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81.3</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TENS</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NSLBP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1.18</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1.16</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1.13</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1.08</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63.8</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30.5</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54.1</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Exercise</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Osteoarthritis </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2.43</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2.13</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1.79</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1.41</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8.8</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5.1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7.5</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Acupuncture</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Neck pain</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1.82</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1.68</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1.51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14.6</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7.8</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12.3</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Massage</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2.45</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2.14</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1.8</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1.42</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8.7</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5</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7.4</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Operation</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Hernia</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2.21</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1.97</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1.7</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1.38</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10.3</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5.8</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8.6</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lastRenderedPageBreak/>
              <w:t>Acupuncture</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TTH</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2.12</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1.91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1.65</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1.35</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6.1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9.3</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Acupuncture</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COPD</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2.85</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2.4</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1.95</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1.48</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7.1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4.2</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6.1</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Acupuncture</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Depression</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1.48</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1.32</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1.19</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24.3</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12.5</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20.4</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Physical Therapy</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Stroke</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2.38</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2.09</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1.77</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9.2</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5.2</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7.8</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High-exercise</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Parkinson</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2.25</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1.71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1.38</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10</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5.6</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8.4</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Physical Therapy</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Coronary</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2.6</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2.24</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1.86</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1.44</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8</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4.6</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6.9</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Exercise</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1.9</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1.74</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1.55</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1.31</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13.5</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7.3</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11.2</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Acupuncture</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1.6</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1.51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1.39</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1.23</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19.8</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10.2</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16.2</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Manual therapy</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1.5</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1.43</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1.33</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1.2</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23.3</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12</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19.4</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Psychotherapy</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1.35</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1.27</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1.17</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29</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14.8</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24.9</w:t>
            </w:r>
          </w:p>
        </w:tc>
      </w:tr>
      <w:tr w:rsidR="00B2055F" w:rsidRPr="00B2055F" w:rsidTr="00B2055F">
        <w:trPr>
          <w:trHeight w:val="60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Physical agents</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LBP</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1.1</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1.09</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1.08</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1.05</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111.1</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53</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96</w:t>
            </w:r>
          </w:p>
        </w:tc>
      </w:tr>
      <w:tr w:rsidR="00B2055F" w:rsidRPr="00B2055F" w:rsidTr="00B2055F">
        <w:trPr>
          <w:trHeight w:val="33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 xml:space="preserve">　</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r>
      <w:tr w:rsidR="00B2055F" w:rsidRPr="00B2055F" w:rsidTr="00B2055F">
        <w:trPr>
          <w:trHeight w:val="1275"/>
        </w:trPr>
        <w:tc>
          <w:tcPr>
            <w:tcW w:w="1719" w:type="dxa"/>
            <w:hideMark/>
          </w:tcPr>
          <w:p w:rsidR="00B2055F" w:rsidRPr="00B2055F" w:rsidRDefault="00B2055F" w:rsidP="00B2055F">
            <w:pPr>
              <w:rPr>
                <w:rFonts w:ascii="Times New Roman" w:hAnsi="Times New Roman" w:cs="Times New Roman"/>
                <w:b/>
                <w:bCs/>
                <w:color w:val="333333"/>
                <w:sz w:val="24"/>
                <w:szCs w:val="24"/>
              </w:rPr>
            </w:pPr>
            <w:r w:rsidRPr="00B2055F">
              <w:rPr>
                <w:rFonts w:ascii="Times New Roman" w:hAnsi="Times New Roman" w:cs="Times New Roman"/>
                <w:b/>
                <w:bCs/>
                <w:color w:val="333333"/>
                <w:sz w:val="24"/>
                <w:szCs w:val="24"/>
              </w:rPr>
              <w:lastRenderedPageBreak/>
              <w:t>Measure</w:t>
            </w:r>
          </w:p>
        </w:tc>
        <w:tc>
          <w:tcPr>
            <w:tcW w:w="1398" w:type="dxa"/>
            <w:hideMark/>
          </w:tcPr>
          <w:p w:rsidR="00B2055F" w:rsidRPr="00B2055F" w:rsidRDefault="00B2055F" w:rsidP="00B2055F">
            <w:pPr>
              <w:rPr>
                <w:rFonts w:ascii="Times New Roman" w:hAnsi="Times New Roman" w:cs="Times New Roman"/>
                <w:b/>
                <w:bCs/>
                <w:color w:val="333333"/>
                <w:sz w:val="24"/>
                <w:szCs w:val="24"/>
              </w:rPr>
            </w:pPr>
            <w:r w:rsidRPr="00B2055F">
              <w:rPr>
                <w:rFonts w:ascii="Times New Roman" w:hAnsi="Times New Roman" w:cs="Times New Roman"/>
                <w:b/>
                <w:bCs/>
                <w:color w:val="333333"/>
                <w:sz w:val="24"/>
                <w:szCs w:val="24"/>
              </w:rPr>
              <w:t>Pearson correlation (r)</w:t>
            </w:r>
          </w:p>
        </w:tc>
        <w:tc>
          <w:tcPr>
            <w:tcW w:w="1163" w:type="dxa"/>
            <w:hideMark/>
          </w:tcPr>
          <w:p w:rsidR="00B2055F" w:rsidRPr="00B2055F" w:rsidRDefault="00B2055F" w:rsidP="00B2055F">
            <w:pPr>
              <w:rPr>
                <w:rFonts w:ascii="Times New Roman" w:hAnsi="Times New Roman" w:cs="Times New Roman"/>
                <w:b/>
                <w:bCs/>
                <w:color w:val="333333"/>
                <w:sz w:val="24"/>
                <w:szCs w:val="24"/>
              </w:rPr>
            </w:pPr>
            <w:r w:rsidRPr="00B2055F">
              <w:rPr>
                <w:rFonts w:ascii="Times New Roman" w:hAnsi="Times New Roman" w:cs="Times New Roman"/>
                <w:b/>
                <w:bCs/>
                <w:color w:val="333333"/>
                <w:sz w:val="24"/>
                <w:szCs w:val="24"/>
              </w:rPr>
              <w:t>Spearman rank correlation (p)</w:t>
            </w:r>
          </w:p>
        </w:tc>
        <w:tc>
          <w:tcPr>
            <w:tcW w:w="1597" w:type="dxa"/>
            <w:hideMark/>
          </w:tcPr>
          <w:p w:rsidR="00B2055F" w:rsidRPr="00B2055F" w:rsidRDefault="00B2055F" w:rsidP="00B2055F">
            <w:pPr>
              <w:rPr>
                <w:rFonts w:ascii="Times New Roman" w:hAnsi="Times New Roman" w:cs="Times New Roman"/>
                <w:b/>
                <w:bCs/>
                <w:color w:val="333333"/>
                <w:sz w:val="24"/>
                <w:szCs w:val="24"/>
              </w:rPr>
            </w:pPr>
            <w:r w:rsidRPr="00B2055F">
              <w:rPr>
                <w:rFonts w:ascii="Times New Roman" w:hAnsi="Times New Roman" w:cs="Times New Roman"/>
                <w:b/>
                <w:bCs/>
                <w:color w:val="333333"/>
                <w:sz w:val="24"/>
                <w:szCs w:val="24"/>
              </w:rPr>
              <w:t>Interpretation</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r>
      <w:tr w:rsidR="00B2055F" w:rsidRPr="00B2055F" w:rsidTr="00B2055F">
        <w:trPr>
          <w:trHeight w:val="96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RR (Baseline risk = 10%)</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0.999</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Extremely high positive correlation</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r>
      <w:tr w:rsidR="00B2055F" w:rsidRPr="00B2055F" w:rsidTr="00B2055F">
        <w:trPr>
          <w:trHeight w:val="945"/>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RR (Baseline risk = 25%)</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0.996</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Extremely high positive correlation</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r>
      <w:tr w:rsidR="00B2055F" w:rsidRPr="00B2055F" w:rsidTr="00B2055F">
        <w:trPr>
          <w:trHeight w:val="945"/>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RR (Baseline risk = 50%)</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0.976</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Extremely high positive correlation</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r>
      <w:tr w:rsidR="00B2055F" w:rsidRPr="00B2055F" w:rsidTr="00B2055F">
        <w:trPr>
          <w:trHeight w:val="63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NNT (Baseline risk = 10%)</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-0.654</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Strong inverse correlation</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r>
      <w:tr w:rsidR="00B2055F" w:rsidRPr="00B2055F" w:rsidTr="00B2055F">
        <w:trPr>
          <w:trHeight w:val="630"/>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NNT (Baseline risk = 25%)</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-0.738</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Strong inverse correlation</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r>
      <w:tr w:rsidR="00B2055F" w:rsidRPr="00B2055F" w:rsidTr="00B2055F">
        <w:trPr>
          <w:trHeight w:val="645"/>
        </w:trPr>
        <w:tc>
          <w:tcPr>
            <w:tcW w:w="1719" w:type="dxa"/>
            <w:hideMark/>
          </w:tcPr>
          <w:p w:rsidR="00B2055F" w:rsidRPr="00B2055F" w:rsidRDefault="00B2055F" w:rsidP="00B2055F">
            <w:pPr>
              <w:rPr>
                <w:rFonts w:ascii="Times New Roman" w:hAnsi="Times New Roman" w:cs="Times New Roman"/>
                <w:b/>
                <w:color w:val="333333"/>
                <w:sz w:val="24"/>
                <w:szCs w:val="24"/>
              </w:rPr>
            </w:pPr>
            <w:r w:rsidRPr="00B2055F">
              <w:rPr>
                <w:rFonts w:ascii="Times New Roman" w:hAnsi="Times New Roman" w:cs="Times New Roman"/>
                <w:b/>
                <w:color w:val="333333"/>
                <w:sz w:val="24"/>
                <w:szCs w:val="24"/>
              </w:rPr>
              <w:t>NNT (Baseline risk = 50%)</w:t>
            </w:r>
          </w:p>
        </w:tc>
        <w:tc>
          <w:tcPr>
            <w:tcW w:w="1398"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-0.849</w:t>
            </w:r>
          </w:p>
        </w:tc>
        <w:tc>
          <w:tcPr>
            <w:tcW w:w="1163"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-1</w:t>
            </w:r>
          </w:p>
        </w:tc>
        <w:tc>
          <w:tcPr>
            <w:tcW w:w="159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Strong inverse correlation</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7"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c>
          <w:tcPr>
            <w:tcW w:w="1584" w:type="dxa"/>
            <w:hideMark/>
          </w:tcPr>
          <w:p w:rsidR="00B2055F" w:rsidRPr="00B2055F" w:rsidRDefault="00B2055F" w:rsidP="00B2055F">
            <w:pPr>
              <w:rPr>
                <w:rFonts w:ascii="Times New Roman" w:hAnsi="Times New Roman" w:cs="Times New Roman"/>
                <w:color w:val="333333"/>
                <w:sz w:val="24"/>
                <w:szCs w:val="24"/>
              </w:rPr>
            </w:pPr>
            <w:r w:rsidRPr="00B2055F">
              <w:rPr>
                <w:rFonts w:ascii="Times New Roman" w:hAnsi="Times New Roman" w:cs="Times New Roman"/>
                <w:color w:val="333333"/>
                <w:sz w:val="24"/>
                <w:szCs w:val="24"/>
              </w:rPr>
              <w:t xml:space="preserve">　</w:t>
            </w:r>
          </w:p>
        </w:tc>
      </w:tr>
      <w:tr w:rsidR="00B2055F" w:rsidRPr="00B2055F" w:rsidTr="00B2055F">
        <w:trPr>
          <w:trHeight w:val="3675"/>
        </w:trPr>
        <w:tc>
          <w:tcPr>
            <w:tcW w:w="13800" w:type="dxa"/>
            <w:gridSpan w:val="9"/>
            <w:hideMark/>
          </w:tcPr>
          <w:p w:rsidR="00B2055F" w:rsidRPr="00B2055F" w:rsidRDefault="00B2055F">
            <w:pPr>
              <w:rPr>
                <w:rFonts w:ascii="Times New Roman" w:hAnsi="Times New Roman" w:cs="Times New Roman"/>
                <w:color w:val="333333"/>
                <w:sz w:val="24"/>
                <w:szCs w:val="24"/>
              </w:rPr>
            </w:pPr>
            <w:r w:rsidRPr="00B2055F">
              <w:rPr>
                <w:rFonts w:ascii="Times New Roman" w:hAnsi="Times New Roman" w:cs="Times New Roman"/>
                <w:b/>
                <w:bCs/>
                <w:color w:val="333333"/>
                <w:sz w:val="24"/>
                <w:szCs w:val="24"/>
              </w:rPr>
              <w:lastRenderedPageBreak/>
              <w:t>Footnote:</w:t>
            </w:r>
            <w:r w:rsidRPr="00B2055F">
              <w:rPr>
                <w:rFonts w:ascii="Times New Roman" w:hAnsi="Times New Roman" w:cs="Times New Roman" w:hint="eastAsia"/>
                <w:color w:val="333333"/>
                <w:sz w:val="24"/>
                <w:szCs w:val="24"/>
              </w:rPr>
              <w:t> </w:t>
            </w:r>
            <w:r w:rsidRPr="00B2055F">
              <w:rPr>
                <w:rFonts w:ascii="Times New Roman" w:hAnsi="Times New Roman" w:cs="Times New Roman"/>
                <w:color w:val="333333"/>
                <w:sz w:val="24"/>
                <w:szCs w:val="24"/>
              </w:rPr>
              <w:t>Relative risk (RR) and number needed to treat (NNT) were derived under assumed baseline risks of 10%, 25%, and 50%.</w:t>
            </w:r>
            <w:r w:rsidRPr="00B2055F">
              <w:rPr>
                <w:rFonts w:ascii="Times New Roman" w:hAnsi="Times New Roman" w:cs="Times New Roman"/>
                <w:color w:val="333333"/>
                <w:sz w:val="24"/>
                <w:szCs w:val="24"/>
              </w:rPr>
              <w:br/>
            </w:r>
            <w:r w:rsidRPr="00B2055F">
              <w:rPr>
                <w:rFonts w:ascii="Times New Roman" w:hAnsi="Times New Roman" w:cs="Times New Roman"/>
                <w:color w:val="333333"/>
                <w:sz w:val="24"/>
                <w:szCs w:val="24"/>
              </w:rPr>
              <w:br/>
              <w:t xml:space="preserve">By definition, TLR is mathematically equivalent to likelihood ratio (LR+) and odds ratio (OR) </w:t>
            </w:r>
            <w:proofErr w:type="gramStart"/>
            <w:r w:rsidRPr="00B2055F">
              <w:rPr>
                <w:rFonts w:ascii="Times New Roman" w:hAnsi="Times New Roman" w:cs="Times New Roman"/>
                <w:color w:val="333333"/>
                <w:sz w:val="24"/>
                <w:szCs w:val="24"/>
              </w:rPr>
              <w:t>under</w:t>
            </w:r>
            <w:proofErr w:type="gramEnd"/>
            <w:r w:rsidRPr="00B2055F">
              <w:rPr>
                <w:rFonts w:ascii="Times New Roman" w:hAnsi="Times New Roman" w:cs="Times New Roman"/>
                <w:color w:val="333333"/>
                <w:sz w:val="24"/>
                <w:szCs w:val="24"/>
              </w:rPr>
              <w:t xml:space="preserve"> the transformation framework used in this study; therefore, these measures are not presented as independent correlation analyses.</w:t>
            </w:r>
            <w:r w:rsidRPr="00B2055F">
              <w:rPr>
                <w:rFonts w:ascii="Times New Roman" w:hAnsi="Times New Roman" w:cs="Times New Roman"/>
                <w:color w:val="333333"/>
                <w:sz w:val="24"/>
                <w:szCs w:val="24"/>
              </w:rPr>
              <w:br/>
            </w:r>
            <w:r w:rsidRPr="00B2055F">
              <w:rPr>
                <w:rFonts w:ascii="Times New Roman" w:hAnsi="Times New Roman" w:cs="Times New Roman"/>
                <w:color w:val="333333"/>
                <w:sz w:val="24"/>
                <w:szCs w:val="24"/>
              </w:rPr>
              <w:br/>
              <w:t>The inverse correlation observed for NNT reflects the expected inverse relationship between treatment leverage and the number needed to treat.</w:t>
            </w:r>
          </w:p>
        </w:tc>
      </w:tr>
    </w:tbl>
    <w:p w:rsidR="00B2055F" w:rsidRPr="00B2055F" w:rsidRDefault="00B2055F" w:rsidP="00B947E4">
      <w:pPr>
        <w:rPr>
          <w:rFonts w:ascii="Times New Roman" w:hAnsi="Times New Roman" w:cs="Times New Roman" w:hint="eastAsia"/>
          <w:color w:val="333333"/>
          <w:sz w:val="24"/>
          <w:szCs w:val="24"/>
        </w:rPr>
      </w:pPr>
    </w:p>
    <w:p w:rsidR="00B2055F" w:rsidRDefault="00B2055F" w:rsidP="00E9538E">
      <w:pPr>
        <w:rPr>
          <w:rFonts w:ascii="Times New Roman" w:hAnsi="Times New Roman" w:cs="Times New Roman"/>
          <w:color w:val="333333"/>
          <w:sz w:val="24"/>
          <w:szCs w:val="24"/>
        </w:rPr>
        <w:sectPr w:rsidR="00B2055F" w:rsidSect="00B947E4">
          <w:pgSz w:w="16838" w:h="11906" w:orient="landscape"/>
          <w:pgMar w:top="1701" w:right="1985" w:bottom="1701" w:left="1701" w:header="851" w:footer="992" w:gutter="0"/>
          <w:cols w:space="425"/>
          <w:docGrid w:type="lines" w:linePitch="360"/>
        </w:sectPr>
      </w:pPr>
    </w:p>
    <w:p w:rsidR="00D26A68" w:rsidRDefault="005061B8" w:rsidP="00E9538E">
      <w:pPr>
        <w:rPr>
          <w:rFonts w:ascii="Times New Roman" w:hAnsi="Times New Roman" w:cs="Times New Roman" w:hint="eastAsia"/>
          <w:color w:val="333333"/>
          <w:sz w:val="24"/>
          <w:szCs w:val="24"/>
        </w:rPr>
      </w:pPr>
      <w:r w:rsidRPr="00F94C78">
        <w:rPr>
          <w:rFonts w:ascii="Times New Roman" w:hAnsi="Times New Roman" w:cs="Times New Roman"/>
          <w:color w:val="333333"/>
          <w:sz w:val="24"/>
          <w:szCs w:val="24"/>
        </w:rPr>
        <w:lastRenderedPageBreak/>
        <w:br/>
      </w:r>
      <w:r w:rsidRPr="00D26A68">
        <w:rPr>
          <w:rFonts w:ascii="Times New Roman" w:hAnsi="Times New Roman" w:cs="Times New Roman"/>
          <w:b/>
          <w:color w:val="333333"/>
          <w:sz w:val="28"/>
          <w:szCs w:val="28"/>
          <w:shd w:val="clear" w:color="auto" w:fill="FFFFFF"/>
        </w:rPr>
        <w:t>S5.5 Interpretation of statistical consistency</w:t>
      </w:r>
    </w:p>
    <w:p w:rsidR="00DE55E5" w:rsidRDefault="005061B8" w:rsidP="00F94C78">
      <w:pPr>
        <w:rPr>
          <w:rFonts w:ascii="Times New Roman" w:hAnsi="Times New Roman" w:cs="Times New Roman" w:hint="eastAsia"/>
          <w:color w:val="333333"/>
          <w:sz w:val="24"/>
          <w:szCs w:val="24"/>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Overall, TLR demonstrates coherent statistical behavior across different conventional effect metrics while maintaining its structure as a probability-based ratio derived from continuous outcomes.</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This section describes statistical consistency and does not imply causal interpretation or estimator equivalence.</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DE55E5">
        <w:rPr>
          <w:rFonts w:ascii="Times New Roman" w:hAnsi="Times New Roman" w:cs="Times New Roman"/>
          <w:b/>
          <w:color w:val="333333"/>
          <w:sz w:val="28"/>
          <w:szCs w:val="28"/>
          <w:shd w:val="clear" w:color="auto" w:fill="FFFFFF"/>
        </w:rPr>
        <w:t>Supplementary Conclusion</w:t>
      </w:r>
    </w:p>
    <w:p w:rsidR="00B2055F" w:rsidRPr="00DE55E5" w:rsidRDefault="005061B8" w:rsidP="00B2055F">
      <w:pPr>
        <w:rPr>
          <w:rFonts w:ascii="Times New Roman" w:hAnsi="Times New Roman" w:cs="Times New Roman"/>
          <w:b/>
          <w:color w:val="333333"/>
          <w:sz w:val="28"/>
          <w:szCs w:val="28"/>
          <w:shd w:val="clear" w:color="auto" w:fill="FFFFFF"/>
        </w:rPr>
      </w:pP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This supplementary material provides detailed information on the calculation, reproducibility, and transparency of the TLR.</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It is designed to complement the main text by supporting both interpretation and verification of the analyses presented in this study.</w:t>
      </w:r>
      <w:r w:rsidR="00DE55E5">
        <w:rPr>
          <w:rFonts w:ascii="Times New Roman" w:hAnsi="Times New Roman" w:cs="Times New Roman"/>
          <w:color w:val="333333"/>
          <w:sz w:val="24"/>
          <w:szCs w:val="24"/>
        </w:rPr>
        <w:br/>
      </w:r>
      <w:r w:rsidR="00DE55E5">
        <w:rPr>
          <w:rFonts w:ascii="Times New Roman" w:hAnsi="Times New Roman" w:cs="Times New Roman"/>
          <w:color w:val="333333"/>
          <w:sz w:val="24"/>
          <w:szCs w:val="24"/>
        </w:rPr>
        <w:br/>
      </w:r>
    </w:p>
    <w:p w:rsidR="00F94C78" w:rsidRPr="00F94C78" w:rsidRDefault="005061B8" w:rsidP="00F94C78">
      <w:pPr>
        <w:rPr>
          <w:rFonts w:ascii="Times New Roman" w:hAnsi="Times New Roman" w:cs="Times New Roman"/>
          <w:color w:val="333333"/>
          <w:sz w:val="24"/>
          <w:szCs w:val="24"/>
          <w:shd w:val="clear" w:color="auto" w:fill="FFFFFF"/>
        </w:rPr>
      </w:pPr>
      <w:r w:rsidRPr="00DE55E5">
        <w:rPr>
          <w:rFonts w:ascii="Times New Roman" w:hAnsi="Times New Roman" w:cs="Times New Roman"/>
          <w:b/>
          <w:color w:val="333333"/>
          <w:sz w:val="28"/>
          <w:szCs w:val="28"/>
          <w:shd w:val="clear" w:color="auto" w:fill="FFFFFF"/>
        </w:rPr>
        <w:t>S-Reference List (included studies</w:t>
      </w:r>
      <w:proofErr w:type="gramStart"/>
      <w:r w:rsidRPr="00DE55E5">
        <w:rPr>
          <w:rFonts w:ascii="Times New Roman" w:hAnsi="Times New Roman" w:cs="Times New Roman"/>
          <w:b/>
          <w:color w:val="333333"/>
          <w:sz w:val="28"/>
          <w:szCs w:val="28"/>
          <w:shd w:val="clear" w:color="auto" w:fill="FFFFFF"/>
        </w:rPr>
        <w:t>)</w:t>
      </w:r>
      <w:proofErr w:type="gramEnd"/>
      <w:r w:rsidRPr="00DE55E5">
        <w:rPr>
          <w:rFonts w:ascii="Times New Roman" w:hAnsi="Times New Roman" w:cs="Times New Roman"/>
          <w:b/>
          <w:color w:val="333333"/>
          <w:sz w:val="28"/>
          <w:szCs w:val="28"/>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 xml:space="preserve">Garcia MK, </w:t>
      </w:r>
      <w:proofErr w:type="spellStart"/>
      <w:r w:rsidRPr="00F94C78">
        <w:rPr>
          <w:rFonts w:ascii="Times New Roman" w:hAnsi="Times New Roman" w:cs="Times New Roman"/>
          <w:color w:val="333333"/>
          <w:sz w:val="24"/>
          <w:szCs w:val="24"/>
          <w:shd w:val="clear" w:color="auto" w:fill="FFFFFF"/>
        </w:rPr>
        <w:t>Meng</w:t>
      </w:r>
      <w:proofErr w:type="spellEnd"/>
      <w:r w:rsidRPr="00F94C78">
        <w:rPr>
          <w:rFonts w:ascii="Times New Roman" w:hAnsi="Times New Roman" w:cs="Times New Roman"/>
          <w:color w:val="333333"/>
          <w:sz w:val="24"/>
          <w:szCs w:val="24"/>
          <w:shd w:val="clear" w:color="auto" w:fill="FFFFFF"/>
        </w:rPr>
        <w:t xml:space="preserve"> Z, Rosenthal, et al. Effect of True and Sham Acupuncture on Radiation-Induced </w:t>
      </w:r>
      <w:proofErr w:type="spellStart"/>
      <w:r w:rsidRPr="00F94C78">
        <w:rPr>
          <w:rFonts w:ascii="Times New Roman" w:hAnsi="Times New Roman" w:cs="Times New Roman"/>
          <w:color w:val="333333"/>
          <w:sz w:val="24"/>
          <w:szCs w:val="24"/>
          <w:shd w:val="clear" w:color="auto" w:fill="FFFFFF"/>
        </w:rPr>
        <w:t>Xerostomia</w:t>
      </w:r>
      <w:proofErr w:type="spellEnd"/>
      <w:r w:rsidRPr="00F94C78">
        <w:rPr>
          <w:rFonts w:ascii="Times New Roman" w:hAnsi="Times New Roman" w:cs="Times New Roman"/>
          <w:color w:val="333333"/>
          <w:sz w:val="24"/>
          <w:szCs w:val="24"/>
          <w:shd w:val="clear" w:color="auto" w:fill="FFFFFF"/>
        </w:rPr>
        <w:t xml:space="preserve"> Among Patients With Head and Neck Cancer: A Randomized Clinical Trial. </w:t>
      </w:r>
      <w:proofErr w:type="gramStart"/>
      <w:r w:rsidRPr="00F94C78">
        <w:rPr>
          <w:rFonts w:ascii="Times New Roman" w:hAnsi="Times New Roman" w:cs="Times New Roman"/>
          <w:color w:val="333333"/>
          <w:sz w:val="24"/>
          <w:szCs w:val="24"/>
          <w:shd w:val="clear" w:color="auto" w:fill="FFFFFF"/>
        </w:rPr>
        <w:t xml:space="preserve">JAMA </w:t>
      </w:r>
      <w:proofErr w:type="spellStart"/>
      <w:r w:rsidRPr="00F94C78">
        <w:rPr>
          <w:rFonts w:ascii="Times New Roman" w:hAnsi="Times New Roman" w:cs="Times New Roman"/>
          <w:color w:val="333333"/>
          <w:sz w:val="24"/>
          <w:szCs w:val="24"/>
          <w:shd w:val="clear" w:color="auto" w:fill="FFFFFF"/>
        </w:rPr>
        <w:t>Netw</w:t>
      </w:r>
      <w:proofErr w:type="spellEnd"/>
      <w:r w:rsidRPr="00F94C78">
        <w:rPr>
          <w:rFonts w:ascii="Times New Roman" w:hAnsi="Times New Roman" w:cs="Times New Roman"/>
          <w:color w:val="333333"/>
          <w:sz w:val="24"/>
          <w:szCs w:val="24"/>
          <w:shd w:val="clear" w:color="auto" w:fill="FFFFFF"/>
        </w:rPr>
        <w:t xml:space="preserve"> Open.</w:t>
      </w:r>
      <w:proofErr w:type="gramEnd"/>
      <w:r w:rsidRPr="00F94C78">
        <w:rPr>
          <w:rFonts w:ascii="Times New Roman" w:hAnsi="Times New Roman" w:cs="Times New Roman"/>
          <w:color w:val="333333"/>
          <w:sz w:val="24"/>
          <w:szCs w:val="24"/>
          <w:shd w:val="clear" w:color="auto" w:fill="FFFFFF"/>
        </w:rPr>
        <w:t xml:space="preserve"> 2019</w:t>
      </w:r>
      <w:proofErr w:type="gramStart"/>
      <w:r w:rsidRPr="00F94C78">
        <w:rPr>
          <w:rFonts w:ascii="Times New Roman" w:hAnsi="Times New Roman" w:cs="Times New Roman"/>
          <w:color w:val="333333"/>
          <w:sz w:val="24"/>
          <w:szCs w:val="24"/>
          <w:shd w:val="clear" w:color="auto" w:fill="FFFFFF"/>
        </w:rPr>
        <w:t>;2</w:t>
      </w:r>
      <w:proofErr w:type="gramEnd"/>
      <w:r w:rsidRPr="00F94C78">
        <w:rPr>
          <w:rFonts w:ascii="Times New Roman" w:hAnsi="Times New Roman" w:cs="Times New Roman"/>
          <w:color w:val="333333"/>
          <w:sz w:val="24"/>
          <w:szCs w:val="24"/>
          <w:shd w:val="clear" w:color="auto" w:fill="FFFFFF"/>
        </w:rPr>
        <w:t xml:space="preserve">(12):e1916910. </w:t>
      </w:r>
      <w:proofErr w:type="spellStart"/>
      <w:proofErr w:type="gramStart"/>
      <w:r w:rsidRPr="00F94C78">
        <w:rPr>
          <w:rFonts w:ascii="Times New Roman" w:hAnsi="Times New Roman" w:cs="Times New Roman"/>
          <w:color w:val="333333"/>
          <w:sz w:val="24"/>
          <w:szCs w:val="24"/>
          <w:shd w:val="clear" w:color="auto" w:fill="FFFFFF"/>
        </w:rPr>
        <w:t>doi</w:t>
      </w:r>
      <w:proofErr w:type="spellEnd"/>
      <w:proofErr w:type="gramEnd"/>
      <w:r w:rsidRPr="00F94C78">
        <w:rPr>
          <w:rFonts w:ascii="Times New Roman" w:hAnsi="Times New Roman" w:cs="Times New Roman"/>
          <w:color w:val="333333"/>
          <w:sz w:val="24"/>
          <w:szCs w:val="24"/>
          <w:shd w:val="clear" w:color="auto" w:fill="FFFFFF"/>
        </w:rPr>
        <w:t>: 10.1001/jamanetworkopen.2019.16910.</w:t>
      </w:r>
      <w:r w:rsidR="00DE55E5">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proofErr w:type="spellStart"/>
      <w:r w:rsidRPr="00F94C78">
        <w:rPr>
          <w:rFonts w:ascii="Times New Roman" w:hAnsi="Times New Roman" w:cs="Times New Roman"/>
          <w:color w:val="333333"/>
          <w:sz w:val="24"/>
          <w:szCs w:val="24"/>
          <w:shd w:val="clear" w:color="auto" w:fill="FFFFFF"/>
        </w:rPr>
        <w:t>Fransen</w:t>
      </w:r>
      <w:proofErr w:type="spellEnd"/>
      <w:r w:rsidRPr="00F94C78">
        <w:rPr>
          <w:rFonts w:ascii="Times New Roman" w:hAnsi="Times New Roman" w:cs="Times New Roman"/>
          <w:color w:val="333333"/>
          <w:sz w:val="24"/>
          <w:szCs w:val="24"/>
          <w:shd w:val="clear" w:color="auto" w:fill="FFFFFF"/>
        </w:rPr>
        <w:t xml:space="preserve"> M, McConnell S, Harmer AR, et al. Exercise for osteoarthritis of the knee. Cochrane Database </w:t>
      </w:r>
      <w:proofErr w:type="spellStart"/>
      <w:r w:rsidRPr="00F94C78">
        <w:rPr>
          <w:rFonts w:ascii="Times New Roman" w:hAnsi="Times New Roman" w:cs="Times New Roman"/>
          <w:color w:val="333333"/>
          <w:sz w:val="24"/>
          <w:szCs w:val="24"/>
          <w:shd w:val="clear" w:color="auto" w:fill="FFFFFF"/>
        </w:rPr>
        <w:t>Syst</w:t>
      </w:r>
      <w:proofErr w:type="spellEnd"/>
      <w:r w:rsidRPr="00F94C78">
        <w:rPr>
          <w:rFonts w:ascii="Times New Roman" w:hAnsi="Times New Roman" w:cs="Times New Roman"/>
          <w:color w:val="333333"/>
          <w:sz w:val="24"/>
          <w:szCs w:val="24"/>
          <w:shd w:val="clear" w:color="auto" w:fill="FFFFFF"/>
        </w:rPr>
        <w:t xml:space="preserve"> Rev. 2015</w:t>
      </w:r>
      <w:proofErr w:type="gramStart"/>
      <w:r w:rsidRPr="00F94C78">
        <w:rPr>
          <w:rFonts w:ascii="Times New Roman" w:hAnsi="Times New Roman" w:cs="Times New Roman"/>
          <w:color w:val="333333"/>
          <w:sz w:val="24"/>
          <w:szCs w:val="24"/>
          <w:shd w:val="clear" w:color="auto" w:fill="FFFFFF"/>
        </w:rPr>
        <w:t>;1:CD004376</w:t>
      </w:r>
      <w:proofErr w:type="gramEnd"/>
      <w:r w:rsidRPr="00F94C78">
        <w:rPr>
          <w:rFonts w:ascii="Times New Roman" w:hAnsi="Times New Roman" w:cs="Times New Roman"/>
          <w:color w:val="333333"/>
          <w:sz w:val="24"/>
          <w:szCs w:val="24"/>
          <w:shd w:val="clear" w:color="auto" w:fill="FFFFFF"/>
        </w:rPr>
        <w:t xml:space="preserve">. </w:t>
      </w:r>
      <w:proofErr w:type="spellStart"/>
      <w:proofErr w:type="gramStart"/>
      <w:r w:rsidRPr="00F94C78">
        <w:rPr>
          <w:rFonts w:ascii="Times New Roman" w:hAnsi="Times New Roman" w:cs="Times New Roman"/>
          <w:color w:val="333333"/>
          <w:sz w:val="24"/>
          <w:szCs w:val="24"/>
          <w:shd w:val="clear" w:color="auto" w:fill="FFFFFF"/>
        </w:rPr>
        <w:t>doi</w:t>
      </w:r>
      <w:proofErr w:type="spellEnd"/>
      <w:proofErr w:type="gramEnd"/>
      <w:r w:rsidRPr="00F94C78">
        <w:rPr>
          <w:rFonts w:ascii="Times New Roman" w:hAnsi="Times New Roman" w:cs="Times New Roman"/>
          <w:color w:val="333333"/>
          <w:sz w:val="24"/>
          <w:szCs w:val="24"/>
          <w:shd w:val="clear" w:color="auto" w:fill="FFFFFF"/>
        </w:rPr>
        <w:t>: 10.1002/14651858.CD004376.pub3.</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proofErr w:type="spellStart"/>
      <w:r w:rsidRPr="00F94C78">
        <w:rPr>
          <w:rFonts w:ascii="Times New Roman" w:hAnsi="Times New Roman" w:cs="Times New Roman"/>
          <w:color w:val="333333"/>
          <w:sz w:val="24"/>
          <w:szCs w:val="24"/>
          <w:shd w:val="clear" w:color="auto" w:fill="FFFFFF"/>
        </w:rPr>
        <w:t>Furlan</w:t>
      </w:r>
      <w:proofErr w:type="spellEnd"/>
      <w:r w:rsidRPr="00F94C78">
        <w:rPr>
          <w:rFonts w:ascii="Times New Roman" w:hAnsi="Times New Roman" w:cs="Times New Roman"/>
          <w:color w:val="333333"/>
          <w:sz w:val="24"/>
          <w:szCs w:val="24"/>
          <w:shd w:val="clear" w:color="auto" w:fill="FFFFFF"/>
        </w:rPr>
        <w:t xml:space="preserve"> AD, </w:t>
      </w:r>
      <w:proofErr w:type="spellStart"/>
      <w:r w:rsidRPr="00F94C78">
        <w:rPr>
          <w:rFonts w:ascii="Times New Roman" w:hAnsi="Times New Roman" w:cs="Times New Roman"/>
          <w:color w:val="333333"/>
          <w:sz w:val="24"/>
          <w:szCs w:val="24"/>
          <w:shd w:val="clear" w:color="auto" w:fill="FFFFFF"/>
        </w:rPr>
        <w:t>Giraldo</w:t>
      </w:r>
      <w:proofErr w:type="spellEnd"/>
      <w:r w:rsidRPr="00F94C78">
        <w:rPr>
          <w:rFonts w:ascii="Times New Roman" w:hAnsi="Times New Roman" w:cs="Times New Roman"/>
          <w:color w:val="333333"/>
          <w:sz w:val="24"/>
          <w:szCs w:val="24"/>
          <w:shd w:val="clear" w:color="auto" w:fill="FFFFFF"/>
        </w:rPr>
        <w:t xml:space="preserve"> M, </w:t>
      </w:r>
      <w:proofErr w:type="spellStart"/>
      <w:r w:rsidRPr="00F94C78">
        <w:rPr>
          <w:rFonts w:ascii="Times New Roman" w:hAnsi="Times New Roman" w:cs="Times New Roman"/>
          <w:color w:val="333333"/>
          <w:sz w:val="24"/>
          <w:szCs w:val="24"/>
          <w:shd w:val="clear" w:color="auto" w:fill="FFFFFF"/>
        </w:rPr>
        <w:t>Baskwill</w:t>
      </w:r>
      <w:proofErr w:type="spellEnd"/>
      <w:r w:rsidRPr="00F94C78">
        <w:rPr>
          <w:rFonts w:ascii="Times New Roman" w:hAnsi="Times New Roman" w:cs="Times New Roman"/>
          <w:color w:val="333333"/>
          <w:sz w:val="24"/>
          <w:szCs w:val="24"/>
          <w:shd w:val="clear" w:color="auto" w:fill="FFFFFF"/>
        </w:rPr>
        <w:t xml:space="preserve"> A, et al. Massage for low-back pain. Cochrane Database </w:t>
      </w:r>
      <w:proofErr w:type="spellStart"/>
      <w:r w:rsidRPr="00F94C78">
        <w:rPr>
          <w:rFonts w:ascii="Times New Roman" w:hAnsi="Times New Roman" w:cs="Times New Roman"/>
          <w:color w:val="333333"/>
          <w:sz w:val="24"/>
          <w:szCs w:val="24"/>
          <w:shd w:val="clear" w:color="auto" w:fill="FFFFFF"/>
        </w:rPr>
        <w:t>Syst</w:t>
      </w:r>
      <w:proofErr w:type="spellEnd"/>
      <w:r w:rsidRPr="00F94C78">
        <w:rPr>
          <w:rFonts w:ascii="Times New Roman" w:hAnsi="Times New Roman" w:cs="Times New Roman"/>
          <w:color w:val="333333"/>
          <w:sz w:val="24"/>
          <w:szCs w:val="24"/>
          <w:shd w:val="clear" w:color="auto" w:fill="FFFFFF"/>
        </w:rPr>
        <w:t xml:space="preserve"> Rev. 2015</w:t>
      </w:r>
      <w:proofErr w:type="gramStart"/>
      <w:r w:rsidRPr="00F94C78">
        <w:rPr>
          <w:rFonts w:ascii="Times New Roman" w:hAnsi="Times New Roman" w:cs="Times New Roman"/>
          <w:color w:val="333333"/>
          <w:sz w:val="24"/>
          <w:szCs w:val="24"/>
          <w:shd w:val="clear" w:color="auto" w:fill="FFFFFF"/>
        </w:rPr>
        <w:t>;9:CD001929</w:t>
      </w:r>
      <w:proofErr w:type="gramEnd"/>
      <w:r w:rsidRPr="00F94C78">
        <w:rPr>
          <w:rFonts w:ascii="Times New Roman" w:hAnsi="Times New Roman" w:cs="Times New Roman"/>
          <w:color w:val="333333"/>
          <w:sz w:val="24"/>
          <w:szCs w:val="24"/>
          <w:shd w:val="clear" w:color="auto" w:fill="FFFFFF"/>
        </w:rPr>
        <w:t xml:space="preserve">. </w:t>
      </w:r>
      <w:proofErr w:type="spellStart"/>
      <w:proofErr w:type="gramStart"/>
      <w:r w:rsidRPr="00F94C78">
        <w:rPr>
          <w:rFonts w:ascii="Times New Roman" w:hAnsi="Times New Roman" w:cs="Times New Roman"/>
          <w:color w:val="333333"/>
          <w:sz w:val="24"/>
          <w:szCs w:val="24"/>
          <w:shd w:val="clear" w:color="auto" w:fill="FFFFFF"/>
        </w:rPr>
        <w:t>doi</w:t>
      </w:r>
      <w:proofErr w:type="spellEnd"/>
      <w:proofErr w:type="gramEnd"/>
      <w:r w:rsidRPr="00F94C78">
        <w:rPr>
          <w:rFonts w:ascii="Times New Roman" w:hAnsi="Times New Roman" w:cs="Times New Roman"/>
          <w:color w:val="333333"/>
          <w:sz w:val="24"/>
          <w:szCs w:val="24"/>
          <w:shd w:val="clear" w:color="auto" w:fill="FFFFFF"/>
        </w:rPr>
        <w:t>: 10.1002/14651858.CD001929.pub3.</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 xml:space="preserve">Jacobs WC, van </w:t>
      </w:r>
      <w:proofErr w:type="spellStart"/>
      <w:r w:rsidRPr="00F94C78">
        <w:rPr>
          <w:rFonts w:ascii="Times New Roman" w:hAnsi="Times New Roman" w:cs="Times New Roman"/>
          <w:color w:val="333333"/>
          <w:sz w:val="24"/>
          <w:szCs w:val="24"/>
          <w:shd w:val="clear" w:color="auto" w:fill="FFFFFF"/>
        </w:rPr>
        <w:t>Tulder</w:t>
      </w:r>
      <w:proofErr w:type="spellEnd"/>
      <w:r w:rsidRPr="00F94C78">
        <w:rPr>
          <w:rFonts w:ascii="Times New Roman" w:hAnsi="Times New Roman" w:cs="Times New Roman"/>
          <w:color w:val="333333"/>
          <w:sz w:val="24"/>
          <w:szCs w:val="24"/>
          <w:shd w:val="clear" w:color="auto" w:fill="FFFFFF"/>
        </w:rPr>
        <w:t xml:space="preserve"> M, Arts M, et al. Surgery versus conservative management of sciatica due to a lumbar herniated disc: a systematic review. </w:t>
      </w:r>
      <w:proofErr w:type="spellStart"/>
      <w:r w:rsidRPr="00F94C78">
        <w:rPr>
          <w:rFonts w:ascii="Times New Roman" w:hAnsi="Times New Roman" w:cs="Times New Roman"/>
          <w:color w:val="333333"/>
          <w:sz w:val="24"/>
          <w:szCs w:val="24"/>
          <w:shd w:val="clear" w:color="auto" w:fill="FFFFFF"/>
        </w:rPr>
        <w:t>Eur</w:t>
      </w:r>
      <w:proofErr w:type="spellEnd"/>
      <w:r w:rsidRPr="00F94C78">
        <w:rPr>
          <w:rFonts w:ascii="Times New Roman" w:hAnsi="Times New Roman" w:cs="Times New Roman"/>
          <w:color w:val="333333"/>
          <w:sz w:val="24"/>
          <w:szCs w:val="24"/>
          <w:shd w:val="clear" w:color="auto" w:fill="FFFFFF"/>
        </w:rPr>
        <w:t xml:space="preserve"> Spine J. 2011</w:t>
      </w:r>
      <w:proofErr w:type="gramStart"/>
      <w:r w:rsidRPr="00F94C78">
        <w:rPr>
          <w:rFonts w:ascii="Times New Roman" w:hAnsi="Times New Roman" w:cs="Times New Roman"/>
          <w:color w:val="333333"/>
          <w:sz w:val="24"/>
          <w:szCs w:val="24"/>
          <w:shd w:val="clear" w:color="auto" w:fill="FFFFFF"/>
        </w:rPr>
        <w:t>;20</w:t>
      </w:r>
      <w:proofErr w:type="gramEnd"/>
      <w:r w:rsidRPr="00F94C78">
        <w:rPr>
          <w:rFonts w:ascii="Times New Roman" w:hAnsi="Times New Roman" w:cs="Times New Roman"/>
          <w:color w:val="333333"/>
          <w:sz w:val="24"/>
          <w:szCs w:val="24"/>
          <w:shd w:val="clear" w:color="auto" w:fill="FFFFFF"/>
        </w:rPr>
        <w:t xml:space="preserve">(4):513-22. </w:t>
      </w:r>
      <w:proofErr w:type="spellStart"/>
      <w:proofErr w:type="gramStart"/>
      <w:r w:rsidRPr="00F94C78">
        <w:rPr>
          <w:rFonts w:ascii="Times New Roman" w:hAnsi="Times New Roman" w:cs="Times New Roman"/>
          <w:color w:val="333333"/>
          <w:sz w:val="24"/>
          <w:szCs w:val="24"/>
          <w:shd w:val="clear" w:color="auto" w:fill="FFFFFF"/>
        </w:rPr>
        <w:t>doi</w:t>
      </w:r>
      <w:proofErr w:type="spellEnd"/>
      <w:proofErr w:type="gramEnd"/>
      <w:r w:rsidRPr="00F94C78">
        <w:rPr>
          <w:rFonts w:ascii="Times New Roman" w:hAnsi="Times New Roman" w:cs="Times New Roman"/>
          <w:color w:val="333333"/>
          <w:sz w:val="24"/>
          <w:szCs w:val="24"/>
          <w:shd w:val="clear" w:color="auto" w:fill="FFFFFF"/>
        </w:rPr>
        <w:t>: 10.1007/s00586-010-1603-7.</w:t>
      </w:r>
      <w:r w:rsidR="00DE55E5">
        <w:rPr>
          <w:rFonts w:ascii="Times New Roman" w:hAnsi="Times New Roman" w:cs="Times New Roman"/>
          <w:color w:val="333333"/>
          <w:sz w:val="24"/>
          <w:szCs w:val="24"/>
        </w:rPr>
        <w:br/>
      </w:r>
      <w:r w:rsidRPr="00F94C78">
        <w:rPr>
          <w:rFonts w:ascii="Times New Roman" w:hAnsi="Times New Roman" w:cs="Times New Roman"/>
          <w:color w:val="333333"/>
          <w:sz w:val="24"/>
          <w:szCs w:val="24"/>
        </w:rPr>
        <w:lastRenderedPageBreak/>
        <w:br/>
      </w:r>
      <w:r w:rsidRPr="00F94C78">
        <w:rPr>
          <w:rFonts w:ascii="Times New Roman" w:hAnsi="Times New Roman" w:cs="Times New Roman"/>
          <w:color w:val="333333"/>
          <w:sz w:val="24"/>
          <w:szCs w:val="24"/>
          <w:shd w:val="clear" w:color="auto" w:fill="FFFFFF"/>
        </w:rPr>
        <w:t xml:space="preserve">Suzuki M, </w:t>
      </w:r>
      <w:proofErr w:type="spellStart"/>
      <w:r w:rsidRPr="00F94C78">
        <w:rPr>
          <w:rFonts w:ascii="Times New Roman" w:hAnsi="Times New Roman" w:cs="Times New Roman"/>
          <w:color w:val="333333"/>
          <w:sz w:val="24"/>
          <w:szCs w:val="24"/>
          <w:shd w:val="clear" w:color="auto" w:fill="FFFFFF"/>
        </w:rPr>
        <w:t>Muro</w:t>
      </w:r>
      <w:proofErr w:type="spellEnd"/>
      <w:r w:rsidRPr="00F94C78">
        <w:rPr>
          <w:rFonts w:ascii="Times New Roman" w:hAnsi="Times New Roman" w:cs="Times New Roman"/>
          <w:color w:val="333333"/>
          <w:sz w:val="24"/>
          <w:szCs w:val="24"/>
          <w:shd w:val="clear" w:color="auto" w:fill="FFFFFF"/>
        </w:rPr>
        <w:t xml:space="preserve"> S, Ando Y, et al. A randomized, placebo-controlled trial of acupuncture in patients with chronic obstructive pulmonary disease (COPD): the COPD-acupuncture trial (CAT). Arch Intern Med. 2012</w:t>
      </w:r>
      <w:proofErr w:type="gramStart"/>
      <w:r w:rsidRPr="00F94C78">
        <w:rPr>
          <w:rFonts w:ascii="Times New Roman" w:hAnsi="Times New Roman" w:cs="Times New Roman"/>
          <w:color w:val="333333"/>
          <w:sz w:val="24"/>
          <w:szCs w:val="24"/>
          <w:shd w:val="clear" w:color="auto" w:fill="FFFFFF"/>
        </w:rPr>
        <w:t>;172</w:t>
      </w:r>
      <w:proofErr w:type="gramEnd"/>
      <w:r w:rsidRPr="00F94C78">
        <w:rPr>
          <w:rFonts w:ascii="Times New Roman" w:hAnsi="Times New Roman" w:cs="Times New Roman"/>
          <w:color w:val="333333"/>
          <w:sz w:val="24"/>
          <w:szCs w:val="24"/>
          <w:shd w:val="clear" w:color="auto" w:fill="FFFFFF"/>
        </w:rPr>
        <w:t xml:space="preserve">(11):878-86. </w:t>
      </w:r>
      <w:proofErr w:type="spellStart"/>
      <w:proofErr w:type="gramStart"/>
      <w:r w:rsidRPr="00F94C78">
        <w:rPr>
          <w:rFonts w:ascii="Times New Roman" w:hAnsi="Times New Roman" w:cs="Times New Roman"/>
          <w:color w:val="333333"/>
          <w:sz w:val="24"/>
          <w:szCs w:val="24"/>
          <w:shd w:val="clear" w:color="auto" w:fill="FFFFFF"/>
        </w:rPr>
        <w:t>doi</w:t>
      </w:r>
      <w:proofErr w:type="spellEnd"/>
      <w:proofErr w:type="gramEnd"/>
      <w:r w:rsidRPr="00F94C78">
        <w:rPr>
          <w:rFonts w:ascii="Times New Roman" w:hAnsi="Times New Roman" w:cs="Times New Roman"/>
          <w:color w:val="333333"/>
          <w:sz w:val="24"/>
          <w:szCs w:val="24"/>
          <w:shd w:val="clear" w:color="auto" w:fill="FFFFFF"/>
        </w:rPr>
        <w:t>: 10.1001/archinternmed.2012.1233.</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proofErr w:type="gramStart"/>
      <w:r w:rsidRPr="00F94C78">
        <w:rPr>
          <w:rFonts w:ascii="Times New Roman" w:hAnsi="Times New Roman" w:cs="Times New Roman"/>
          <w:color w:val="333333"/>
          <w:sz w:val="24"/>
          <w:szCs w:val="24"/>
          <w:shd w:val="clear" w:color="auto" w:fill="FFFFFF"/>
        </w:rPr>
        <w:t xml:space="preserve">Smith CA, </w:t>
      </w:r>
      <w:proofErr w:type="spellStart"/>
      <w:r w:rsidRPr="00F94C78">
        <w:rPr>
          <w:rFonts w:ascii="Times New Roman" w:hAnsi="Times New Roman" w:cs="Times New Roman"/>
          <w:color w:val="333333"/>
          <w:sz w:val="24"/>
          <w:szCs w:val="24"/>
          <w:shd w:val="clear" w:color="auto" w:fill="FFFFFF"/>
        </w:rPr>
        <w:t>Armour</w:t>
      </w:r>
      <w:proofErr w:type="spellEnd"/>
      <w:r w:rsidRPr="00F94C78">
        <w:rPr>
          <w:rFonts w:ascii="Times New Roman" w:hAnsi="Times New Roman" w:cs="Times New Roman"/>
          <w:color w:val="333333"/>
          <w:sz w:val="24"/>
          <w:szCs w:val="24"/>
          <w:shd w:val="clear" w:color="auto" w:fill="FFFFFF"/>
        </w:rPr>
        <w:t xml:space="preserve"> M, Lee MS, et al. Acupuncture for depression.</w:t>
      </w:r>
      <w:proofErr w:type="gramEnd"/>
      <w:r w:rsidRPr="00F94C78">
        <w:rPr>
          <w:rFonts w:ascii="Times New Roman" w:hAnsi="Times New Roman" w:cs="Times New Roman"/>
          <w:color w:val="333333"/>
          <w:sz w:val="24"/>
          <w:szCs w:val="24"/>
          <w:shd w:val="clear" w:color="auto" w:fill="FFFFFF"/>
        </w:rPr>
        <w:t xml:space="preserve"> Cochrane Database </w:t>
      </w:r>
      <w:proofErr w:type="spellStart"/>
      <w:r w:rsidRPr="00F94C78">
        <w:rPr>
          <w:rFonts w:ascii="Times New Roman" w:hAnsi="Times New Roman" w:cs="Times New Roman"/>
          <w:color w:val="333333"/>
          <w:sz w:val="24"/>
          <w:szCs w:val="24"/>
          <w:shd w:val="clear" w:color="auto" w:fill="FFFFFF"/>
        </w:rPr>
        <w:t>Syst</w:t>
      </w:r>
      <w:proofErr w:type="spellEnd"/>
      <w:r w:rsidRPr="00F94C78">
        <w:rPr>
          <w:rFonts w:ascii="Times New Roman" w:hAnsi="Times New Roman" w:cs="Times New Roman"/>
          <w:color w:val="333333"/>
          <w:sz w:val="24"/>
          <w:szCs w:val="24"/>
          <w:shd w:val="clear" w:color="auto" w:fill="FFFFFF"/>
        </w:rPr>
        <w:t xml:space="preserve"> Rev. 2018:3(3):CD004046. </w:t>
      </w:r>
      <w:proofErr w:type="spellStart"/>
      <w:proofErr w:type="gramStart"/>
      <w:r w:rsidRPr="00F94C78">
        <w:rPr>
          <w:rFonts w:ascii="Times New Roman" w:hAnsi="Times New Roman" w:cs="Times New Roman"/>
          <w:color w:val="333333"/>
          <w:sz w:val="24"/>
          <w:szCs w:val="24"/>
          <w:shd w:val="clear" w:color="auto" w:fill="FFFFFF"/>
        </w:rPr>
        <w:t>doi</w:t>
      </w:r>
      <w:proofErr w:type="spellEnd"/>
      <w:proofErr w:type="gramEnd"/>
      <w:r w:rsidRPr="00F94C78">
        <w:rPr>
          <w:rFonts w:ascii="Times New Roman" w:hAnsi="Times New Roman" w:cs="Times New Roman"/>
          <w:color w:val="333333"/>
          <w:sz w:val="24"/>
          <w:szCs w:val="24"/>
          <w:shd w:val="clear" w:color="auto" w:fill="FFFFFF"/>
        </w:rPr>
        <w:t>: 10.1002/14651858.CD004046.pub4.</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proofErr w:type="spellStart"/>
      <w:r w:rsidRPr="00F94C78">
        <w:rPr>
          <w:rFonts w:ascii="Times New Roman" w:hAnsi="Times New Roman" w:cs="Times New Roman"/>
          <w:color w:val="333333"/>
          <w:sz w:val="24"/>
          <w:szCs w:val="24"/>
          <w:shd w:val="clear" w:color="auto" w:fill="FFFFFF"/>
        </w:rPr>
        <w:t>Thieme</w:t>
      </w:r>
      <w:proofErr w:type="spellEnd"/>
      <w:r w:rsidRPr="00F94C78">
        <w:rPr>
          <w:rFonts w:ascii="Times New Roman" w:hAnsi="Times New Roman" w:cs="Times New Roman"/>
          <w:color w:val="333333"/>
          <w:sz w:val="24"/>
          <w:szCs w:val="24"/>
          <w:shd w:val="clear" w:color="auto" w:fill="FFFFFF"/>
        </w:rPr>
        <w:t xml:space="preserve"> H, </w:t>
      </w:r>
      <w:proofErr w:type="spellStart"/>
      <w:r w:rsidRPr="00F94C78">
        <w:rPr>
          <w:rFonts w:ascii="Times New Roman" w:hAnsi="Times New Roman" w:cs="Times New Roman"/>
          <w:color w:val="333333"/>
          <w:sz w:val="24"/>
          <w:szCs w:val="24"/>
          <w:shd w:val="clear" w:color="auto" w:fill="FFFFFF"/>
        </w:rPr>
        <w:t>Morkisch</w:t>
      </w:r>
      <w:proofErr w:type="spellEnd"/>
      <w:r w:rsidRPr="00F94C78">
        <w:rPr>
          <w:rFonts w:ascii="Times New Roman" w:hAnsi="Times New Roman" w:cs="Times New Roman"/>
          <w:color w:val="333333"/>
          <w:sz w:val="24"/>
          <w:szCs w:val="24"/>
          <w:shd w:val="clear" w:color="auto" w:fill="FFFFFF"/>
        </w:rPr>
        <w:t xml:space="preserve"> N, </w:t>
      </w:r>
      <w:proofErr w:type="spellStart"/>
      <w:r w:rsidRPr="00F94C78">
        <w:rPr>
          <w:rFonts w:ascii="Times New Roman" w:hAnsi="Times New Roman" w:cs="Times New Roman"/>
          <w:color w:val="333333"/>
          <w:sz w:val="24"/>
          <w:szCs w:val="24"/>
          <w:shd w:val="clear" w:color="auto" w:fill="FFFFFF"/>
        </w:rPr>
        <w:t>Mehrholz</w:t>
      </w:r>
      <w:proofErr w:type="spellEnd"/>
      <w:r w:rsidRPr="00F94C78">
        <w:rPr>
          <w:rFonts w:ascii="Times New Roman" w:hAnsi="Times New Roman" w:cs="Times New Roman"/>
          <w:color w:val="333333"/>
          <w:sz w:val="24"/>
          <w:szCs w:val="24"/>
          <w:shd w:val="clear" w:color="auto" w:fill="FFFFFF"/>
        </w:rPr>
        <w:t xml:space="preserve"> J, et al. Mirror therapy for improving motor function after stroke. Cochrane Database </w:t>
      </w:r>
      <w:proofErr w:type="spellStart"/>
      <w:r w:rsidRPr="00F94C78">
        <w:rPr>
          <w:rFonts w:ascii="Times New Roman" w:hAnsi="Times New Roman" w:cs="Times New Roman"/>
          <w:color w:val="333333"/>
          <w:sz w:val="24"/>
          <w:szCs w:val="24"/>
          <w:shd w:val="clear" w:color="auto" w:fill="FFFFFF"/>
        </w:rPr>
        <w:t>Syst</w:t>
      </w:r>
      <w:proofErr w:type="spellEnd"/>
      <w:r w:rsidRPr="00F94C78">
        <w:rPr>
          <w:rFonts w:ascii="Times New Roman" w:hAnsi="Times New Roman" w:cs="Times New Roman"/>
          <w:color w:val="333333"/>
          <w:sz w:val="24"/>
          <w:szCs w:val="24"/>
          <w:shd w:val="clear" w:color="auto" w:fill="FFFFFF"/>
        </w:rPr>
        <w:t xml:space="preserve"> Rev. 2018</w:t>
      </w:r>
      <w:proofErr w:type="gramStart"/>
      <w:r w:rsidRPr="00F94C78">
        <w:rPr>
          <w:rFonts w:ascii="Times New Roman" w:hAnsi="Times New Roman" w:cs="Times New Roman"/>
          <w:color w:val="333333"/>
          <w:sz w:val="24"/>
          <w:szCs w:val="24"/>
          <w:shd w:val="clear" w:color="auto" w:fill="FFFFFF"/>
        </w:rPr>
        <w:t>;7:CD008449</w:t>
      </w:r>
      <w:proofErr w:type="gramEnd"/>
      <w:r w:rsidRPr="00F94C78">
        <w:rPr>
          <w:rFonts w:ascii="Times New Roman" w:hAnsi="Times New Roman" w:cs="Times New Roman"/>
          <w:color w:val="333333"/>
          <w:sz w:val="24"/>
          <w:szCs w:val="24"/>
          <w:shd w:val="clear" w:color="auto" w:fill="FFFFFF"/>
        </w:rPr>
        <w:t xml:space="preserve">. </w:t>
      </w:r>
      <w:proofErr w:type="spellStart"/>
      <w:proofErr w:type="gramStart"/>
      <w:r w:rsidRPr="00F94C78">
        <w:rPr>
          <w:rFonts w:ascii="Times New Roman" w:hAnsi="Times New Roman" w:cs="Times New Roman"/>
          <w:color w:val="333333"/>
          <w:sz w:val="24"/>
          <w:szCs w:val="24"/>
          <w:shd w:val="clear" w:color="auto" w:fill="FFFFFF"/>
        </w:rPr>
        <w:t>doi</w:t>
      </w:r>
      <w:proofErr w:type="spellEnd"/>
      <w:proofErr w:type="gramEnd"/>
      <w:r w:rsidRPr="00F94C78">
        <w:rPr>
          <w:rFonts w:ascii="Times New Roman" w:hAnsi="Times New Roman" w:cs="Times New Roman"/>
          <w:color w:val="333333"/>
          <w:sz w:val="24"/>
          <w:szCs w:val="24"/>
          <w:shd w:val="clear" w:color="auto" w:fill="FFFFFF"/>
        </w:rPr>
        <w:t>: 10.1002/14651858.CD008449.pub3.</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 xml:space="preserve">Ernst M, </w:t>
      </w:r>
      <w:proofErr w:type="spellStart"/>
      <w:r w:rsidRPr="00F94C78">
        <w:rPr>
          <w:rFonts w:ascii="Times New Roman" w:hAnsi="Times New Roman" w:cs="Times New Roman"/>
          <w:color w:val="333333"/>
          <w:sz w:val="24"/>
          <w:szCs w:val="24"/>
          <w:shd w:val="clear" w:color="auto" w:fill="FFFFFF"/>
        </w:rPr>
        <w:t>Folkerts</w:t>
      </w:r>
      <w:proofErr w:type="spellEnd"/>
      <w:r w:rsidRPr="00F94C78">
        <w:rPr>
          <w:rFonts w:ascii="Times New Roman" w:hAnsi="Times New Roman" w:cs="Times New Roman"/>
          <w:color w:val="333333"/>
          <w:sz w:val="24"/>
          <w:szCs w:val="24"/>
          <w:shd w:val="clear" w:color="auto" w:fill="FFFFFF"/>
        </w:rPr>
        <w:t xml:space="preserve"> AK, </w:t>
      </w:r>
      <w:proofErr w:type="spellStart"/>
      <w:r w:rsidRPr="00F94C78">
        <w:rPr>
          <w:rFonts w:ascii="Times New Roman" w:hAnsi="Times New Roman" w:cs="Times New Roman"/>
          <w:color w:val="333333"/>
          <w:sz w:val="24"/>
          <w:szCs w:val="24"/>
          <w:shd w:val="clear" w:color="auto" w:fill="FFFFFF"/>
        </w:rPr>
        <w:t>Gollan</w:t>
      </w:r>
      <w:proofErr w:type="spellEnd"/>
      <w:r w:rsidRPr="00F94C78">
        <w:rPr>
          <w:rFonts w:ascii="Times New Roman" w:hAnsi="Times New Roman" w:cs="Times New Roman"/>
          <w:color w:val="333333"/>
          <w:sz w:val="24"/>
          <w:szCs w:val="24"/>
          <w:shd w:val="clear" w:color="auto" w:fill="FFFFFF"/>
        </w:rPr>
        <w:t xml:space="preserve"> R, et al. Physical exercise for people with Parkinson's disease: a systematic review and network meta-analysis. Cochrane Database </w:t>
      </w:r>
      <w:proofErr w:type="spellStart"/>
      <w:r w:rsidRPr="00F94C78">
        <w:rPr>
          <w:rFonts w:ascii="Times New Roman" w:hAnsi="Times New Roman" w:cs="Times New Roman"/>
          <w:color w:val="333333"/>
          <w:sz w:val="24"/>
          <w:szCs w:val="24"/>
          <w:shd w:val="clear" w:color="auto" w:fill="FFFFFF"/>
        </w:rPr>
        <w:t>Syst</w:t>
      </w:r>
      <w:proofErr w:type="spellEnd"/>
      <w:r w:rsidRPr="00F94C78">
        <w:rPr>
          <w:rFonts w:ascii="Times New Roman" w:hAnsi="Times New Roman" w:cs="Times New Roman"/>
          <w:color w:val="333333"/>
          <w:sz w:val="24"/>
          <w:szCs w:val="24"/>
          <w:shd w:val="clear" w:color="auto" w:fill="FFFFFF"/>
        </w:rPr>
        <w:t xml:space="preserve"> Rev. 2023</w:t>
      </w:r>
      <w:proofErr w:type="gramStart"/>
      <w:r w:rsidRPr="00F94C78">
        <w:rPr>
          <w:rFonts w:ascii="Times New Roman" w:hAnsi="Times New Roman" w:cs="Times New Roman"/>
          <w:color w:val="333333"/>
          <w:sz w:val="24"/>
          <w:szCs w:val="24"/>
          <w:shd w:val="clear" w:color="auto" w:fill="FFFFFF"/>
        </w:rPr>
        <w:t>;1:CD013856</w:t>
      </w:r>
      <w:proofErr w:type="gramEnd"/>
      <w:r w:rsidRPr="00F94C78">
        <w:rPr>
          <w:rFonts w:ascii="Times New Roman" w:hAnsi="Times New Roman" w:cs="Times New Roman"/>
          <w:color w:val="333333"/>
          <w:sz w:val="24"/>
          <w:szCs w:val="24"/>
          <w:shd w:val="clear" w:color="auto" w:fill="FFFFFF"/>
        </w:rPr>
        <w:t xml:space="preserve">. </w:t>
      </w:r>
      <w:proofErr w:type="spellStart"/>
      <w:proofErr w:type="gramStart"/>
      <w:r w:rsidRPr="00F94C78">
        <w:rPr>
          <w:rFonts w:ascii="Times New Roman" w:hAnsi="Times New Roman" w:cs="Times New Roman"/>
          <w:color w:val="333333"/>
          <w:sz w:val="24"/>
          <w:szCs w:val="24"/>
          <w:shd w:val="clear" w:color="auto" w:fill="FFFFFF"/>
        </w:rPr>
        <w:t>doi</w:t>
      </w:r>
      <w:proofErr w:type="spellEnd"/>
      <w:proofErr w:type="gramEnd"/>
      <w:r w:rsidRPr="00F94C78">
        <w:rPr>
          <w:rFonts w:ascii="Times New Roman" w:hAnsi="Times New Roman" w:cs="Times New Roman"/>
          <w:color w:val="333333"/>
          <w:sz w:val="24"/>
          <w:szCs w:val="24"/>
          <w:shd w:val="clear" w:color="auto" w:fill="FFFFFF"/>
        </w:rPr>
        <w:t>: 10.1002/14651858.CD013856.pub2.</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 xml:space="preserve">Anderson L, </w:t>
      </w:r>
      <w:proofErr w:type="spellStart"/>
      <w:r w:rsidRPr="00F94C78">
        <w:rPr>
          <w:rFonts w:ascii="Times New Roman" w:hAnsi="Times New Roman" w:cs="Times New Roman"/>
          <w:color w:val="333333"/>
          <w:sz w:val="24"/>
          <w:szCs w:val="24"/>
          <w:shd w:val="clear" w:color="auto" w:fill="FFFFFF"/>
        </w:rPr>
        <w:t>Oldridge</w:t>
      </w:r>
      <w:proofErr w:type="spellEnd"/>
      <w:r w:rsidRPr="00F94C78">
        <w:rPr>
          <w:rFonts w:ascii="Times New Roman" w:hAnsi="Times New Roman" w:cs="Times New Roman"/>
          <w:color w:val="333333"/>
          <w:sz w:val="24"/>
          <w:szCs w:val="24"/>
          <w:shd w:val="clear" w:color="auto" w:fill="FFFFFF"/>
        </w:rPr>
        <w:t xml:space="preserve"> N, Thompson DR, et al. Exercise-based cardiac rehabilitation for coronary heart disease: Cochrane Systematic Review and Meta-Analysis. J Am </w:t>
      </w:r>
      <w:proofErr w:type="spellStart"/>
      <w:r w:rsidRPr="00F94C78">
        <w:rPr>
          <w:rFonts w:ascii="Times New Roman" w:hAnsi="Times New Roman" w:cs="Times New Roman"/>
          <w:color w:val="333333"/>
          <w:sz w:val="24"/>
          <w:szCs w:val="24"/>
          <w:shd w:val="clear" w:color="auto" w:fill="FFFFFF"/>
        </w:rPr>
        <w:t>Coll</w:t>
      </w:r>
      <w:proofErr w:type="spellEnd"/>
      <w:r w:rsidRPr="00F94C78">
        <w:rPr>
          <w:rFonts w:ascii="Times New Roman" w:hAnsi="Times New Roman" w:cs="Times New Roman"/>
          <w:color w:val="333333"/>
          <w:sz w:val="24"/>
          <w:szCs w:val="24"/>
          <w:shd w:val="clear" w:color="auto" w:fill="FFFFFF"/>
        </w:rPr>
        <w:t xml:space="preserve"> </w:t>
      </w:r>
      <w:proofErr w:type="spellStart"/>
      <w:r w:rsidRPr="00F94C78">
        <w:rPr>
          <w:rFonts w:ascii="Times New Roman" w:hAnsi="Times New Roman" w:cs="Times New Roman"/>
          <w:color w:val="333333"/>
          <w:sz w:val="24"/>
          <w:szCs w:val="24"/>
          <w:shd w:val="clear" w:color="auto" w:fill="FFFFFF"/>
        </w:rPr>
        <w:t>Cardiol</w:t>
      </w:r>
      <w:proofErr w:type="spellEnd"/>
      <w:r w:rsidRPr="00F94C78">
        <w:rPr>
          <w:rFonts w:ascii="Times New Roman" w:hAnsi="Times New Roman" w:cs="Times New Roman"/>
          <w:color w:val="333333"/>
          <w:sz w:val="24"/>
          <w:szCs w:val="24"/>
          <w:shd w:val="clear" w:color="auto" w:fill="FFFFFF"/>
        </w:rPr>
        <w:t>. 2016</w:t>
      </w:r>
      <w:proofErr w:type="gramStart"/>
      <w:r w:rsidRPr="00F94C78">
        <w:rPr>
          <w:rFonts w:ascii="Times New Roman" w:hAnsi="Times New Roman" w:cs="Times New Roman"/>
          <w:color w:val="333333"/>
          <w:sz w:val="24"/>
          <w:szCs w:val="24"/>
          <w:shd w:val="clear" w:color="auto" w:fill="FFFFFF"/>
        </w:rPr>
        <w:t>;67</w:t>
      </w:r>
      <w:proofErr w:type="gramEnd"/>
      <w:r w:rsidRPr="00F94C78">
        <w:rPr>
          <w:rFonts w:ascii="Times New Roman" w:hAnsi="Times New Roman" w:cs="Times New Roman"/>
          <w:color w:val="333333"/>
          <w:sz w:val="24"/>
          <w:szCs w:val="24"/>
          <w:shd w:val="clear" w:color="auto" w:fill="FFFFFF"/>
        </w:rPr>
        <w:t xml:space="preserve">(1):1-12. </w:t>
      </w:r>
      <w:proofErr w:type="spellStart"/>
      <w:proofErr w:type="gramStart"/>
      <w:r w:rsidRPr="00F94C78">
        <w:rPr>
          <w:rFonts w:ascii="Times New Roman" w:hAnsi="Times New Roman" w:cs="Times New Roman"/>
          <w:color w:val="333333"/>
          <w:sz w:val="24"/>
          <w:szCs w:val="24"/>
          <w:shd w:val="clear" w:color="auto" w:fill="FFFFFF"/>
        </w:rPr>
        <w:t>doi</w:t>
      </w:r>
      <w:proofErr w:type="spellEnd"/>
      <w:proofErr w:type="gramEnd"/>
      <w:r w:rsidRPr="00F94C78">
        <w:rPr>
          <w:rFonts w:ascii="Times New Roman" w:hAnsi="Times New Roman" w:cs="Times New Roman"/>
          <w:color w:val="333333"/>
          <w:sz w:val="24"/>
          <w:szCs w:val="24"/>
          <w:shd w:val="clear" w:color="auto" w:fill="FFFFFF"/>
        </w:rPr>
        <w:t>: 10.1016/j.jacc.2015.10.044.</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proofErr w:type="spellStart"/>
      <w:r w:rsidRPr="00F94C78">
        <w:rPr>
          <w:rFonts w:ascii="Times New Roman" w:hAnsi="Times New Roman" w:cs="Times New Roman"/>
          <w:color w:val="333333"/>
          <w:sz w:val="24"/>
          <w:szCs w:val="24"/>
          <w:shd w:val="clear" w:color="auto" w:fill="FFFFFF"/>
        </w:rPr>
        <w:t>Cashin</w:t>
      </w:r>
      <w:proofErr w:type="spellEnd"/>
      <w:r w:rsidRPr="00F94C78">
        <w:rPr>
          <w:rFonts w:ascii="Times New Roman" w:hAnsi="Times New Roman" w:cs="Times New Roman"/>
          <w:color w:val="333333"/>
          <w:sz w:val="24"/>
          <w:szCs w:val="24"/>
          <w:shd w:val="clear" w:color="auto" w:fill="FFFFFF"/>
        </w:rPr>
        <w:t xml:space="preserve"> AG, Furlong BM, </w:t>
      </w:r>
      <w:proofErr w:type="spellStart"/>
      <w:r w:rsidRPr="00F94C78">
        <w:rPr>
          <w:rFonts w:ascii="Times New Roman" w:hAnsi="Times New Roman" w:cs="Times New Roman"/>
          <w:color w:val="333333"/>
          <w:sz w:val="24"/>
          <w:szCs w:val="24"/>
          <w:shd w:val="clear" w:color="auto" w:fill="FFFFFF"/>
        </w:rPr>
        <w:t>Kamper</w:t>
      </w:r>
      <w:proofErr w:type="spellEnd"/>
      <w:r w:rsidRPr="00F94C78">
        <w:rPr>
          <w:rFonts w:ascii="Times New Roman" w:hAnsi="Times New Roman" w:cs="Times New Roman"/>
          <w:color w:val="333333"/>
          <w:sz w:val="24"/>
          <w:szCs w:val="24"/>
          <w:shd w:val="clear" w:color="auto" w:fill="FFFFFF"/>
        </w:rPr>
        <w:t xml:space="preserve"> SJ, et al. Analgesic effects of non-surgical and non- interventional treatments for low back pain: a systematic review and meta-analysis of placebo-controlled </w:t>
      </w:r>
      <w:proofErr w:type="spellStart"/>
      <w:r w:rsidRPr="00F94C78">
        <w:rPr>
          <w:rFonts w:ascii="Times New Roman" w:hAnsi="Times New Roman" w:cs="Times New Roman"/>
          <w:color w:val="333333"/>
          <w:sz w:val="24"/>
          <w:szCs w:val="24"/>
          <w:shd w:val="clear" w:color="auto" w:fill="FFFFFF"/>
        </w:rPr>
        <w:t>randomised</w:t>
      </w:r>
      <w:proofErr w:type="spellEnd"/>
      <w:r w:rsidRPr="00F94C78">
        <w:rPr>
          <w:rFonts w:ascii="Times New Roman" w:hAnsi="Times New Roman" w:cs="Times New Roman"/>
          <w:color w:val="333333"/>
          <w:sz w:val="24"/>
          <w:szCs w:val="24"/>
          <w:shd w:val="clear" w:color="auto" w:fill="FFFFFF"/>
        </w:rPr>
        <w:t xml:space="preserve"> trials. BMJ </w:t>
      </w:r>
      <w:proofErr w:type="spellStart"/>
      <w:r w:rsidRPr="00F94C78">
        <w:rPr>
          <w:rFonts w:ascii="Times New Roman" w:hAnsi="Times New Roman" w:cs="Times New Roman"/>
          <w:color w:val="333333"/>
          <w:sz w:val="24"/>
          <w:szCs w:val="24"/>
          <w:shd w:val="clear" w:color="auto" w:fill="FFFFFF"/>
        </w:rPr>
        <w:t>Evid</w:t>
      </w:r>
      <w:proofErr w:type="spellEnd"/>
      <w:r w:rsidRPr="00F94C78">
        <w:rPr>
          <w:rFonts w:ascii="Times New Roman" w:hAnsi="Times New Roman" w:cs="Times New Roman"/>
          <w:color w:val="333333"/>
          <w:sz w:val="24"/>
          <w:szCs w:val="24"/>
          <w:shd w:val="clear" w:color="auto" w:fill="FFFFFF"/>
        </w:rPr>
        <w:t xml:space="preserve"> Based Med. 2025 Mar 18. </w:t>
      </w:r>
      <w:proofErr w:type="spellStart"/>
      <w:proofErr w:type="gramStart"/>
      <w:r w:rsidRPr="00F94C78">
        <w:rPr>
          <w:rFonts w:ascii="Times New Roman" w:hAnsi="Times New Roman" w:cs="Times New Roman"/>
          <w:color w:val="333333"/>
          <w:sz w:val="24"/>
          <w:szCs w:val="24"/>
          <w:shd w:val="clear" w:color="auto" w:fill="FFFFFF"/>
        </w:rPr>
        <w:t>doi</w:t>
      </w:r>
      <w:proofErr w:type="spellEnd"/>
      <w:proofErr w:type="gramEnd"/>
      <w:r w:rsidRPr="00F94C78">
        <w:rPr>
          <w:rFonts w:ascii="Times New Roman" w:hAnsi="Times New Roman" w:cs="Times New Roman"/>
          <w:color w:val="333333"/>
          <w:sz w:val="24"/>
          <w:szCs w:val="24"/>
          <w:shd w:val="clear" w:color="auto" w:fill="FFFFFF"/>
        </w:rPr>
        <w:t>: 10.1136/bmjebm-2024-112974.</w:t>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 xml:space="preserve">Cook RJ, </w:t>
      </w:r>
      <w:proofErr w:type="spellStart"/>
      <w:r w:rsidRPr="00F94C78">
        <w:rPr>
          <w:rFonts w:ascii="Times New Roman" w:hAnsi="Times New Roman" w:cs="Times New Roman"/>
          <w:color w:val="333333"/>
          <w:sz w:val="24"/>
          <w:szCs w:val="24"/>
          <w:shd w:val="clear" w:color="auto" w:fill="FFFFFF"/>
        </w:rPr>
        <w:t>Sackett</w:t>
      </w:r>
      <w:proofErr w:type="spellEnd"/>
      <w:r w:rsidRPr="00F94C78">
        <w:rPr>
          <w:rFonts w:ascii="Times New Roman" w:hAnsi="Times New Roman" w:cs="Times New Roman"/>
          <w:color w:val="333333"/>
          <w:sz w:val="24"/>
          <w:szCs w:val="24"/>
          <w:shd w:val="clear" w:color="auto" w:fill="FFFFFF"/>
        </w:rPr>
        <w:t xml:space="preserve"> DL. The number needed to treat: a clinically useful measure of treatment effect. </w:t>
      </w:r>
      <w:proofErr w:type="gramStart"/>
      <w:r w:rsidRPr="00F94C78">
        <w:rPr>
          <w:rFonts w:ascii="Times New Roman" w:hAnsi="Times New Roman" w:cs="Times New Roman"/>
          <w:color w:val="333333"/>
          <w:sz w:val="24"/>
          <w:szCs w:val="24"/>
          <w:shd w:val="clear" w:color="auto" w:fill="FFFFFF"/>
        </w:rPr>
        <w:t>BMJ.</w:t>
      </w:r>
      <w:proofErr w:type="gramEnd"/>
      <w:r w:rsidRPr="00F94C78">
        <w:rPr>
          <w:rFonts w:ascii="Times New Roman" w:hAnsi="Times New Roman" w:cs="Times New Roman"/>
          <w:color w:val="333333"/>
          <w:sz w:val="24"/>
          <w:szCs w:val="24"/>
          <w:shd w:val="clear" w:color="auto" w:fill="FFFFFF"/>
        </w:rPr>
        <w:t xml:space="preserve"> 1995</w:t>
      </w:r>
      <w:proofErr w:type="gramStart"/>
      <w:r w:rsidRPr="00F94C78">
        <w:rPr>
          <w:rFonts w:ascii="Times New Roman" w:hAnsi="Times New Roman" w:cs="Times New Roman"/>
          <w:color w:val="333333"/>
          <w:sz w:val="24"/>
          <w:szCs w:val="24"/>
          <w:shd w:val="clear" w:color="auto" w:fill="FFFFFF"/>
        </w:rPr>
        <w:t>;310</w:t>
      </w:r>
      <w:proofErr w:type="gramEnd"/>
      <w:r w:rsidRPr="00F94C78">
        <w:rPr>
          <w:rFonts w:ascii="Times New Roman" w:hAnsi="Times New Roman" w:cs="Times New Roman"/>
          <w:color w:val="333333"/>
          <w:sz w:val="24"/>
          <w:szCs w:val="24"/>
          <w:shd w:val="clear" w:color="auto" w:fill="FFFFFF"/>
        </w:rPr>
        <w:t>(6977):452–454. doi:10.1136/bmj.310.6977.452.</w:t>
      </w:r>
      <w:r w:rsidR="00DE55E5">
        <w:rPr>
          <w:rFonts w:ascii="Times New Roman" w:hAnsi="Times New Roman" w:cs="Times New Roman"/>
          <w:color w:val="333333"/>
          <w:sz w:val="24"/>
          <w:szCs w:val="24"/>
        </w:rPr>
        <w:br/>
      </w:r>
      <w:r w:rsidRPr="00F94C78">
        <w:rPr>
          <w:rFonts w:ascii="Times New Roman" w:hAnsi="Times New Roman" w:cs="Times New Roman"/>
          <w:color w:val="333333"/>
          <w:sz w:val="24"/>
          <w:szCs w:val="24"/>
        </w:rPr>
        <w:br/>
      </w:r>
      <w:r w:rsidRPr="00F94C78">
        <w:rPr>
          <w:rFonts w:ascii="Times New Roman" w:hAnsi="Times New Roman" w:cs="Times New Roman"/>
          <w:color w:val="333333"/>
          <w:sz w:val="24"/>
          <w:szCs w:val="24"/>
          <w:shd w:val="clear" w:color="auto" w:fill="FFFFFF"/>
        </w:rPr>
        <w:t>A complete list of included Cochrane reviews is provided in the Supplementary Materials.</w:t>
      </w:r>
    </w:p>
    <w:sectPr w:rsidR="00F94C78" w:rsidRPr="00F94C78" w:rsidSect="00B2055F">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70019"/>
    <w:multiLevelType w:val="hybridMultilevel"/>
    <w:tmpl w:val="40185216"/>
    <w:lvl w:ilvl="0" w:tplc="FD426B3C">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61B8"/>
    <w:rsid w:val="00025108"/>
    <w:rsid w:val="00291BF5"/>
    <w:rsid w:val="005061B8"/>
    <w:rsid w:val="005E542D"/>
    <w:rsid w:val="00641BB6"/>
    <w:rsid w:val="00756E1C"/>
    <w:rsid w:val="007E4FC1"/>
    <w:rsid w:val="008B4CB6"/>
    <w:rsid w:val="009641E3"/>
    <w:rsid w:val="00A05441"/>
    <w:rsid w:val="00A37933"/>
    <w:rsid w:val="00B000FC"/>
    <w:rsid w:val="00B2055F"/>
    <w:rsid w:val="00B947E4"/>
    <w:rsid w:val="00C40FB0"/>
    <w:rsid w:val="00D26A68"/>
    <w:rsid w:val="00DE55E5"/>
    <w:rsid w:val="00E9538E"/>
    <w:rsid w:val="00F94C7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B0"/>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C78"/>
    <w:pPr>
      <w:ind w:leftChars="400" w:left="840"/>
    </w:pPr>
  </w:style>
  <w:style w:type="table" w:styleId="a4">
    <w:name w:val="Table Grid"/>
    <w:basedOn w:val="a1"/>
    <w:uiPriority w:val="59"/>
    <w:rsid w:val="00A05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9538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9538E"/>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99447935">
      <w:bodyDiv w:val="1"/>
      <w:marLeft w:val="0"/>
      <w:marRight w:val="0"/>
      <w:marTop w:val="0"/>
      <w:marBottom w:val="0"/>
      <w:divBdr>
        <w:top w:val="none" w:sz="0" w:space="0" w:color="auto"/>
        <w:left w:val="none" w:sz="0" w:space="0" w:color="auto"/>
        <w:bottom w:val="none" w:sz="0" w:space="0" w:color="auto"/>
        <w:right w:val="none" w:sz="0" w:space="0" w:color="auto"/>
      </w:divBdr>
    </w:div>
    <w:div w:id="166793230">
      <w:bodyDiv w:val="1"/>
      <w:marLeft w:val="0"/>
      <w:marRight w:val="0"/>
      <w:marTop w:val="0"/>
      <w:marBottom w:val="0"/>
      <w:divBdr>
        <w:top w:val="none" w:sz="0" w:space="0" w:color="auto"/>
        <w:left w:val="none" w:sz="0" w:space="0" w:color="auto"/>
        <w:bottom w:val="none" w:sz="0" w:space="0" w:color="auto"/>
        <w:right w:val="none" w:sz="0" w:space="0" w:color="auto"/>
      </w:divBdr>
    </w:div>
    <w:div w:id="1043939674">
      <w:bodyDiv w:val="1"/>
      <w:marLeft w:val="0"/>
      <w:marRight w:val="0"/>
      <w:marTop w:val="0"/>
      <w:marBottom w:val="0"/>
      <w:divBdr>
        <w:top w:val="none" w:sz="0" w:space="0" w:color="auto"/>
        <w:left w:val="none" w:sz="0" w:space="0" w:color="auto"/>
        <w:bottom w:val="none" w:sz="0" w:space="0" w:color="auto"/>
        <w:right w:val="none" w:sz="0" w:space="0" w:color="auto"/>
      </w:divBdr>
    </w:div>
    <w:div w:id="1065562888">
      <w:bodyDiv w:val="1"/>
      <w:marLeft w:val="0"/>
      <w:marRight w:val="0"/>
      <w:marTop w:val="0"/>
      <w:marBottom w:val="0"/>
      <w:divBdr>
        <w:top w:val="none" w:sz="0" w:space="0" w:color="auto"/>
        <w:left w:val="none" w:sz="0" w:space="0" w:color="auto"/>
        <w:bottom w:val="none" w:sz="0" w:space="0" w:color="auto"/>
        <w:right w:val="none" w:sz="0" w:space="0" w:color="auto"/>
      </w:divBdr>
    </w:div>
    <w:div w:id="1617562231">
      <w:bodyDiv w:val="1"/>
      <w:marLeft w:val="0"/>
      <w:marRight w:val="0"/>
      <w:marTop w:val="0"/>
      <w:marBottom w:val="0"/>
      <w:divBdr>
        <w:top w:val="none" w:sz="0" w:space="0" w:color="auto"/>
        <w:left w:val="none" w:sz="0" w:space="0" w:color="auto"/>
        <w:bottom w:val="none" w:sz="0" w:space="0" w:color="auto"/>
        <w:right w:val="none" w:sz="0" w:space="0" w:color="auto"/>
      </w:divBdr>
    </w:div>
    <w:div w:id="1688092082">
      <w:bodyDiv w:val="1"/>
      <w:marLeft w:val="0"/>
      <w:marRight w:val="0"/>
      <w:marTop w:val="0"/>
      <w:marBottom w:val="0"/>
      <w:divBdr>
        <w:top w:val="none" w:sz="0" w:space="0" w:color="auto"/>
        <w:left w:val="none" w:sz="0" w:space="0" w:color="auto"/>
        <w:bottom w:val="none" w:sz="0" w:space="0" w:color="auto"/>
        <w:right w:val="none" w:sz="0" w:space="0" w:color="auto"/>
      </w:divBdr>
    </w:div>
    <w:div w:id="1940798374">
      <w:bodyDiv w:val="1"/>
      <w:marLeft w:val="0"/>
      <w:marRight w:val="0"/>
      <w:marTop w:val="0"/>
      <w:marBottom w:val="0"/>
      <w:divBdr>
        <w:top w:val="none" w:sz="0" w:space="0" w:color="auto"/>
        <w:left w:val="none" w:sz="0" w:space="0" w:color="auto"/>
        <w:bottom w:val="none" w:sz="0" w:space="0" w:color="auto"/>
        <w:right w:val="none" w:sz="0" w:space="0" w:color="auto"/>
      </w:divBdr>
    </w:div>
    <w:div w:id="211393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BF8E2B-F9E7-4E7B-AE12-DE4998495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35</Pages>
  <Words>5705</Words>
  <Characters>32525</Characters>
  <Application>Microsoft Office Word</Application>
  <DocSecurity>0</DocSecurity>
  <Lines>271</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mariko pc</dc:creator>
  <cp:lastModifiedBy>mariko pc</cp:lastModifiedBy>
  <cp:revision>5</cp:revision>
  <dcterms:created xsi:type="dcterms:W3CDTF">2026-05-02T04:53:00Z</dcterms:created>
  <dcterms:modified xsi:type="dcterms:W3CDTF">2026-05-02T06:11:00Z</dcterms:modified>
</cp:coreProperties>
</file>