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Supplementary Table S2. Mixed-model specification: random-intercept vs random-intercept+slope (LRT) and leave-one-out diagnostic for gamma-GT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  <w:sz w:val="20"/>
              </w:rPr>
              <w:t>Outcome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Random-intercept LL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Intercept+slope LL</w:t>
            </w:r>
          </w:p>
        </w:tc>
        <w:tc>
          <w:tcPr>
            <w:tcW w:type="dxa" w:w="2160"/>
          </w:tcPr>
          <w:p>
            <w:r>
              <w:rPr>
                <w:b/>
                <w:sz w:val="20"/>
              </w:rPr>
              <w:t>LRT p-value</w:t>
            </w:r>
          </w:p>
        </w:tc>
      </w:tr>
      <w:tr>
        <w:tc>
          <w:tcPr>
            <w:tcW w:type="dxa" w:w="2160"/>
          </w:tcPr>
          <w:p>
            <w:r>
              <w:t>Gamma-GT (log)</w:t>
            </w:r>
          </w:p>
        </w:tc>
        <w:tc>
          <w:tcPr>
            <w:tcW w:type="dxa" w:w="2160"/>
          </w:tcPr>
          <w:p>
            <w:r>
              <w:t>-289.47</w:t>
            </w:r>
          </w:p>
        </w:tc>
        <w:tc>
          <w:tcPr>
            <w:tcW w:type="dxa" w:w="2160"/>
          </w:tcPr>
          <w:p>
            <w:r>
              <w:t>-279.59</w:t>
            </w:r>
          </w:p>
        </w:tc>
        <w:tc>
          <w:tcPr>
            <w:tcW w:type="dxa" w:w="2160"/>
          </w:tcPr>
          <w:p>
            <w:r>
              <w:t>&lt;0.001</w:t>
            </w:r>
          </w:p>
        </w:tc>
      </w:tr>
      <w:tr>
        <w:tc>
          <w:tcPr>
            <w:tcW w:type="dxa" w:w="2160"/>
          </w:tcPr>
          <w:p>
            <w:r>
              <w:t>AST (log)</w:t>
            </w:r>
          </w:p>
        </w:tc>
        <w:tc>
          <w:tcPr>
            <w:tcW w:type="dxa" w:w="2160"/>
          </w:tcPr>
          <w:p>
            <w:r>
              <w:t>-87.83</w:t>
            </w:r>
          </w:p>
        </w:tc>
        <w:tc>
          <w:tcPr>
            <w:tcW w:type="dxa" w:w="2160"/>
          </w:tcPr>
          <w:p>
            <w:r>
              <w:t>-81.89</w:t>
            </w:r>
          </w:p>
        </w:tc>
        <w:tc>
          <w:tcPr>
            <w:tcW w:type="dxa" w:w="2160"/>
          </w:tcPr>
          <w:p>
            <w:r>
              <w:t>0.003</w:t>
            </w:r>
          </w:p>
        </w:tc>
      </w:tr>
      <w:tr>
        <w:tc>
          <w:tcPr>
            <w:tcW w:type="dxa" w:w="2160"/>
          </w:tcPr>
          <w:p>
            <w:r>
              <w:t>ALT (log)</w:t>
            </w:r>
          </w:p>
        </w:tc>
        <w:tc>
          <w:tcPr>
            <w:tcW w:type="dxa" w:w="2160"/>
          </w:tcPr>
          <w:p>
            <w:r>
              <w:t>-198.62</w:t>
            </w:r>
          </w:p>
        </w:tc>
        <w:tc>
          <w:tcPr>
            <w:tcW w:type="dxa" w:w="2160"/>
          </w:tcPr>
          <w:p>
            <w:r>
              <w:t>-191.33</w:t>
            </w:r>
          </w:p>
        </w:tc>
        <w:tc>
          <w:tcPr>
            <w:tcW w:type="dxa" w:w="2160"/>
          </w:tcPr>
          <w:p>
            <w:r>
              <w:t>0.001</w:t>
            </w:r>
          </w:p>
        </w:tc>
      </w:tr>
      <w:tr>
        <w:tc>
          <w:tcPr>
            <w:tcW w:type="dxa" w:w="2160"/>
          </w:tcPr>
          <w:p>
            <w:r>
              <w:t>VCM (log)</w:t>
            </w:r>
          </w:p>
        </w:tc>
        <w:tc>
          <w:tcPr>
            <w:tcW w:type="dxa" w:w="2160"/>
          </w:tcPr>
          <w:p>
            <w:r>
              <w:t>683.92</w:t>
            </w:r>
          </w:p>
        </w:tc>
        <w:tc>
          <w:tcPr>
            <w:tcW w:type="dxa" w:w="2160"/>
          </w:tcPr>
          <w:p>
            <w:r>
              <w:t>687.54</w:t>
            </w:r>
          </w:p>
        </w:tc>
        <w:tc>
          <w:tcPr>
            <w:tcW w:type="dxa" w:w="2160"/>
          </w:tcPr>
          <w:p>
            <w:r>
              <w:t>0.027</w:t>
            </w:r>
          </w:p>
        </w:tc>
      </w:tr>
      <w:tr>
        <w:tc>
          <w:tcPr>
            <w:tcW w:type="dxa" w:w="2160"/>
          </w:tcPr>
          <w:p>
            <w:r>
              <w:t>AST/ALT ratio</w:t>
            </w:r>
          </w:p>
        </w:tc>
        <w:tc>
          <w:tcPr>
            <w:tcW w:type="dxa" w:w="2160"/>
          </w:tcPr>
          <w:p>
            <w:r>
              <w:t>167.18</w:t>
            </w:r>
          </w:p>
        </w:tc>
        <w:tc>
          <w:tcPr>
            <w:tcW w:type="dxa" w:w="2160"/>
          </w:tcPr>
          <w:p>
            <w:r>
              <w:t>167.42</w:t>
            </w:r>
          </w:p>
        </w:tc>
        <w:tc>
          <w:tcPr>
            <w:tcW w:type="dxa" w:w="2160"/>
          </w:tcPr>
          <w:p>
            <w:r>
              <w:t>0.784</w:t>
            </w:r>
          </w:p>
        </w:tc>
      </w:tr>
    </w:tbl>
    <w:p>
      <w:r>
        <w:rPr>
          <w:i/>
          <w:sz w:val="18"/>
        </w:rPr>
        <w:t>Likelihood-ratio tests (LRT) confirmed the necessity of random slopes for all hepatic outcomes except AST/ALT ratio. Leave-one-subject-out diagnostic for gamma-GT slope×AUDIT: base coefficient β=0.016, range across LOO iterations [0.004, 0.032]. Removing the top-3 most influential subjects yielded β=0.015, p=0.426 — no individual subject drove the null finding.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