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Supplementary Table S1. AUDIT specification sensitivity and extended hepatic-marker analysis (anchored ±6m)</w:t>
      </w:r>
    </w:p>
    <w:p>
      <w:r>
        <w:rPr>
          <w:b/>
        </w:rPr>
        <w:t>Panel A — Longitudinal slope×AUDIT interaction across alternative AUDIT specifications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AUDIT specification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β (slope×AUDIT, log-units/year)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p-value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>
              <w:t>AUDIT ≥ 8 (primary, dichotomous)</w:t>
            </w:r>
          </w:p>
        </w:tc>
        <w:tc>
          <w:tcPr>
            <w:tcW w:type="dxa" w:w="2160"/>
          </w:tcPr>
          <w:p>
            <w:r>
              <w:t>+0.0160</w:t>
            </w:r>
          </w:p>
        </w:tc>
        <w:tc>
          <w:tcPr>
            <w:tcW w:type="dxa" w:w="2160"/>
          </w:tcPr>
          <w:p>
            <w:r>
              <w:t>0.389</w:t>
            </w:r>
          </w:p>
        </w:tc>
        <w:tc>
          <w:tcPr>
            <w:tcW w:type="dxa" w:w="2160"/>
          </w:tcPr>
          <w:p>
            <w:r>
              <w:t>Random intercept + slope per patient</w:t>
            </w:r>
          </w:p>
        </w:tc>
      </w:tr>
      <w:tr>
        <w:tc>
          <w:tcPr>
            <w:tcW w:type="dxa" w:w="2160"/>
          </w:tcPr>
          <w:p>
            <w:r>
              <w:t>AUDIT continuous (per point)</w:t>
            </w:r>
          </w:p>
        </w:tc>
        <w:tc>
          <w:tcPr>
            <w:tcW w:type="dxa" w:w="2160"/>
          </w:tcPr>
          <w:p>
            <w:r>
              <w:t>−0.00007</w:t>
            </w:r>
          </w:p>
        </w:tc>
        <w:tc>
          <w:tcPr>
            <w:tcW w:type="dxa" w:w="2160"/>
          </w:tcPr>
          <w:p>
            <w:r>
              <w:t>0.966</w:t>
            </w:r>
          </w:p>
        </w:tc>
        <w:tc>
          <w:tcPr>
            <w:tcW w:type="dxa" w:w="2160"/>
          </w:tcPr>
          <w:p>
            <w:r>
              <w:t>No effect</w:t>
            </w:r>
          </w:p>
        </w:tc>
      </w:tr>
      <w:tr>
        <w:tc>
          <w:tcPr>
            <w:tcW w:type="dxa" w:w="2160"/>
          </w:tcPr>
          <w:p>
            <w:r>
              <w:t>AUDIT-C ≥ 3 (partial, 2 items)</w:t>
            </w:r>
          </w:p>
        </w:tc>
        <w:tc>
          <w:tcPr>
            <w:tcW w:type="dxa" w:w="2160"/>
          </w:tcPr>
          <w:p>
            <w:r>
              <w:t>−0.0042</w:t>
            </w:r>
          </w:p>
        </w:tc>
        <w:tc>
          <w:tcPr>
            <w:tcW w:type="dxa" w:w="2160"/>
          </w:tcPr>
          <w:p>
            <w:r>
              <w:t>0.793</w:t>
            </w:r>
          </w:p>
        </w:tc>
        <w:tc>
          <w:tcPr>
            <w:tcW w:type="dxa" w:w="2160"/>
          </w:tcPr>
          <w:p>
            <w:r>
              <w:t>Item 3 corrupted in source spreadsheet</w:t>
            </w:r>
          </w:p>
        </w:tc>
      </w:tr>
      <w:tr>
        <w:tc>
          <w:tcPr>
            <w:tcW w:type="dxa" w:w="2160"/>
          </w:tcPr>
          <w:p>
            <w:r>
              <w:t>AUDIT sex-specific (NIAAA)</w:t>
            </w:r>
          </w:p>
        </w:tc>
        <w:tc>
          <w:tcPr>
            <w:tcW w:type="dxa" w:w="2160"/>
          </w:tcPr>
          <w:p>
            <w:r>
              <w:t>+0.0011</w:t>
            </w:r>
          </w:p>
        </w:tc>
        <w:tc>
          <w:tcPr>
            <w:tcW w:type="dxa" w:w="2160"/>
          </w:tcPr>
          <w:p>
            <w:r>
              <w:t>0.945</w:t>
            </w:r>
          </w:p>
        </w:tc>
        <w:tc>
          <w:tcPr>
            <w:tcW w:type="dxa" w:w="2160"/>
          </w:tcPr>
          <w:p>
            <w:r>
              <w:t>F ≥ 4, M ≥ 8</w:t>
            </w:r>
          </w:p>
        </w:tc>
      </w:tr>
    </w:tbl>
    <w:p/>
    <w:p>
      <w:r>
        <w:rPr>
          <w:b/>
        </w:rPr>
        <w:t>Panel B — Extended hepatic-marker analysis with MCV (hematological)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  <w:t>Marker</w:t>
            </w:r>
          </w:p>
        </w:tc>
        <w:tc>
          <w:tcPr>
            <w:tcW w:type="dxa" w:w="1080"/>
          </w:tcPr>
          <w:p>
            <w:r>
              <w:rPr>
                <w:b/>
              </w:rPr>
              <w:t>AUDIT−</w:t>
              <w:br/>
              <w:t>(n)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Median (P25–P75)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AUDIT+</w:t>
              <w:br/>
              <w:t>(n)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Median (P25–P75)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p (MW)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q (BH n=5)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AUC</w:t>
            </w:r>
          </w:p>
        </w:tc>
      </w:tr>
      <w:tr>
        <w:tc>
          <w:tcPr>
            <w:tcW w:type="dxa" w:w="1080"/>
          </w:tcPr>
          <w:p>
            <w:r>
              <w:t>Gamma-GT (U/L)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15.0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31.0</w:t>
            </w:r>
          </w:p>
        </w:tc>
        <w:tc>
          <w:tcPr>
            <w:tcW w:type="dxa" w:w="1080"/>
          </w:tcPr>
          <w:p>
            <w:r>
              <w:t>0.011</w:t>
            </w:r>
          </w:p>
        </w:tc>
        <w:tc>
          <w:tcPr>
            <w:tcW w:type="dxa" w:w="1080"/>
          </w:tcPr>
          <w:p>
            <w:r>
              <w:t>0.055</w:t>
            </w:r>
          </w:p>
        </w:tc>
        <w:tc>
          <w:tcPr>
            <w:tcW w:type="dxa" w:w="1080"/>
          </w:tcPr>
          <w:p>
            <w:r>
              <w:t>0.727</w:t>
            </w:r>
          </w:p>
        </w:tc>
      </w:tr>
      <w:tr>
        <w:tc>
          <w:tcPr>
            <w:tcW w:type="dxa" w:w="1080"/>
          </w:tcPr>
          <w:p>
            <w:r>
              <w:t>AST (U/L)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25.0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24.5</w:t>
            </w:r>
          </w:p>
        </w:tc>
        <w:tc>
          <w:tcPr>
            <w:tcW w:type="dxa" w:w="1080"/>
          </w:tcPr>
          <w:p>
            <w:r>
              <w:t>0.886</w:t>
            </w:r>
          </w:p>
        </w:tc>
        <w:tc>
          <w:tcPr>
            <w:tcW w:type="dxa" w:w="1080"/>
          </w:tcPr>
          <w:p>
            <w:r>
              <w:t>0.886</w:t>
            </w:r>
          </w:p>
        </w:tc>
        <w:tc>
          <w:tcPr>
            <w:tcW w:type="dxa" w:w="1080"/>
          </w:tcPr>
          <w:p>
            <w:r>
              <w:t>0.487</w:t>
            </w:r>
          </w:p>
        </w:tc>
      </w:tr>
      <w:tr>
        <w:tc>
          <w:tcPr>
            <w:tcW w:type="dxa" w:w="1080"/>
          </w:tcPr>
          <w:p>
            <w:r>
              <w:t>ALT (U/L)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25.0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26.0</w:t>
            </w:r>
          </w:p>
        </w:tc>
        <w:tc>
          <w:tcPr>
            <w:tcW w:type="dxa" w:w="1080"/>
          </w:tcPr>
          <w:p>
            <w:r>
              <w:t>0.521</w:t>
            </w:r>
          </w:p>
        </w:tc>
        <w:tc>
          <w:tcPr>
            <w:tcW w:type="dxa" w:w="1080"/>
          </w:tcPr>
          <w:p>
            <w:r>
              <w:t>0.651</w:t>
            </w:r>
          </w:p>
        </w:tc>
        <w:tc>
          <w:tcPr>
            <w:tcW w:type="dxa" w:w="1080"/>
          </w:tcPr>
          <w:p>
            <w:r>
              <w:t>0.558</w:t>
            </w:r>
          </w:p>
        </w:tc>
      </w:tr>
      <w:tr>
        <w:tc>
          <w:tcPr>
            <w:tcW w:type="dxa" w:w="1080"/>
          </w:tcPr>
          <w:p>
            <w:r>
              <w:t>AST/ALT ratio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1.03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0.89</w:t>
            </w:r>
          </w:p>
        </w:tc>
        <w:tc>
          <w:tcPr>
            <w:tcW w:type="dxa" w:w="1080"/>
          </w:tcPr>
          <w:p>
            <w:r>
              <w:t>0.198</w:t>
            </w:r>
          </w:p>
        </w:tc>
        <w:tc>
          <w:tcPr>
            <w:tcW w:type="dxa" w:w="1080"/>
          </w:tcPr>
          <w:p>
            <w:r>
              <w:t>0.495</w:t>
            </w:r>
          </w:p>
        </w:tc>
        <w:tc>
          <w:tcPr>
            <w:tcW w:type="dxa" w:w="1080"/>
          </w:tcPr>
          <w:p>
            <w:r>
              <w:t>0.399</w:t>
            </w:r>
          </w:p>
        </w:tc>
      </w:tr>
      <w:tr>
        <w:tc>
          <w:tcPr>
            <w:tcW w:type="dxa" w:w="1080"/>
          </w:tcPr>
          <w:p>
            <w:r>
              <w:t>MCV (fL)</w:t>
            </w:r>
          </w:p>
        </w:tc>
        <w:tc>
          <w:tcPr>
            <w:tcW w:type="dxa" w:w="1080"/>
          </w:tcPr>
          <w:p>
            <w:r>
              <w:t>48</w:t>
            </w:r>
          </w:p>
        </w:tc>
        <w:tc>
          <w:tcPr>
            <w:tcW w:type="dxa" w:w="1080"/>
          </w:tcPr>
          <w:p>
            <w:r>
              <w:t>87.8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88.05</w:t>
            </w:r>
          </w:p>
        </w:tc>
        <w:tc>
          <w:tcPr>
            <w:tcW w:type="dxa" w:w="1080"/>
          </w:tcPr>
          <w:p>
            <w:r>
              <w:t>0.405</w:t>
            </w:r>
          </w:p>
        </w:tc>
        <w:tc>
          <w:tcPr>
            <w:tcW w:type="dxa" w:w="1080"/>
          </w:tcPr>
          <w:p>
            <w:r>
              <w:t>0.651</w:t>
            </w:r>
          </w:p>
        </w:tc>
        <w:tc>
          <w:tcPr>
            <w:tcW w:type="dxa" w:w="1080"/>
          </w:tcPr>
          <w:p>
            <w:r>
              <w:t>0.574</w:t>
            </w:r>
          </w:p>
        </w:tc>
      </w:tr>
    </w:tbl>
    <w:p/>
    <w:p>
      <w:r>
        <w:rPr>
          <w:i/>
          <w:sz w:val="18"/>
        </w:rPr>
        <w:t>Panel A: random-intercept + random-slope mixed model on log-GGT; LRT confirmed random slopes are necessary (p&lt;0.001). All four AUDIT specifications converged on a non-significant slope × AUDIT interaction. Panel B: extended hepatic family adding MCV (5 outcomes) — under this broader family GGT q-BH = 0.055 (borderline). The primary analysis (Table 3) used the 4-enzyme hepatic family for biological coherence; MCV is a hematological macrocytosis marker with a different mechanism.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