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D277" w14:textId="77777777" w:rsidR="001E3315" w:rsidRPr="00187789" w:rsidRDefault="001E3315" w:rsidP="001E3315">
      <w:pPr>
        <w:rPr>
          <w:rFonts w:ascii="Times New Roman" w:hAnsi="Times New Roman" w:cs="Times New Roman"/>
          <w:b/>
          <w:bCs/>
        </w:rPr>
      </w:pPr>
      <w:r w:rsidRPr="00187789">
        <w:rPr>
          <w:rFonts w:ascii="Times New Roman" w:hAnsi="Times New Roman" w:cs="Times New Roman"/>
          <w:b/>
          <w:bCs/>
        </w:rPr>
        <w:t>Supplemental Material</w:t>
      </w:r>
    </w:p>
    <w:p w14:paraId="4D13E8BC" w14:textId="77777777" w:rsidR="001E3315" w:rsidRPr="00187789" w:rsidRDefault="001E3315" w:rsidP="001E3315">
      <w:pPr>
        <w:rPr>
          <w:rFonts w:ascii="Times New Roman" w:hAnsi="Times New Roman" w:cs="Times New Roman"/>
        </w:rPr>
      </w:pPr>
      <w:r w:rsidRPr="00187789">
        <w:rPr>
          <w:rFonts w:ascii="Times New Roman" w:hAnsi="Times New Roman" w:cs="Times New Roman"/>
        </w:rPr>
        <w:t xml:space="preserve">Supplemental Table 1: Seven SASRQ items used in this study, modified from the original </w:t>
      </w:r>
      <w:proofErr w:type="spellStart"/>
      <w:r w:rsidRPr="00187789">
        <w:rPr>
          <w:rFonts w:ascii="Times New Roman" w:hAnsi="Times New Roman" w:cs="Times New Roman"/>
        </w:rPr>
        <w:t>Cardeña</w:t>
      </w:r>
      <w:proofErr w:type="spellEnd"/>
      <w:r w:rsidRPr="00187789">
        <w:rPr>
          <w:rFonts w:ascii="Times New Roman" w:hAnsi="Times New Roman" w:cs="Times New Roman"/>
        </w:rPr>
        <w:t xml:space="preserve"> et al. (2000) instrument by anchoring responses to the period between fetal cardiac evaluation referral and the scheduled appointment. The 6-point Likert response scale (0 = </w:t>
      </w:r>
      <w:r w:rsidRPr="00187789">
        <w:rPr>
          <w:rFonts w:ascii="Times New Roman" w:hAnsi="Times New Roman" w:cs="Times New Roman"/>
          <w:i/>
          <w:iCs/>
        </w:rPr>
        <w:t>not experienced</w:t>
      </w:r>
      <w:r w:rsidRPr="00187789">
        <w:rPr>
          <w:rFonts w:ascii="Times New Roman" w:hAnsi="Times New Roman" w:cs="Times New Roman"/>
        </w:rPr>
        <w:t xml:space="preserve"> to 5 = </w:t>
      </w:r>
      <w:r w:rsidRPr="00187789">
        <w:rPr>
          <w:rFonts w:ascii="Times New Roman" w:hAnsi="Times New Roman" w:cs="Times New Roman"/>
          <w:i/>
          <w:iCs/>
        </w:rPr>
        <w:t>very often experienced</w:t>
      </w:r>
      <w:r w:rsidRPr="00187789">
        <w:rPr>
          <w:rFonts w:ascii="Times New Roman" w:hAnsi="Times New Roman" w:cs="Times New Roman"/>
        </w:rPr>
        <w:t>) was preserved.</w:t>
      </w:r>
    </w:p>
    <w:tbl>
      <w:tblPr>
        <w:tblW w:w="9360" w:type="dxa"/>
        <w:tblBorders>
          <w:top w:val="single" w:sz="4" w:space="0" w:color="000000"/>
          <w:bottom w:val="single" w:sz="4" w:space="0" w:color="auto"/>
          <w:insideH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0"/>
        <w:gridCol w:w="2250"/>
        <w:gridCol w:w="2430"/>
        <w:gridCol w:w="3330"/>
      </w:tblGrid>
      <w:tr w:rsidR="001E3315" w:rsidRPr="00187789" w14:paraId="18E9C911" w14:textId="77777777" w:rsidTr="006E5854">
        <w:trPr>
          <w:tblHeader/>
        </w:trPr>
        <w:tc>
          <w:tcPr>
            <w:tcW w:w="1350" w:type="dxa"/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FD45568" w14:textId="77777777" w:rsidR="001E3315" w:rsidRPr="00187789" w:rsidRDefault="001E3315" w:rsidP="006E5854">
            <w:pPr>
              <w:jc w:val="center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Study item</w:t>
            </w:r>
          </w:p>
        </w:tc>
        <w:tc>
          <w:tcPr>
            <w:tcW w:w="2250" w:type="dxa"/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FDD39D7" w14:textId="77777777" w:rsidR="001E3315" w:rsidRPr="00187789" w:rsidRDefault="001E3315" w:rsidP="006E5854">
            <w:pPr>
              <w:jc w:val="center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Symptom label</w:t>
            </w:r>
          </w:p>
        </w:tc>
        <w:tc>
          <w:tcPr>
            <w:tcW w:w="2430" w:type="dxa"/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500DCC0" w14:textId="77777777" w:rsidR="001E3315" w:rsidRPr="00187789" w:rsidRDefault="001E3315" w:rsidP="006E5854">
            <w:pPr>
              <w:jc w:val="center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Original SASRQ subscale</w:t>
            </w:r>
          </w:p>
        </w:tc>
        <w:tc>
          <w:tcPr>
            <w:tcW w:w="3330" w:type="dxa"/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217DF4" w14:textId="77777777" w:rsidR="001E3315" w:rsidRPr="00187789" w:rsidRDefault="001E3315" w:rsidP="006E5854">
            <w:pPr>
              <w:jc w:val="center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Item wording presented to participants (modified from original SASRQ)</w:t>
            </w:r>
          </w:p>
        </w:tc>
      </w:tr>
      <w:tr w:rsidR="001E3315" w:rsidRPr="00187789" w14:paraId="4E36BDE1" w14:textId="77777777" w:rsidTr="006E5854">
        <w:tc>
          <w:tcPr>
            <w:tcW w:w="13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D35955" w14:textId="77777777" w:rsidR="001E3315" w:rsidRPr="00187789" w:rsidRDefault="001E3315" w:rsidP="006E5854">
            <w:pPr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sz w:val="22"/>
                <w:szCs w:val="22"/>
              </w:rPr>
              <w:t>Symptom 1</w:t>
            </w:r>
          </w:p>
        </w:tc>
        <w:tc>
          <w:tcPr>
            <w:tcW w:w="22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16E8A5" w14:textId="77777777" w:rsidR="001E3315" w:rsidRPr="00187789" w:rsidRDefault="001E3315" w:rsidP="006E5854">
            <w:pPr>
              <w:rPr>
                <w:rFonts w:ascii="Times New Roman" w:hAnsi="Times New Roman" w:cs="Times New Roman"/>
              </w:rPr>
            </w:pPr>
            <w:proofErr w:type="gramStart"/>
            <w:r w:rsidRPr="00187789">
              <w:rPr>
                <w:rFonts w:ascii="Times New Roman" w:eastAsia="Times New Roman" w:hAnsi="Times New Roman" w:cs="Times New Roman"/>
                <w:sz w:val="22"/>
                <w:szCs w:val="22"/>
              </w:rPr>
              <w:t>General</w:t>
            </w:r>
            <w:proofErr w:type="gramEnd"/>
            <w:r w:rsidRPr="0018778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anxious feeling</w:t>
            </w:r>
          </w:p>
        </w:tc>
        <w:tc>
          <w:tcPr>
            <w:tcW w:w="243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E7E8D1" w14:textId="77777777" w:rsidR="001E3315" w:rsidRPr="00187789" w:rsidRDefault="001E3315" w:rsidP="006E5854">
            <w:pPr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sz w:val="22"/>
                <w:szCs w:val="22"/>
              </w:rPr>
              <w:t>Anxiety / hyperarousal</w:t>
            </w:r>
          </w:p>
        </w:tc>
        <w:tc>
          <w:tcPr>
            <w:tcW w:w="333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DB82D4" w14:textId="77777777" w:rsidR="001E3315" w:rsidRPr="00187789" w:rsidRDefault="001E3315" w:rsidP="006E5854">
            <w:pPr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sz w:val="22"/>
                <w:szCs w:val="22"/>
              </w:rPr>
              <w:t>I felt restless or anxious.</w:t>
            </w:r>
          </w:p>
        </w:tc>
      </w:tr>
      <w:tr w:rsidR="001E3315" w:rsidRPr="00187789" w14:paraId="3D6F756F" w14:textId="77777777" w:rsidTr="006E5854">
        <w:tc>
          <w:tcPr>
            <w:tcW w:w="13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1F49CA" w14:textId="77777777" w:rsidR="001E3315" w:rsidRPr="00187789" w:rsidRDefault="001E3315" w:rsidP="006E5854">
            <w:pPr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sz w:val="22"/>
                <w:szCs w:val="22"/>
              </w:rPr>
              <w:t>Symptom 2</w:t>
            </w:r>
          </w:p>
        </w:tc>
        <w:tc>
          <w:tcPr>
            <w:tcW w:w="22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E972F" w14:textId="77777777" w:rsidR="001E3315" w:rsidRPr="00187789" w:rsidRDefault="001E3315" w:rsidP="006E5854">
            <w:pPr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sz w:val="22"/>
                <w:szCs w:val="22"/>
              </w:rPr>
              <w:t>Difficulty performing tasks</w:t>
            </w:r>
          </w:p>
        </w:tc>
        <w:tc>
          <w:tcPr>
            <w:tcW w:w="243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DAC6E2" w14:textId="77777777" w:rsidR="001E3315" w:rsidRPr="00187789" w:rsidRDefault="001E3315" w:rsidP="006E5854">
            <w:pPr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sz w:val="22"/>
                <w:szCs w:val="22"/>
              </w:rPr>
              <w:t>Impairment in functioning</w:t>
            </w:r>
          </w:p>
        </w:tc>
        <w:tc>
          <w:tcPr>
            <w:tcW w:w="333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0C99A7" w14:textId="77777777" w:rsidR="001E3315" w:rsidRPr="00187789" w:rsidRDefault="001E3315" w:rsidP="006E5854">
            <w:pPr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sz w:val="22"/>
                <w:szCs w:val="22"/>
              </w:rPr>
              <w:t>The fetal cardiac evaluation made it difficult for me to perform work or other things I needed to do.</w:t>
            </w:r>
          </w:p>
        </w:tc>
      </w:tr>
      <w:tr w:rsidR="001E3315" w:rsidRPr="00187789" w14:paraId="2FCCF373" w14:textId="77777777" w:rsidTr="006E5854">
        <w:tc>
          <w:tcPr>
            <w:tcW w:w="13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F8EE06" w14:textId="77777777" w:rsidR="001E3315" w:rsidRPr="00187789" w:rsidRDefault="001E3315" w:rsidP="006E5854">
            <w:pPr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sz w:val="22"/>
                <w:szCs w:val="22"/>
              </w:rPr>
              <w:t>Symptom 3</w:t>
            </w:r>
          </w:p>
        </w:tc>
        <w:tc>
          <w:tcPr>
            <w:tcW w:w="22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D0600E" w14:textId="77777777" w:rsidR="001E3315" w:rsidRPr="00187789" w:rsidRDefault="001E3315" w:rsidP="006E5854">
            <w:pPr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sz w:val="22"/>
                <w:szCs w:val="22"/>
              </w:rPr>
              <w:t>Avoidance of thinking about the visit</w:t>
            </w:r>
          </w:p>
        </w:tc>
        <w:tc>
          <w:tcPr>
            <w:tcW w:w="243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1C6F1" w14:textId="77777777" w:rsidR="001E3315" w:rsidRPr="00187789" w:rsidRDefault="001E3315" w:rsidP="006E5854">
            <w:pPr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sz w:val="22"/>
                <w:szCs w:val="22"/>
              </w:rPr>
              <w:t>Avoidance</w:t>
            </w:r>
          </w:p>
        </w:tc>
        <w:tc>
          <w:tcPr>
            <w:tcW w:w="333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39B476" w14:textId="77777777" w:rsidR="001E3315" w:rsidRPr="00187789" w:rsidRDefault="001E3315" w:rsidP="006E5854">
            <w:pPr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sz w:val="22"/>
                <w:szCs w:val="22"/>
              </w:rPr>
              <w:t>I tried to avoid feelings about the fetal cardiac evaluation.</w:t>
            </w:r>
          </w:p>
        </w:tc>
      </w:tr>
      <w:tr w:rsidR="001E3315" w:rsidRPr="00187789" w14:paraId="67E18A26" w14:textId="77777777" w:rsidTr="006E5854">
        <w:tc>
          <w:tcPr>
            <w:tcW w:w="13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A461C9" w14:textId="77777777" w:rsidR="001E3315" w:rsidRPr="00187789" w:rsidRDefault="001E3315" w:rsidP="006E5854">
            <w:pPr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sz w:val="22"/>
                <w:szCs w:val="22"/>
              </w:rPr>
              <w:t>Symptom 4</w:t>
            </w:r>
          </w:p>
        </w:tc>
        <w:tc>
          <w:tcPr>
            <w:tcW w:w="22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484226" w14:textId="77777777" w:rsidR="001E3315" w:rsidRPr="00187789" w:rsidRDefault="001E3315" w:rsidP="006E5854">
            <w:pPr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sz w:val="22"/>
                <w:szCs w:val="22"/>
              </w:rPr>
              <w:t>Hypervigilance / feeling “on edge”</w:t>
            </w:r>
          </w:p>
        </w:tc>
        <w:tc>
          <w:tcPr>
            <w:tcW w:w="243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1E7563" w14:textId="77777777" w:rsidR="001E3315" w:rsidRPr="00187789" w:rsidRDefault="001E3315" w:rsidP="006E5854">
            <w:r w:rsidRPr="00187789">
              <w:rPr>
                <w:rFonts w:ascii="Times New Roman" w:eastAsia="Times New Roman" w:hAnsi="Times New Roman" w:cs="Times New Roman"/>
                <w:sz w:val="22"/>
                <w:szCs w:val="22"/>
              </w:rPr>
              <w:t>Anxiety / hyperarousal</w:t>
            </w:r>
          </w:p>
        </w:tc>
        <w:tc>
          <w:tcPr>
            <w:tcW w:w="333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8A18AD" w14:textId="77777777" w:rsidR="001E3315" w:rsidRPr="00187789" w:rsidRDefault="001E3315" w:rsidP="006E5854">
            <w:pPr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sz w:val="22"/>
                <w:szCs w:val="22"/>
              </w:rPr>
              <w:t>I felt hypervigilant or “on edge.”</w:t>
            </w:r>
          </w:p>
        </w:tc>
      </w:tr>
      <w:tr w:rsidR="001E3315" w:rsidRPr="00187789" w14:paraId="32E57AA1" w14:textId="77777777" w:rsidTr="006E5854">
        <w:tc>
          <w:tcPr>
            <w:tcW w:w="13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7DC3D2" w14:textId="77777777" w:rsidR="001E3315" w:rsidRPr="00187789" w:rsidRDefault="001E3315" w:rsidP="006E5854">
            <w:pPr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sz w:val="22"/>
                <w:szCs w:val="22"/>
              </w:rPr>
              <w:t>Symptom 5</w:t>
            </w:r>
          </w:p>
        </w:tc>
        <w:tc>
          <w:tcPr>
            <w:tcW w:w="22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CE3E55" w14:textId="77777777" w:rsidR="001E3315" w:rsidRPr="00187789" w:rsidRDefault="001E3315" w:rsidP="006E5854">
            <w:pPr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sz w:val="22"/>
                <w:szCs w:val="22"/>
              </w:rPr>
              <w:t>Difficulty concentrating</w:t>
            </w:r>
          </w:p>
        </w:tc>
        <w:tc>
          <w:tcPr>
            <w:tcW w:w="243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3A2410" w14:textId="77777777" w:rsidR="001E3315" w:rsidRPr="00187789" w:rsidRDefault="001E3315" w:rsidP="006E5854">
            <w:pPr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sz w:val="22"/>
                <w:szCs w:val="22"/>
              </w:rPr>
              <w:t>Anxiety / hyperarousal</w:t>
            </w:r>
          </w:p>
        </w:tc>
        <w:tc>
          <w:tcPr>
            <w:tcW w:w="333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8643D7" w14:textId="77777777" w:rsidR="001E3315" w:rsidRPr="00187789" w:rsidRDefault="001E3315" w:rsidP="006E5854">
            <w:pPr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sz w:val="22"/>
                <w:szCs w:val="22"/>
              </w:rPr>
              <w:t>I had difficulty concentrating.</w:t>
            </w:r>
          </w:p>
        </w:tc>
      </w:tr>
      <w:tr w:rsidR="001E3315" w:rsidRPr="00187789" w14:paraId="79918309" w14:textId="77777777" w:rsidTr="006E5854">
        <w:tc>
          <w:tcPr>
            <w:tcW w:w="13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9E3F11" w14:textId="77777777" w:rsidR="001E3315" w:rsidRPr="00187789" w:rsidRDefault="001E3315" w:rsidP="006E5854">
            <w:pPr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sz w:val="22"/>
                <w:szCs w:val="22"/>
              </w:rPr>
              <w:t>Symptom 6</w:t>
            </w:r>
          </w:p>
        </w:tc>
        <w:tc>
          <w:tcPr>
            <w:tcW w:w="22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E63B14" w14:textId="77777777" w:rsidR="001E3315" w:rsidRPr="00187789" w:rsidRDefault="001E3315" w:rsidP="006E5854">
            <w:pPr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sz w:val="22"/>
                <w:szCs w:val="22"/>
              </w:rPr>
              <w:t>Emotional detachment</w:t>
            </w:r>
          </w:p>
        </w:tc>
        <w:tc>
          <w:tcPr>
            <w:tcW w:w="243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75482D" w14:textId="77777777" w:rsidR="001E3315" w:rsidRPr="00187789" w:rsidRDefault="001E3315" w:rsidP="006E5854">
            <w:pPr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sz w:val="22"/>
                <w:szCs w:val="22"/>
              </w:rPr>
              <w:t>Dissociation</w:t>
            </w:r>
          </w:p>
        </w:tc>
        <w:tc>
          <w:tcPr>
            <w:tcW w:w="333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5EE559" w14:textId="77777777" w:rsidR="001E3315" w:rsidRPr="00187789" w:rsidRDefault="001E3315" w:rsidP="006E5854">
            <w:pPr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sz w:val="22"/>
                <w:szCs w:val="22"/>
              </w:rPr>
              <w:t>I felt distant from my own emotions.</w:t>
            </w:r>
          </w:p>
        </w:tc>
      </w:tr>
      <w:tr w:rsidR="001E3315" w:rsidRPr="00187789" w14:paraId="3F5DFCDB" w14:textId="77777777" w:rsidTr="006E5854">
        <w:tc>
          <w:tcPr>
            <w:tcW w:w="13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5CEC33" w14:textId="77777777" w:rsidR="001E3315" w:rsidRPr="00187789" w:rsidRDefault="001E3315" w:rsidP="006E5854">
            <w:pPr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sz w:val="22"/>
                <w:szCs w:val="22"/>
              </w:rPr>
              <w:t>Symptom 7</w:t>
            </w:r>
          </w:p>
        </w:tc>
        <w:tc>
          <w:tcPr>
            <w:tcW w:w="22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DE4B27" w14:textId="77777777" w:rsidR="001E3315" w:rsidRPr="00187789" w:rsidRDefault="001E3315" w:rsidP="006E5854">
            <w:pPr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sz w:val="22"/>
                <w:szCs w:val="22"/>
              </w:rPr>
              <w:t>Irritability or anger outbursts</w:t>
            </w:r>
          </w:p>
        </w:tc>
        <w:tc>
          <w:tcPr>
            <w:tcW w:w="243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F5DCDA" w14:textId="77777777" w:rsidR="001E3315" w:rsidRPr="00187789" w:rsidRDefault="001E3315" w:rsidP="006E5854">
            <w:pPr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sz w:val="22"/>
                <w:szCs w:val="22"/>
              </w:rPr>
              <w:t>Anxiety / hyperarousal</w:t>
            </w:r>
          </w:p>
        </w:tc>
        <w:tc>
          <w:tcPr>
            <w:tcW w:w="333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266E30" w14:textId="77777777" w:rsidR="001E3315" w:rsidRPr="00187789" w:rsidRDefault="001E3315" w:rsidP="006E5854">
            <w:pPr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eastAsia="Times New Roman" w:hAnsi="Times New Roman" w:cs="Times New Roman"/>
                <w:sz w:val="22"/>
                <w:szCs w:val="22"/>
              </w:rPr>
              <w:t>I felt irritable or had outbursts of anger.</w:t>
            </w:r>
          </w:p>
        </w:tc>
      </w:tr>
    </w:tbl>
    <w:p w14:paraId="13BA3A19" w14:textId="77777777" w:rsidR="001E3315" w:rsidRPr="00187789" w:rsidRDefault="001E3315" w:rsidP="001E3315">
      <w:pPr>
        <w:rPr>
          <w:rFonts w:ascii="Times New Roman" w:hAnsi="Times New Roman" w:cs="Times New Roman"/>
          <w:b/>
          <w:bCs/>
        </w:rPr>
      </w:pPr>
    </w:p>
    <w:p w14:paraId="6A539112" w14:textId="77777777" w:rsidR="001E3315" w:rsidRPr="00187789" w:rsidRDefault="001E3315" w:rsidP="001E3315">
      <w:pPr>
        <w:rPr>
          <w:rFonts w:ascii="Times New Roman" w:hAnsi="Times New Roman" w:cs="Times New Roman"/>
        </w:rPr>
      </w:pPr>
    </w:p>
    <w:p w14:paraId="22F13E07" w14:textId="77777777" w:rsidR="001E3315" w:rsidRPr="00187789" w:rsidRDefault="001E3315" w:rsidP="001E3315">
      <w:pPr>
        <w:rPr>
          <w:rFonts w:ascii="Times New Roman" w:hAnsi="Times New Roman" w:cs="Times New Roman"/>
        </w:rPr>
      </w:pPr>
    </w:p>
    <w:p w14:paraId="1BE547E5" w14:textId="77777777" w:rsidR="001E3315" w:rsidRPr="00187789" w:rsidRDefault="001E3315" w:rsidP="001E3315">
      <w:pPr>
        <w:rPr>
          <w:rFonts w:ascii="Times New Roman" w:eastAsiaTheme="majorEastAsia" w:hAnsi="Times New Roman" w:cs="Times New Roman"/>
          <w:color w:val="0F4761" w:themeColor="accent1" w:themeShade="BF"/>
        </w:rPr>
      </w:pPr>
      <w:r w:rsidRPr="00187789">
        <w:rPr>
          <w:rFonts w:ascii="Times New Roman" w:hAnsi="Times New Roman" w:cs="Times New Roman"/>
        </w:rPr>
        <w:br w:type="page"/>
      </w:r>
    </w:p>
    <w:p w14:paraId="4603DC41" w14:textId="77777777" w:rsidR="001E3315" w:rsidRPr="00187789" w:rsidRDefault="001E3315" w:rsidP="001E3315">
      <w:pPr>
        <w:pStyle w:val="Heading2"/>
        <w:ind w:left="-810"/>
        <w:rPr>
          <w:rFonts w:ascii="Times New Roman" w:hAnsi="Times New Roman" w:cs="Times New Roman"/>
          <w:color w:val="auto"/>
          <w:sz w:val="24"/>
          <w:szCs w:val="24"/>
        </w:rPr>
      </w:pPr>
      <w:r w:rsidRPr="00187789">
        <w:rPr>
          <w:rFonts w:ascii="Times New Roman" w:hAnsi="Times New Roman" w:cs="Times New Roman"/>
          <w:color w:val="auto"/>
          <w:sz w:val="24"/>
          <w:szCs w:val="24"/>
        </w:rPr>
        <w:lastRenderedPageBreak/>
        <w:t>Supplemental Table 2. Pre-FCE Survey Structure and Variable Definitions</w:t>
      </w:r>
    </w:p>
    <w:p w14:paraId="1D258F12" w14:textId="77777777" w:rsidR="001E3315" w:rsidRPr="00187789" w:rsidRDefault="001E3315" w:rsidP="001E3315">
      <w:pPr>
        <w:ind w:left="-810" w:right="-540"/>
        <w:jc w:val="both"/>
        <w:rPr>
          <w:rFonts w:ascii="Times New Roman" w:hAnsi="Times New Roman" w:cs="Times New Roman"/>
          <w:sz w:val="22"/>
          <w:szCs w:val="22"/>
        </w:rPr>
      </w:pPr>
      <w:r w:rsidRPr="00187789">
        <w:rPr>
          <w:rFonts w:ascii="Times New Roman" w:hAnsi="Times New Roman" w:cs="Times New Roman"/>
          <w:sz w:val="22"/>
          <w:szCs w:val="22"/>
        </w:rPr>
        <w:t>This table details the variables collected in the pre-evaluation survey, which was administered electronically prior to the fetal cardiac evaluation (FCE). The instrument was based on a modified version of the Stanford Acute Stress Reaction Questionnaire (SASRQ), adapted for use in the prenatal cardiology setting</w:t>
      </w:r>
    </w:p>
    <w:tbl>
      <w:tblPr>
        <w:tblW w:w="5913" w:type="pct"/>
        <w:tblInd w:w="-900" w:type="dxa"/>
        <w:tblLook w:val="04A0" w:firstRow="1" w:lastRow="0" w:firstColumn="1" w:lastColumn="0" w:noHBand="0" w:noVBand="1"/>
      </w:tblPr>
      <w:tblGrid>
        <w:gridCol w:w="1980"/>
        <w:gridCol w:w="4320"/>
        <w:gridCol w:w="4769"/>
      </w:tblGrid>
      <w:tr w:rsidR="001E3315" w:rsidRPr="00187789" w14:paraId="0FBAB299" w14:textId="77777777" w:rsidTr="006E5854">
        <w:tc>
          <w:tcPr>
            <w:tcW w:w="894" w:type="pct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44EE56C4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1951" w:type="pct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06838402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Variable / Item</w:t>
            </w:r>
          </w:p>
        </w:tc>
        <w:tc>
          <w:tcPr>
            <w:tcW w:w="2154" w:type="pct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7E6BFC4B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Description</w:t>
            </w:r>
          </w:p>
        </w:tc>
      </w:tr>
      <w:tr w:rsidR="001E3315" w:rsidRPr="00187789" w14:paraId="6FB81372" w14:textId="77777777" w:rsidTr="006E5854">
        <w:tc>
          <w:tcPr>
            <w:tcW w:w="894" w:type="pct"/>
            <w:tcBorders>
              <w:top w:val="single" w:sz="4" w:space="0" w:color="auto"/>
            </w:tcBorders>
          </w:tcPr>
          <w:p w14:paraId="08625A0C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Demographics</w:t>
            </w:r>
          </w:p>
        </w:tc>
        <w:tc>
          <w:tcPr>
            <w:tcW w:w="1951" w:type="pct"/>
            <w:tcBorders>
              <w:top w:val="single" w:sz="4" w:space="0" w:color="auto"/>
            </w:tcBorders>
          </w:tcPr>
          <w:p w14:paraId="40253642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2154" w:type="pct"/>
            <w:tcBorders>
              <w:top w:val="single" w:sz="4" w:space="0" w:color="auto"/>
            </w:tcBorders>
          </w:tcPr>
          <w:p w14:paraId="6E9F48C8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Age in years</w:t>
            </w:r>
          </w:p>
        </w:tc>
      </w:tr>
      <w:tr w:rsidR="001E3315" w:rsidRPr="00187789" w14:paraId="602F7925" w14:textId="77777777" w:rsidTr="006E5854">
        <w:tc>
          <w:tcPr>
            <w:tcW w:w="894" w:type="pct"/>
          </w:tcPr>
          <w:p w14:paraId="03CEE0BF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1" w:type="pct"/>
          </w:tcPr>
          <w:p w14:paraId="3290BB41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Education level</w:t>
            </w:r>
          </w:p>
        </w:tc>
        <w:tc>
          <w:tcPr>
            <w:tcW w:w="2154" w:type="pct"/>
          </w:tcPr>
          <w:p w14:paraId="756C8B78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Less than high school, High school/GED, Some college, College graduate, Graduate degree</w:t>
            </w:r>
          </w:p>
        </w:tc>
      </w:tr>
      <w:tr w:rsidR="001E3315" w:rsidRPr="00187789" w14:paraId="12797155" w14:textId="77777777" w:rsidTr="006E5854">
        <w:tc>
          <w:tcPr>
            <w:tcW w:w="894" w:type="pct"/>
            <w:tcBorders>
              <w:bottom w:val="single" w:sz="4" w:space="0" w:color="auto"/>
            </w:tcBorders>
          </w:tcPr>
          <w:p w14:paraId="184778B4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1" w:type="pct"/>
            <w:tcBorders>
              <w:bottom w:val="single" w:sz="4" w:space="0" w:color="auto"/>
            </w:tcBorders>
          </w:tcPr>
          <w:p w14:paraId="08EE5953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Geographic region</w:t>
            </w:r>
          </w:p>
        </w:tc>
        <w:tc>
          <w:tcPr>
            <w:tcW w:w="2154" w:type="pct"/>
            <w:tcBorders>
              <w:bottom w:val="single" w:sz="4" w:space="0" w:color="auto"/>
            </w:tcBorders>
          </w:tcPr>
          <w:p w14:paraId="3AE58704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Urban, suburban, or rural residence</w:t>
            </w:r>
          </w:p>
        </w:tc>
      </w:tr>
      <w:tr w:rsidR="001E3315" w:rsidRPr="00187789" w14:paraId="13830C18" w14:textId="77777777" w:rsidTr="006E5854">
        <w:tc>
          <w:tcPr>
            <w:tcW w:w="894" w:type="pct"/>
            <w:tcBorders>
              <w:top w:val="single" w:sz="4" w:space="0" w:color="auto"/>
            </w:tcBorders>
          </w:tcPr>
          <w:p w14:paraId="57FD8B4A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Medical History</w:t>
            </w:r>
          </w:p>
        </w:tc>
        <w:tc>
          <w:tcPr>
            <w:tcW w:w="1951" w:type="pct"/>
            <w:tcBorders>
              <w:top w:val="single" w:sz="4" w:space="0" w:color="auto"/>
            </w:tcBorders>
          </w:tcPr>
          <w:p w14:paraId="34D585AD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Gravidity / Parity</w:t>
            </w:r>
          </w:p>
        </w:tc>
        <w:tc>
          <w:tcPr>
            <w:tcW w:w="2154" w:type="pct"/>
            <w:tcBorders>
              <w:top w:val="single" w:sz="4" w:space="0" w:color="auto"/>
            </w:tcBorders>
          </w:tcPr>
          <w:p w14:paraId="7E7617FC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Number of pregnancies and live births</w:t>
            </w:r>
          </w:p>
        </w:tc>
      </w:tr>
      <w:tr w:rsidR="001E3315" w:rsidRPr="00187789" w14:paraId="1BE6CEFA" w14:textId="77777777" w:rsidTr="006E5854">
        <w:tc>
          <w:tcPr>
            <w:tcW w:w="894" w:type="pct"/>
          </w:tcPr>
          <w:p w14:paraId="2573BDC7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1" w:type="pct"/>
          </w:tcPr>
          <w:p w14:paraId="64443297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Prior pregnancy loss</w:t>
            </w:r>
          </w:p>
        </w:tc>
        <w:tc>
          <w:tcPr>
            <w:tcW w:w="2154" w:type="pct"/>
          </w:tcPr>
          <w:p w14:paraId="2755A6A5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Yes / No</w:t>
            </w:r>
          </w:p>
        </w:tc>
      </w:tr>
      <w:tr w:rsidR="001E3315" w:rsidRPr="00187789" w14:paraId="29F6FCFA" w14:textId="77777777" w:rsidTr="006E5854">
        <w:tc>
          <w:tcPr>
            <w:tcW w:w="894" w:type="pct"/>
          </w:tcPr>
          <w:p w14:paraId="009F07CB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1" w:type="pct"/>
          </w:tcPr>
          <w:p w14:paraId="6FFAA859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Prior anxiety diagnosis</w:t>
            </w:r>
          </w:p>
        </w:tc>
        <w:tc>
          <w:tcPr>
            <w:tcW w:w="2154" w:type="pct"/>
          </w:tcPr>
          <w:p w14:paraId="7E19419C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Yes / No</w:t>
            </w:r>
          </w:p>
        </w:tc>
      </w:tr>
      <w:tr w:rsidR="001E3315" w:rsidRPr="00187789" w14:paraId="22E1015A" w14:textId="77777777" w:rsidTr="006E5854">
        <w:tc>
          <w:tcPr>
            <w:tcW w:w="894" w:type="pct"/>
          </w:tcPr>
          <w:p w14:paraId="0353CDAD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1" w:type="pct"/>
          </w:tcPr>
          <w:p w14:paraId="41062AEF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Prior treatment for anxiety</w:t>
            </w:r>
          </w:p>
        </w:tc>
        <w:tc>
          <w:tcPr>
            <w:tcW w:w="2154" w:type="pct"/>
          </w:tcPr>
          <w:p w14:paraId="24A9D870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Yes / No; treatment type specified</w:t>
            </w:r>
          </w:p>
        </w:tc>
      </w:tr>
      <w:tr w:rsidR="001E3315" w:rsidRPr="00187789" w14:paraId="350C9BEE" w14:textId="77777777" w:rsidTr="006E5854">
        <w:tc>
          <w:tcPr>
            <w:tcW w:w="894" w:type="pct"/>
            <w:tcBorders>
              <w:bottom w:val="single" w:sz="4" w:space="0" w:color="auto"/>
            </w:tcBorders>
          </w:tcPr>
          <w:p w14:paraId="2CFDAA2B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1" w:type="pct"/>
            <w:tcBorders>
              <w:bottom w:val="single" w:sz="4" w:space="0" w:color="auto"/>
            </w:tcBorders>
          </w:tcPr>
          <w:p w14:paraId="1A76109C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Comorbidities</w:t>
            </w:r>
          </w:p>
        </w:tc>
        <w:tc>
          <w:tcPr>
            <w:tcW w:w="2154" w:type="pct"/>
            <w:tcBorders>
              <w:bottom w:val="single" w:sz="4" w:space="0" w:color="auto"/>
            </w:tcBorders>
          </w:tcPr>
          <w:p w14:paraId="3E67F41C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Any self-reported chronic or acute medical condition</w:t>
            </w:r>
          </w:p>
        </w:tc>
      </w:tr>
      <w:tr w:rsidR="001E3315" w:rsidRPr="00187789" w14:paraId="63FFBF41" w14:textId="77777777" w:rsidTr="006E5854">
        <w:tc>
          <w:tcPr>
            <w:tcW w:w="894" w:type="pct"/>
            <w:tcBorders>
              <w:top w:val="single" w:sz="4" w:space="0" w:color="auto"/>
            </w:tcBorders>
          </w:tcPr>
          <w:p w14:paraId="3FC6D76C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Referral Characteristics</w:t>
            </w:r>
          </w:p>
        </w:tc>
        <w:tc>
          <w:tcPr>
            <w:tcW w:w="1951" w:type="pct"/>
            <w:tcBorders>
              <w:top w:val="single" w:sz="4" w:space="0" w:color="auto"/>
            </w:tcBorders>
          </w:tcPr>
          <w:p w14:paraId="4A431B88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Referring provider</w:t>
            </w:r>
          </w:p>
        </w:tc>
        <w:tc>
          <w:tcPr>
            <w:tcW w:w="2154" w:type="pct"/>
            <w:tcBorders>
              <w:top w:val="single" w:sz="4" w:space="0" w:color="auto"/>
            </w:tcBorders>
          </w:tcPr>
          <w:p w14:paraId="0B840D52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OB/GYN, MFM specialist, family medicine physician, midlevel provider, or other</w:t>
            </w:r>
          </w:p>
        </w:tc>
      </w:tr>
      <w:tr w:rsidR="001E3315" w:rsidRPr="00187789" w14:paraId="0C526C7F" w14:textId="77777777" w:rsidTr="006E5854">
        <w:tc>
          <w:tcPr>
            <w:tcW w:w="894" w:type="pct"/>
          </w:tcPr>
          <w:p w14:paraId="655910DB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1" w:type="pct"/>
          </w:tcPr>
          <w:p w14:paraId="24E87F25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Time since referral</w:t>
            </w:r>
          </w:p>
        </w:tc>
        <w:tc>
          <w:tcPr>
            <w:tcW w:w="2154" w:type="pct"/>
          </w:tcPr>
          <w:p w14:paraId="06628344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≤7 days, 8–14 days, 15–21 days, 22–28 days, 29–35 days, &gt;35 days</w:t>
            </w:r>
          </w:p>
        </w:tc>
      </w:tr>
      <w:tr w:rsidR="001E3315" w:rsidRPr="00187789" w14:paraId="18D57CEF" w14:textId="77777777" w:rsidTr="006E5854">
        <w:tc>
          <w:tcPr>
            <w:tcW w:w="894" w:type="pct"/>
          </w:tcPr>
          <w:p w14:paraId="5118FEBB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1" w:type="pct"/>
          </w:tcPr>
          <w:p w14:paraId="46F1276C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Reason for referral</w:t>
            </w:r>
          </w:p>
        </w:tc>
        <w:tc>
          <w:tcPr>
            <w:tcW w:w="2154" w:type="pct"/>
          </w:tcPr>
          <w:p w14:paraId="2C822BC2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Suspected ultrasound anomaly, family history of CHD, maternal condition, prior child with CHD, or other</w:t>
            </w:r>
          </w:p>
        </w:tc>
      </w:tr>
      <w:tr w:rsidR="001E3315" w:rsidRPr="00187789" w14:paraId="03B71BFC" w14:textId="77777777" w:rsidTr="006E5854">
        <w:tc>
          <w:tcPr>
            <w:tcW w:w="894" w:type="pct"/>
            <w:tcBorders>
              <w:bottom w:val="single" w:sz="4" w:space="0" w:color="auto"/>
            </w:tcBorders>
          </w:tcPr>
          <w:p w14:paraId="51268CED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1" w:type="pct"/>
            <w:tcBorders>
              <w:bottom w:val="single" w:sz="4" w:space="0" w:color="auto"/>
            </w:tcBorders>
          </w:tcPr>
          <w:p w14:paraId="4EF95177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Visit type</w:t>
            </w:r>
          </w:p>
        </w:tc>
        <w:tc>
          <w:tcPr>
            <w:tcW w:w="2154" w:type="pct"/>
            <w:tcBorders>
              <w:bottom w:val="single" w:sz="4" w:space="0" w:color="auto"/>
            </w:tcBorders>
          </w:tcPr>
          <w:p w14:paraId="4DB71540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Initial or follow-up FCE</w:t>
            </w:r>
          </w:p>
        </w:tc>
      </w:tr>
      <w:tr w:rsidR="001E3315" w:rsidRPr="00187789" w14:paraId="3260612F" w14:textId="77777777" w:rsidTr="006E5854">
        <w:tc>
          <w:tcPr>
            <w:tcW w:w="894" w:type="pct"/>
            <w:tcBorders>
              <w:top w:val="single" w:sz="4" w:space="0" w:color="auto"/>
            </w:tcBorders>
          </w:tcPr>
          <w:p w14:paraId="22B93CF5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Prior Knowledge &amp; Experience</w:t>
            </w:r>
          </w:p>
        </w:tc>
        <w:tc>
          <w:tcPr>
            <w:tcW w:w="1951" w:type="pct"/>
            <w:tcBorders>
              <w:top w:val="single" w:sz="4" w:space="0" w:color="auto"/>
            </w:tcBorders>
          </w:tcPr>
          <w:p w14:paraId="37645580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Knowledge of cardiac anatomy</w:t>
            </w:r>
          </w:p>
        </w:tc>
        <w:tc>
          <w:tcPr>
            <w:tcW w:w="2154" w:type="pct"/>
            <w:tcBorders>
              <w:top w:val="single" w:sz="4" w:space="0" w:color="auto"/>
            </w:tcBorders>
          </w:tcPr>
          <w:p w14:paraId="1F30E8D1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Self-rated on a 6-point Likert scale (None to Very Strong)</w:t>
            </w:r>
          </w:p>
        </w:tc>
      </w:tr>
      <w:tr w:rsidR="001E3315" w:rsidRPr="00187789" w14:paraId="5E560A33" w14:textId="77777777" w:rsidTr="006E5854">
        <w:tc>
          <w:tcPr>
            <w:tcW w:w="894" w:type="pct"/>
          </w:tcPr>
          <w:p w14:paraId="367D17F3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1" w:type="pct"/>
          </w:tcPr>
          <w:p w14:paraId="780C90E0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Knowledge of cardiac defects</w:t>
            </w:r>
          </w:p>
        </w:tc>
        <w:tc>
          <w:tcPr>
            <w:tcW w:w="2154" w:type="pct"/>
          </w:tcPr>
          <w:p w14:paraId="151EEC25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Self-rated on a 6-point Likert scale (None to Very Strong)</w:t>
            </w:r>
          </w:p>
        </w:tc>
      </w:tr>
      <w:tr w:rsidR="001E3315" w:rsidRPr="00187789" w14:paraId="5F8654D4" w14:textId="77777777" w:rsidTr="006E5854">
        <w:tc>
          <w:tcPr>
            <w:tcW w:w="894" w:type="pct"/>
            <w:tcBorders>
              <w:bottom w:val="single" w:sz="4" w:space="0" w:color="auto"/>
            </w:tcBorders>
          </w:tcPr>
          <w:p w14:paraId="25D240AA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1" w:type="pct"/>
            <w:tcBorders>
              <w:bottom w:val="single" w:sz="4" w:space="0" w:color="auto"/>
            </w:tcBorders>
          </w:tcPr>
          <w:p w14:paraId="0E077016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Prior personal/family FCE experience</w:t>
            </w:r>
          </w:p>
        </w:tc>
        <w:tc>
          <w:tcPr>
            <w:tcW w:w="2154" w:type="pct"/>
            <w:tcBorders>
              <w:bottom w:val="single" w:sz="4" w:space="0" w:color="auto"/>
            </w:tcBorders>
          </w:tcPr>
          <w:p w14:paraId="4E63A38E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Yes / No</w:t>
            </w:r>
          </w:p>
        </w:tc>
      </w:tr>
      <w:tr w:rsidR="001E3315" w:rsidRPr="00187789" w14:paraId="688DF8F9" w14:textId="77777777" w:rsidTr="006E5854">
        <w:tc>
          <w:tcPr>
            <w:tcW w:w="894" w:type="pct"/>
            <w:tcBorders>
              <w:top w:val="single" w:sz="4" w:space="0" w:color="auto"/>
            </w:tcBorders>
          </w:tcPr>
          <w:p w14:paraId="3F71257A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Anxiety</w:t>
            </w:r>
          </w:p>
        </w:tc>
        <w:tc>
          <w:tcPr>
            <w:tcW w:w="1951" w:type="pct"/>
            <w:tcBorders>
              <w:top w:val="single" w:sz="4" w:space="0" w:color="auto"/>
            </w:tcBorders>
          </w:tcPr>
          <w:p w14:paraId="72B798B4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Symptom 1: General anxious feeling</w:t>
            </w:r>
          </w:p>
        </w:tc>
        <w:tc>
          <w:tcPr>
            <w:tcW w:w="2154" w:type="pct"/>
            <w:tcBorders>
              <w:top w:val="single" w:sz="4" w:space="0" w:color="auto"/>
            </w:tcBorders>
          </w:tcPr>
          <w:p w14:paraId="086A1400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Likert scale (1 = Not at all to 6 = Extremely)</w:t>
            </w:r>
          </w:p>
        </w:tc>
      </w:tr>
      <w:tr w:rsidR="001E3315" w:rsidRPr="00187789" w14:paraId="3B9E42AE" w14:textId="77777777" w:rsidTr="006E5854">
        <w:tc>
          <w:tcPr>
            <w:tcW w:w="894" w:type="pct"/>
          </w:tcPr>
          <w:p w14:paraId="29955268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1" w:type="pct"/>
          </w:tcPr>
          <w:p w14:paraId="60873379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Symptom 2: Difficulty performing tasks</w:t>
            </w:r>
          </w:p>
        </w:tc>
        <w:tc>
          <w:tcPr>
            <w:tcW w:w="2154" w:type="pct"/>
          </w:tcPr>
          <w:p w14:paraId="3DCEA50A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As above</w:t>
            </w:r>
          </w:p>
        </w:tc>
      </w:tr>
      <w:tr w:rsidR="001E3315" w:rsidRPr="00187789" w14:paraId="2ECE4C1C" w14:textId="77777777" w:rsidTr="006E5854">
        <w:tc>
          <w:tcPr>
            <w:tcW w:w="894" w:type="pct"/>
          </w:tcPr>
          <w:p w14:paraId="4170E314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1" w:type="pct"/>
          </w:tcPr>
          <w:p w14:paraId="22C45640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Symptom 3: Avoidance of thinking about the visit</w:t>
            </w:r>
          </w:p>
        </w:tc>
        <w:tc>
          <w:tcPr>
            <w:tcW w:w="2154" w:type="pct"/>
          </w:tcPr>
          <w:p w14:paraId="612DA2E0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As above</w:t>
            </w:r>
          </w:p>
        </w:tc>
      </w:tr>
      <w:tr w:rsidR="001E3315" w:rsidRPr="00187789" w14:paraId="20C1578D" w14:textId="77777777" w:rsidTr="006E5854">
        <w:tc>
          <w:tcPr>
            <w:tcW w:w="894" w:type="pct"/>
          </w:tcPr>
          <w:p w14:paraId="3B4A94C1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1" w:type="pct"/>
          </w:tcPr>
          <w:p w14:paraId="37398E00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Symptom 4: Hypervigilance/feeling "on edge"</w:t>
            </w:r>
          </w:p>
        </w:tc>
        <w:tc>
          <w:tcPr>
            <w:tcW w:w="2154" w:type="pct"/>
          </w:tcPr>
          <w:p w14:paraId="36096054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As above</w:t>
            </w:r>
          </w:p>
        </w:tc>
      </w:tr>
      <w:tr w:rsidR="001E3315" w:rsidRPr="00187789" w14:paraId="62AC496A" w14:textId="77777777" w:rsidTr="006E5854">
        <w:tc>
          <w:tcPr>
            <w:tcW w:w="894" w:type="pct"/>
          </w:tcPr>
          <w:p w14:paraId="34487851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1" w:type="pct"/>
          </w:tcPr>
          <w:p w14:paraId="5B3C88D3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Symptom 5: Difficulty concentrating</w:t>
            </w:r>
          </w:p>
        </w:tc>
        <w:tc>
          <w:tcPr>
            <w:tcW w:w="2154" w:type="pct"/>
          </w:tcPr>
          <w:p w14:paraId="3C59F8D8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As above</w:t>
            </w:r>
          </w:p>
        </w:tc>
      </w:tr>
      <w:tr w:rsidR="001E3315" w:rsidRPr="00187789" w14:paraId="3AE4423F" w14:textId="77777777" w:rsidTr="006E5854">
        <w:tc>
          <w:tcPr>
            <w:tcW w:w="894" w:type="pct"/>
          </w:tcPr>
          <w:p w14:paraId="06894446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1" w:type="pct"/>
          </w:tcPr>
          <w:p w14:paraId="5B0CDFF5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Symptom 6: Emotional detachment</w:t>
            </w:r>
          </w:p>
        </w:tc>
        <w:tc>
          <w:tcPr>
            <w:tcW w:w="2154" w:type="pct"/>
          </w:tcPr>
          <w:p w14:paraId="17F8B27E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As above</w:t>
            </w:r>
          </w:p>
        </w:tc>
      </w:tr>
      <w:tr w:rsidR="001E3315" w:rsidRPr="00187789" w14:paraId="1B4058B6" w14:textId="77777777" w:rsidTr="006E5854">
        <w:tc>
          <w:tcPr>
            <w:tcW w:w="894" w:type="pct"/>
            <w:tcBorders>
              <w:bottom w:val="single" w:sz="4" w:space="0" w:color="auto"/>
            </w:tcBorders>
          </w:tcPr>
          <w:p w14:paraId="61CE46BF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1" w:type="pct"/>
            <w:tcBorders>
              <w:bottom w:val="single" w:sz="4" w:space="0" w:color="auto"/>
            </w:tcBorders>
          </w:tcPr>
          <w:p w14:paraId="417D01C0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Symptom 7: Irritability or anger outbursts</w:t>
            </w:r>
          </w:p>
        </w:tc>
        <w:tc>
          <w:tcPr>
            <w:tcW w:w="2154" w:type="pct"/>
            <w:tcBorders>
              <w:bottom w:val="single" w:sz="4" w:space="0" w:color="auto"/>
            </w:tcBorders>
          </w:tcPr>
          <w:p w14:paraId="73B8FFF5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As above</w:t>
            </w:r>
          </w:p>
        </w:tc>
      </w:tr>
    </w:tbl>
    <w:p w14:paraId="0E97F797" w14:textId="77777777" w:rsidR="001E3315" w:rsidRPr="00187789" w:rsidRDefault="001E3315" w:rsidP="001E331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187789">
        <w:rPr>
          <w:rFonts w:ascii="Times New Roman" w:hAnsi="Times New Roman" w:cs="Times New Roman"/>
          <w:color w:val="auto"/>
          <w:sz w:val="24"/>
          <w:szCs w:val="24"/>
        </w:rPr>
        <w:lastRenderedPageBreak/>
        <w:t>Supplemental Table 3. Post-FCE Survey Structure and Variable Definitions</w:t>
      </w:r>
    </w:p>
    <w:p w14:paraId="77021B8B" w14:textId="77777777" w:rsidR="001E3315" w:rsidRPr="00187789" w:rsidRDefault="001E3315" w:rsidP="001E3315">
      <w:pPr>
        <w:rPr>
          <w:rFonts w:ascii="Times New Roman" w:hAnsi="Times New Roman" w:cs="Times New Roman"/>
          <w:sz w:val="22"/>
          <w:szCs w:val="22"/>
        </w:rPr>
      </w:pPr>
      <w:r w:rsidRPr="00187789">
        <w:rPr>
          <w:rFonts w:ascii="Times New Roman" w:hAnsi="Times New Roman" w:cs="Times New Roman"/>
          <w:sz w:val="22"/>
          <w:szCs w:val="22"/>
        </w:rPr>
        <w:t>This table outlines the variables collected immediately following the FCE consultation. The anxiety scale was repeated to allow for pre-post comparisons. Additional items assessed participants’ perceptions of the evaluation experience.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3510"/>
        <w:gridCol w:w="3510"/>
      </w:tblGrid>
      <w:tr w:rsidR="001E3315" w:rsidRPr="00187789" w14:paraId="50FD9121" w14:textId="77777777" w:rsidTr="006E5854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26E78C79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C04C3DE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Variable / Item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7DDAE12E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Description</w:t>
            </w:r>
          </w:p>
        </w:tc>
      </w:tr>
      <w:tr w:rsidR="001E3315" w:rsidRPr="00187789" w14:paraId="245A8249" w14:textId="77777777" w:rsidTr="006E5854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AB57CBA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Anxiety Assessment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0F7EA7F7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Symptom 1–7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08FE71A5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Identical items to pre-FCE survey, using the same Likert scale</w:t>
            </w:r>
          </w:p>
        </w:tc>
      </w:tr>
      <w:tr w:rsidR="001E3315" w:rsidRPr="00187789" w14:paraId="784BA2CB" w14:textId="77777777" w:rsidTr="006E5854">
        <w:tc>
          <w:tcPr>
            <w:tcW w:w="1620" w:type="dxa"/>
            <w:tcBorders>
              <w:top w:val="single" w:sz="4" w:space="0" w:color="auto"/>
            </w:tcBorders>
          </w:tcPr>
          <w:p w14:paraId="3F44FEF7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Evaluation Experience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54F61867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Cardiac abnormality detected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00131CFC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 xml:space="preserve">Participant-reported: Detected, </w:t>
            </w:r>
            <w:proofErr w:type="gramStart"/>
            <w:r w:rsidRPr="00187789">
              <w:rPr>
                <w:rFonts w:ascii="Times New Roman" w:hAnsi="Times New Roman" w:cs="Times New Roman"/>
              </w:rPr>
              <w:t>Not</w:t>
            </w:r>
            <w:proofErr w:type="gramEnd"/>
            <w:r w:rsidRPr="00187789">
              <w:rPr>
                <w:rFonts w:ascii="Times New Roman" w:hAnsi="Times New Roman" w:cs="Times New Roman"/>
              </w:rPr>
              <w:t xml:space="preserve"> detected, or Uncertain</w:t>
            </w:r>
          </w:p>
        </w:tc>
      </w:tr>
      <w:tr w:rsidR="001E3315" w:rsidRPr="00187789" w14:paraId="78DEFC7A" w14:textId="77777777" w:rsidTr="006E5854">
        <w:tc>
          <w:tcPr>
            <w:tcW w:w="1620" w:type="dxa"/>
          </w:tcPr>
          <w:p w14:paraId="08B14F3F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1539CAA1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Type of abnormality (if applicable)</w:t>
            </w:r>
          </w:p>
        </w:tc>
        <w:tc>
          <w:tcPr>
            <w:tcW w:w="3510" w:type="dxa"/>
          </w:tcPr>
          <w:p w14:paraId="651F3271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Open-ended response if a diagnosis was given</w:t>
            </w:r>
          </w:p>
        </w:tc>
      </w:tr>
      <w:tr w:rsidR="001E3315" w:rsidRPr="00187789" w14:paraId="5D8AD9DA" w14:textId="77777777" w:rsidTr="006E5854">
        <w:tc>
          <w:tcPr>
            <w:tcW w:w="1620" w:type="dxa"/>
          </w:tcPr>
          <w:p w14:paraId="1D88D5F3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2584880C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Provider conducting FCE</w:t>
            </w:r>
          </w:p>
        </w:tc>
        <w:tc>
          <w:tcPr>
            <w:tcW w:w="3510" w:type="dxa"/>
          </w:tcPr>
          <w:p w14:paraId="6863F3BF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Attending physician, Fellow, Resident</w:t>
            </w:r>
          </w:p>
        </w:tc>
      </w:tr>
      <w:tr w:rsidR="001E3315" w:rsidRPr="00187789" w14:paraId="41124C3F" w14:textId="77777777" w:rsidTr="006E5854">
        <w:tc>
          <w:tcPr>
            <w:tcW w:w="1620" w:type="dxa"/>
          </w:tcPr>
          <w:p w14:paraId="32D45684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1707C306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Duration of consultation</w:t>
            </w:r>
          </w:p>
        </w:tc>
        <w:tc>
          <w:tcPr>
            <w:tcW w:w="3510" w:type="dxa"/>
          </w:tcPr>
          <w:p w14:paraId="1FD17215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Participant-reported in minutes</w:t>
            </w:r>
          </w:p>
        </w:tc>
      </w:tr>
      <w:tr w:rsidR="001E3315" w:rsidRPr="00187789" w14:paraId="3AC677A1" w14:textId="77777777" w:rsidTr="006E5854">
        <w:tc>
          <w:tcPr>
            <w:tcW w:w="1620" w:type="dxa"/>
          </w:tcPr>
          <w:p w14:paraId="7603E4B3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0E69A2BD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Perception of information provided</w:t>
            </w:r>
          </w:p>
        </w:tc>
        <w:tc>
          <w:tcPr>
            <w:tcW w:w="3510" w:type="dxa"/>
          </w:tcPr>
          <w:p w14:paraId="0594DBF2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Subjective perception of the clarity, completeness, and emotional tone of information received</w:t>
            </w:r>
          </w:p>
        </w:tc>
      </w:tr>
    </w:tbl>
    <w:p w14:paraId="6AE8357A" w14:textId="77777777" w:rsidR="001E3315" w:rsidRPr="00187789" w:rsidRDefault="001E3315" w:rsidP="001E3315">
      <w:pPr>
        <w:rPr>
          <w:rFonts w:ascii="Times New Roman" w:hAnsi="Times New Roman" w:cs="Times New Roman"/>
        </w:rPr>
      </w:pPr>
      <w:r w:rsidRPr="00187789">
        <w:rPr>
          <w:rFonts w:ascii="Times New Roman" w:hAnsi="Times New Roman" w:cs="Times New Roman"/>
        </w:rPr>
        <w:br w:type="page"/>
      </w:r>
    </w:p>
    <w:p w14:paraId="695868ED" w14:textId="77777777" w:rsidR="001E3315" w:rsidRPr="00187789" w:rsidRDefault="001E3315" w:rsidP="001E331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187789">
        <w:rPr>
          <w:rFonts w:ascii="Times New Roman" w:hAnsi="Times New Roman" w:cs="Times New Roman"/>
          <w:color w:val="auto"/>
          <w:sz w:val="24"/>
          <w:szCs w:val="24"/>
        </w:rPr>
        <w:lastRenderedPageBreak/>
        <w:t>Supplemental Table 4. Follow-Up Survey Structure and Variable Definitions</w:t>
      </w:r>
    </w:p>
    <w:p w14:paraId="7FBE439B" w14:textId="77777777" w:rsidR="001E3315" w:rsidRPr="00187789" w:rsidRDefault="001E3315" w:rsidP="001E3315">
      <w:pPr>
        <w:rPr>
          <w:rFonts w:ascii="Times New Roman" w:hAnsi="Times New Roman" w:cs="Times New Roman"/>
          <w:sz w:val="22"/>
          <w:szCs w:val="22"/>
        </w:rPr>
      </w:pPr>
      <w:r w:rsidRPr="00187789">
        <w:rPr>
          <w:rFonts w:ascii="Times New Roman" w:hAnsi="Times New Roman" w:cs="Times New Roman"/>
          <w:sz w:val="22"/>
          <w:szCs w:val="22"/>
        </w:rPr>
        <w:t>This table outlines the content of the optional follow-up survey distributed electronically 2–3 weeks after the FCE. The survey aimed to assess persistent anxiety, emotional processing, and recall of the evaluation experience. Due to a 23.4% response rate (n=30), these data were retained for exploratory purposes only.</w:t>
      </w:r>
    </w:p>
    <w:tbl>
      <w:tblPr>
        <w:tblW w:w="0" w:type="auto"/>
        <w:tblInd w:w="-9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510"/>
        <w:gridCol w:w="4050"/>
      </w:tblGrid>
      <w:tr w:rsidR="001E3315" w:rsidRPr="00187789" w14:paraId="3F2ED18A" w14:textId="77777777" w:rsidTr="006E5854"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413486A6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71E532B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Variable / Item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01694954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Description</w:t>
            </w:r>
          </w:p>
        </w:tc>
      </w:tr>
      <w:tr w:rsidR="001E3315" w:rsidRPr="00187789" w14:paraId="030578E1" w14:textId="77777777" w:rsidTr="006E5854"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229738E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Anxiety Assessment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0B42B40E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Symptom 1–7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190229AC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Identical to pre- and post-FCE surveys, using a 6-point Likert scale (1 = Not at all to 6 = Extremely)</w:t>
            </w:r>
          </w:p>
        </w:tc>
      </w:tr>
      <w:tr w:rsidR="001E3315" w:rsidRPr="00187789" w14:paraId="131670A3" w14:textId="77777777" w:rsidTr="006E5854">
        <w:tc>
          <w:tcPr>
            <w:tcW w:w="1800" w:type="dxa"/>
            <w:tcBorders>
              <w:top w:val="single" w:sz="4" w:space="0" w:color="auto"/>
            </w:tcBorders>
          </w:tcPr>
          <w:p w14:paraId="03FB0C52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Emotional Recall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511466F1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Memory of consultation content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16BE06C5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Participant's subjective recall of what was communicated during the visit</w:t>
            </w:r>
          </w:p>
        </w:tc>
      </w:tr>
      <w:tr w:rsidR="001E3315" w:rsidRPr="00187789" w14:paraId="785F8AE8" w14:textId="77777777" w:rsidTr="006E5854">
        <w:tc>
          <w:tcPr>
            <w:tcW w:w="1800" w:type="dxa"/>
          </w:tcPr>
          <w:p w14:paraId="5EEBD21D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17E88585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Emotional clarity post-evaluation</w:t>
            </w:r>
          </w:p>
        </w:tc>
        <w:tc>
          <w:tcPr>
            <w:tcW w:w="4050" w:type="dxa"/>
          </w:tcPr>
          <w:p w14:paraId="4E56F0C5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Perception of how emotionally clear or resolved they felt after the visit</w:t>
            </w:r>
          </w:p>
        </w:tc>
      </w:tr>
      <w:tr w:rsidR="001E3315" w:rsidRPr="00187789" w14:paraId="08E59440" w14:textId="77777777" w:rsidTr="006E5854">
        <w:tc>
          <w:tcPr>
            <w:tcW w:w="1800" w:type="dxa"/>
          </w:tcPr>
          <w:p w14:paraId="0460E237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13D31C3E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Persistence of distress</w:t>
            </w:r>
          </w:p>
        </w:tc>
        <w:tc>
          <w:tcPr>
            <w:tcW w:w="4050" w:type="dxa"/>
          </w:tcPr>
          <w:p w14:paraId="24EF3C35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Whether stress/anxiety symptoms continued, worsened, or resolved since the visit</w:t>
            </w:r>
          </w:p>
        </w:tc>
      </w:tr>
      <w:tr w:rsidR="001E3315" w:rsidRPr="00187789" w14:paraId="76AF5944" w14:textId="77777777" w:rsidTr="006E5854">
        <w:tc>
          <w:tcPr>
            <w:tcW w:w="1800" w:type="dxa"/>
          </w:tcPr>
          <w:p w14:paraId="6A750A4D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27192EE0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Information seeking</w:t>
            </w:r>
          </w:p>
        </w:tc>
        <w:tc>
          <w:tcPr>
            <w:tcW w:w="4050" w:type="dxa"/>
          </w:tcPr>
          <w:p w14:paraId="0C28075E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Whether participants sought additional information (online, provider, peer) after the FCE</w:t>
            </w:r>
          </w:p>
        </w:tc>
      </w:tr>
      <w:tr w:rsidR="001E3315" w:rsidRPr="00187789" w14:paraId="0F78EE5B" w14:textId="77777777" w:rsidTr="006E5854">
        <w:tc>
          <w:tcPr>
            <w:tcW w:w="1800" w:type="dxa"/>
          </w:tcPr>
          <w:p w14:paraId="400087C7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6F65C3B8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Perceived need for additional support</w:t>
            </w:r>
          </w:p>
        </w:tc>
        <w:tc>
          <w:tcPr>
            <w:tcW w:w="4050" w:type="dxa"/>
          </w:tcPr>
          <w:p w14:paraId="2E124F4C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Participant-perceived need for further psychological, medical, or informational support</w:t>
            </w:r>
          </w:p>
        </w:tc>
      </w:tr>
      <w:tr w:rsidR="001E3315" w:rsidRPr="00187789" w14:paraId="41175341" w14:textId="77777777" w:rsidTr="006E5854">
        <w:tc>
          <w:tcPr>
            <w:tcW w:w="1800" w:type="dxa"/>
          </w:tcPr>
          <w:p w14:paraId="2D5CC112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5A67A93A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Satisfaction with care</w:t>
            </w:r>
          </w:p>
        </w:tc>
        <w:tc>
          <w:tcPr>
            <w:tcW w:w="4050" w:type="dxa"/>
          </w:tcPr>
          <w:p w14:paraId="55D4002B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Overall satisfaction with the fetal cardiology consultation</w:t>
            </w:r>
          </w:p>
        </w:tc>
      </w:tr>
      <w:tr w:rsidR="001E3315" w:rsidRPr="00187789" w14:paraId="0ECCE26A" w14:textId="77777777" w:rsidTr="006E5854">
        <w:tc>
          <w:tcPr>
            <w:tcW w:w="1800" w:type="dxa"/>
          </w:tcPr>
          <w:p w14:paraId="36E1B217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0B79EF28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Open-ended feedback</w:t>
            </w:r>
          </w:p>
        </w:tc>
        <w:tc>
          <w:tcPr>
            <w:tcW w:w="4050" w:type="dxa"/>
          </w:tcPr>
          <w:p w14:paraId="5FD879FE" w14:textId="77777777" w:rsidR="001E3315" w:rsidRPr="00187789" w:rsidRDefault="001E3315" w:rsidP="006E5854">
            <w:pPr>
              <w:spacing w:after="0"/>
              <w:rPr>
                <w:rFonts w:ascii="Times New Roman" w:hAnsi="Times New Roman" w:cs="Times New Roman"/>
              </w:rPr>
            </w:pPr>
            <w:r w:rsidRPr="00187789">
              <w:rPr>
                <w:rFonts w:ascii="Times New Roman" w:hAnsi="Times New Roman" w:cs="Times New Roman"/>
              </w:rPr>
              <w:t>Optional space for participants to share any additional thoughts or feedback</w:t>
            </w:r>
          </w:p>
        </w:tc>
      </w:tr>
    </w:tbl>
    <w:p w14:paraId="6516A784" w14:textId="77777777" w:rsidR="001E3315" w:rsidRPr="00187789" w:rsidRDefault="001E3315" w:rsidP="001E3315">
      <w:pPr>
        <w:rPr>
          <w:rFonts w:ascii="Times New Roman" w:hAnsi="Times New Roman" w:cs="Times New Roman"/>
        </w:rPr>
      </w:pPr>
    </w:p>
    <w:p w14:paraId="312556D5" w14:textId="77777777" w:rsidR="001E3315" w:rsidRPr="00187789" w:rsidRDefault="001E3315" w:rsidP="001E3315">
      <w:pPr>
        <w:rPr>
          <w:rFonts w:ascii="Times New Roman" w:hAnsi="Times New Roman" w:cs="Times New Roman"/>
        </w:rPr>
      </w:pPr>
    </w:p>
    <w:p w14:paraId="00810818" w14:textId="77777777" w:rsidR="001E3315" w:rsidRPr="00187789" w:rsidRDefault="001E3315" w:rsidP="001E3315">
      <w:pPr>
        <w:rPr>
          <w:rFonts w:ascii="Times New Roman" w:hAnsi="Times New Roman" w:cs="Times New Roman"/>
        </w:rPr>
      </w:pPr>
    </w:p>
    <w:p w14:paraId="7120249B" w14:textId="77777777" w:rsidR="001E3315" w:rsidRPr="00187789" w:rsidRDefault="001E3315" w:rsidP="001E3315">
      <w:pPr>
        <w:rPr>
          <w:rFonts w:ascii="Times New Roman" w:hAnsi="Times New Roman" w:cs="Times New Roman"/>
        </w:rPr>
      </w:pPr>
    </w:p>
    <w:p w14:paraId="199F207E" w14:textId="77777777" w:rsidR="00791211" w:rsidRDefault="00791211"/>
    <w:sectPr w:rsidR="00791211" w:rsidSect="001E3315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37988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294EBC" w14:textId="77777777" w:rsidR="001E3315" w:rsidRDefault="001E33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BE746A" w14:textId="77777777" w:rsidR="001E3315" w:rsidRDefault="001E331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15"/>
    <w:rsid w:val="001427C9"/>
    <w:rsid w:val="001E3315"/>
    <w:rsid w:val="00212A42"/>
    <w:rsid w:val="00791211"/>
    <w:rsid w:val="008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09E34"/>
  <w15:chartTrackingRefBased/>
  <w15:docId w15:val="{D3752731-C183-482F-B486-D209DC11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315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E331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331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31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31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31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31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31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31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31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3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3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3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31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315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315"/>
    <w:pPr>
      <w:spacing w:after="0" w:line="240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31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E3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Bogarapu, Soujanya</dc:creator>
  <cp:keywords/>
  <dc:description/>
  <cp:lastModifiedBy>Bogarapu, Soujanya</cp:lastModifiedBy>
  <cp:revision>1</cp:revision>
  <dcterms:created xsi:type="dcterms:W3CDTF">2026-04-30T22:07:00Z</dcterms:created>
  <dcterms:modified xsi:type="dcterms:W3CDTF">2026-04-30T22:08:00Z</dcterms:modified>
</cp:coreProperties>
</file>