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365D6" w14:textId="077E5729" w:rsidR="0030051C" w:rsidRPr="0061340B" w:rsidRDefault="006A7647" w:rsidP="006A7647">
      <w:pPr>
        <w:spacing w:after="0" w:line="240" w:lineRule="auto"/>
        <w:jc w:val="center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1340B"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Supplementary Appendix</w:t>
      </w:r>
    </w:p>
    <w:p w14:paraId="4D880B29" w14:textId="77777777" w:rsidR="006A7647" w:rsidRPr="0061340B" w:rsidRDefault="006A7647" w:rsidP="006A7647">
      <w:pPr>
        <w:spacing w:after="0" w:line="240" w:lineRule="auto"/>
        <w:jc w:val="center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BC2223E" w14:textId="22E40F53" w:rsidR="006A7647" w:rsidRPr="0061340B" w:rsidRDefault="006A7647" w:rsidP="006A7647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61340B"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This appendix has been created by the authors to give readers additional information about their work.</w:t>
      </w:r>
    </w:p>
    <w:p w14:paraId="273346C7" w14:textId="77777777" w:rsidR="006A7647" w:rsidRPr="0061340B" w:rsidRDefault="006A7647" w:rsidP="006A7647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16FB55C" w14:textId="230350A5" w:rsidR="007C19B1" w:rsidRPr="0061340B" w:rsidRDefault="006A7647" w:rsidP="007C19B1">
      <w:pPr>
        <w:pStyle w:val="Body"/>
        <w:rPr>
          <w:rFonts w:ascii="Fira Sans" w:hAnsi="Fira Sans" w:cs="Arial"/>
          <w:sz w:val="22"/>
          <w:szCs w:val="22"/>
        </w:rPr>
      </w:pPr>
      <w:r w:rsidRPr="0061340B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Supplement to: </w:t>
      </w:r>
      <w:r w:rsidR="0061340B" w:rsidRPr="0061340B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B Roj, </w:t>
      </w:r>
      <w:r w:rsidR="000F5ED0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D Abe, H Ghori, E Stock, </w:t>
      </w:r>
      <w:r w:rsidR="00CF566E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M </w:t>
      </w:r>
      <w:proofErr w:type="spellStart"/>
      <w:r w:rsidR="00CF566E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>Kaneshmoorthy</w:t>
      </w:r>
      <w:proofErr w:type="spellEnd"/>
      <w:r w:rsidR="00CF566E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, J </w:t>
      </w:r>
      <w:proofErr w:type="spellStart"/>
      <w:r w:rsidR="00CF566E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>Jegard</w:t>
      </w:r>
      <w:proofErr w:type="spellEnd"/>
      <w:r w:rsidR="00FF0F60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 xml:space="preserve"> “</w:t>
      </w:r>
      <w:r w:rsidR="00FF0F60" w:rsidRPr="00FF0F60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>Embedding Comprehensive Geriatric Assessment and Shared Decision-Making in the Colorectal Cancer Pathway: Time-to-Discharge Analysis of Length of Stay in Older Adults</w:t>
      </w:r>
      <w:r w:rsidR="00FF0F60">
        <w:rPr>
          <w:rFonts w:ascii="Fira Sans" w:eastAsia="Times New Roman" w:hAnsi="Fira Sans" w:cs="Times New Roman"/>
          <w:color w:val="000000" w:themeColor="text1"/>
          <w:sz w:val="22"/>
          <w:szCs w:val="22"/>
          <w14:ligatures w14:val="none"/>
        </w:rPr>
        <w:t>.”</w:t>
      </w:r>
    </w:p>
    <w:p w14:paraId="481BD249" w14:textId="00C9177E" w:rsidR="006A7647" w:rsidRDefault="006A7647" w:rsidP="006A7647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5761614" w14:textId="77777777" w:rsidR="00F77B72" w:rsidRDefault="00F77B72" w:rsidP="006A7647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73713A3D" w14:textId="59D41877" w:rsidR="00F711A6" w:rsidRPr="00F77B72" w:rsidRDefault="00F77B72" w:rsidP="00F77B72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77B72"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Supplementary Appendix: Time-to-discharge modelling</w:t>
      </w:r>
    </w:p>
    <w:p w14:paraId="3767F977" w14:textId="77777777" w:rsidR="00F77B72" w:rsidRPr="00F77B72" w:rsidRDefault="00F77B72" w:rsidP="00F77B72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715D0FF" w14:textId="2ADA12C3" w:rsidR="00F77B72" w:rsidRPr="0061340B" w:rsidRDefault="00F77B72" w:rsidP="00F77B72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77B72"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  <w:t>Supplementary Tables S1–S3 present the adjusted Cox proportional hazards, lognormal accelerated failure time, and Weibull accelerated failure time models for time to hospital discharge after colorectal resection.</w:t>
      </w:r>
    </w:p>
    <w:p w14:paraId="55E0964E" w14:textId="77777777" w:rsidR="006A7647" w:rsidRPr="0061340B" w:rsidRDefault="006A7647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F2B6566" w14:textId="77777777" w:rsidR="006A7647" w:rsidRPr="0061340B" w:rsidRDefault="006A7647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C53A9AE" w14:textId="77777777" w:rsidR="006A7647" w:rsidRPr="0061340B" w:rsidRDefault="006A7647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54773531" w14:textId="77777777" w:rsidR="006A7647" w:rsidRPr="0061340B" w:rsidRDefault="006A7647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2BB41EC" w14:textId="77777777" w:rsidR="006A7647" w:rsidRPr="0061340B" w:rsidRDefault="006A7647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B439F3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8559110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7E72B8B8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D77C056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30C2B7B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DB785A8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49562141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65DFBF4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059ABB6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29C83764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B94896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13C2D9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4276C33C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0B65272F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66E3248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41B09FE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D7C67A1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47E40CA9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410258A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085F6F03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9FE91E7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2E7DC97B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BC98837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7B416F37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7E4CF583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2DD471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5EDD1907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19B1F42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1DC0715D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68840331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38CE9181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033A847C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53DB639C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063169C3" w14:textId="77777777" w:rsidR="001146C1" w:rsidRPr="0061340B" w:rsidRDefault="001146C1" w:rsidP="0030051C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kern w:val="0"/>
          <w:sz w:val="22"/>
          <w:szCs w:val="22"/>
          <w:lang w:eastAsia="en-GB"/>
          <w14:ligatures w14:val="none"/>
        </w:rPr>
      </w:pPr>
    </w:p>
    <w:p w14:paraId="4873AE6A" w14:textId="77777777" w:rsidR="00F711A6" w:rsidRPr="0061340B" w:rsidRDefault="00F711A6" w:rsidP="001146C1">
      <w:pPr>
        <w:spacing w:after="0" w:line="240" w:lineRule="auto"/>
        <w:rPr>
          <w:rFonts w:ascii="Fira Sans" w:hAnsi="Fira Sans"/>
          <w:b/>
          <w:bCs/>
          <w:i/>
          <w:iCs/>
          <w:color w:val="000000" w:themeColor="text1"/>
          <w:sz w:val="22"/>
          <w:szCs w:val="22"/>
        </w:rPr>
      </w:pPr>
    </w:p>
    <w:p w14:paraId="6D452015" w14:textId="77777777" w:rsidR="00F711A6" w:rsidRPr="00F711A6" w:rsidRDefault="00F711A6" w:rsidP="00F711A6">
      <w:pPr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</w:pPr>
      <w:r w:rsidRPr="00F711A6"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  <w:t xml:space="preserve">Supplementary Table S1. </w:t>
      </w:r>
      <w:r w:rsidRPr="00F711A6">
        <w:rPr>
          <w:rFonts w:ascii="Fira Sans" w:eastAsiaTheme="majorEastAsia" w:hAnsi="Fira Sans" w:cstheme="majorBidi"/>
          <w:color w:val="000000" w:themeColor="text1"/>
          <w:sz w:val="22"/>
          <w:szCs w:val="22"/>
        </w:rPr>
        <w:t>Cox proportional hazards model for time to hospital discharge after colorectal resection</w:t>
      </w:r>
    </w:p>
    <w:p w14:paraId="0FECC6CF" w14:textId="77777777" w:rsidR="00F711A6" w:rsidRPr="00F711A6" w:rsidRDefault="00F711A6" w:rsidP="00F711A6">
      <w:pPr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</w:pPr>
      <w:r w:rsidRPr="00F711A6"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  <w:t xml:space="preserve">Outcome: </w:t>
      </w:r>
      <w:r w:rsidRPr="00F711A6">
        <w:rPr>
          <w:rFonts w:ascii="Fira Sans" w:eastAsiaTheme="majorEastAsia" w:hAnsi="Fira Sans" w:cstheme="majorBidi"/>
          <w:color w:val="000000" w:themeColor="text1"/>
          <w:sz w:val="22"/>
          <w:szCs w:val="22"/>
        </w:rPr>
        <w:t>time to hospital discharge after colorectal resection.</w:t>
      </w:r>
      <w:r w:rsidRPr="00F711A6"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  <w:br/>
        <w:t xml:space="preserve">Interpretation: </w:t>
      </w:r>
      <w:r w:rsidRPr="00F711A6">
        <w:rPr>
          <w:rFonts w:ascii="Fira Sans" w:eastAsiaTheme="majorEastAsia" w:hAnsi="Fira Sans" w:cstheme="majorBidi"/>
          <w:color w:val="000000" w:themeColor="text1"/>
          <w:sz w:val="22"/>
          <w:szCs w:val="22"/>
        </w:rPr>
        <w:t>hazard ratios (HRs) below 1 indicate a lower hazard of discharge and therefore longer hospitalisation.</w:t>
      </w:r>
    </w:p>
    <w:tbl>
      <w:tblPr>
        <w:tblStyle w:val="TableGrid"/>
        <w:tblW w:w="8874" w:type="dxa"/>
        <w:tblLook w:val="04A0" w:firstRow="1" w:lastRow="0" w:firstColumn="1" w:lastColumn="0" w:noHBand="0" w:noVBand="1"/>
      </w:tblPr>
      <w:tblGrid>
        <w:gridCol w:w="1677"/>
        <w:gridCol w:w="1604"/>
        <w:gridCol w:w="1233"/>
        <w:gridCol w:w="1203"/>
        <w:gridCol w:w="1021"/>
        <w:gridCol w:w="1115"/>
        <w:gridCol w:w="1021"/>
      </w:tblGrid>
      <w:tr w:rsidR="00F711A6" w:rsidRPr="00F711A6" w14:paraId="003F81C8" w14:textId="77777777" w:rsidTr="00F711A6">
        <w:trPr>
          <w:trHeight w:val="1057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993AC60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14882B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5CA9365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57857464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95% CI for 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35CEF87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HR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601DF844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95% CI for HR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8CA342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F711A6" w:rsidRPr="00F711A6" w14:paraId="0713493B" w14:textId="77777777" w:rsidTr="00F711A6">
        <w:trPr>
          <w:trHeight w:val="81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F627F65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20BDFFD7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Age in years at clinic review</w:t>
            </w:r>
          </w:p>
        </w:tc>
        <w:tc>
          <w:tcPr>
            <w:tcW w:w="0" w:type="auto"/>
            <w:hideMark/>
          </w:tcPr>
          <w:p w14:paraId="340C9B2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-0.060899</w:t>
            </w:r>
          </w:p>
        </w:tc>
        <w:tc>
          <w:tcPr>
            <w:tcW w:w="0" w:type="auto"/>
            <w:hideMark/>
          </w:tcPr>
          <w:p w14:paraId="62A9A61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-0.099876 to -0.021922</w:t>
            </w:r>
          </w:p>
        </w:tc>
        <w:tc>
          <w:tcPr>
            <w:tcW w:w="0" w:type="auto"/>
            <w:hideMark/>
          </w:tcPr>
          <w:p w14:paraId="2154FE7F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0.940918</w:t>
            </w:r>
          </w:p>
        </w:tc>
        <w:tc>
          <w:tcPr>
            <w:tcW w:w="0" w:type="auto"/>
            <w:hideMark/>
          </w:tcPr>
          <w:p w14:paraId="54B40E93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0.904950–0.978316</w:t>
            </w:r>
          </w:p>
        </w:tc>
        <w:tc>
          <w:tcPr>
            <w:tcW w:w="0" w:type="auto"/>
            <w:hideMark/>
          </w:tcPr>
          <w:p w14:paraId="1A9FFF5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0.002196</w:t>
            </w:r>
          </w:p>
        </w:tc>
      </w:tr>
      <w:tr w:rsidR="00F711A6" w:rsidRPr="00F711A6" w14:paraId="25EB214C" w14:textId="77777777" w:rsidTr="00F711A6">
        <w:trPr>
          <w:trHeight w:val="128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9ED1EC0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Clinical Frailty Scale (CFS)</w:t>
            </w:r>
          </w:p>
        </w:tc>
        <w:tc>
          <w:tcPr>
            <w:tcW w:w="0" w:type="auto"/>
            <w:hideMark/>
          </w:tcPr>
          <w:p w14:paraId="68C155B5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Frailty score recorded from clinic documentation</w:t>
            </w:r>
          </w:p>
        </w:tc>
        <w:tc>
          <w:tcPr>
            <w:tcW w:w="0" w:type="auto"/>
            <w:hideMark/>
          </w:tcPr>
          <w:p w14:paraId="5C01F62A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-0.349857</w:t>
            </w:r>
          </w:p>
        </w:tc>
        <w:tc>
          <w:tcPr>
            <w:tcW w:w="0" w:type="auto"/>
            <w:hideMark/>
          </w:tcPr>
          <w:p w14:paraId="524D9B4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-0.570294 to -0.129420</w:t>
            </w:r>
          </w:p>
        </w:tc>
        <w:tc>
          <w:tcPr>
            <w:tcW w:w="0" w:type="auto"/>
            <w:hideMark/>
          </w:tcPr>
          <w:p w14:paraId="064B9DF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0.704789</w:t>
            </w:r>
          </w:p>
        </w:tc>
        <w:tc>
          <w:tcPr>
            <w:tcW w:w="0" w:type="auto"/>
            <w:hideMark/>
          </w:tcPr>
          <w:p w14:paraId="1DF88B30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0.565359–0.878605</w:t>
            </w:r>
          </w:p>
        </w:tc>
        <w:tc>
          <w:tcPr>
            <w:tcW w:w="0" w:type="auto"/>
            <w:hideMark/>
          </w:tcPr>
          <w:p w14:paraId="63008495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0.001867</w:t>
            </w:r>
          </w:p>
        </w:tc>
      </w:tr>
      <w:tr w:rsidR="00F711A6" w:rsidRPr="00F711A6" w14:paraId="1C0C7B77" w14:textId="77777777" w:rsidTr="00F711A6">
        <w:trPr>
          <w:trHeight w:val="1057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486919EE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Comorbidity burden</w:t>
            </w:r>
          </w:p>
        </w:tc>
        <w:tc>
          <w:tcPr>
            <w:tcW w:w="0" w:type="auto"/>
            <w:hideMark/>
          </w:tcPr>
          <w:p w14:paraId="03149795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Number of recorded comorbid conditions</w:t>
            </w:r>
          </w:p>
        </w:tc>
        <w:tc>
          <w:tcPr>
            <w:tcW w:w="0" w:type="auto"/>
            <w:hideMark/>
          </w:tcPr>
          <w:p w14:paraId="4807D39E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-0.108674</w:t>
            </w:r>
          </w:p>
        </w:tc>
        <w:tc>
          <w:tcPr>
            <w:tcW w:w="0" w:type="auto"/>
            <w:hideMark/>
          </w:tcPr>
          <w:p w14:paraId="6F4E3FD8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-0.214281 to -0.003068</w:t>
            </w:r>
          </w:p>
        </w:tc>
        <w:tc>
          <w:tcPr>
            <w:tcW w:w="0" w:type="auto"/>
            <w:hideMark/>
          </w:tcPr>
          <w:p w14:paraId="27F4447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0.897023</w:t>
            </w:r>
          </w:p>
        </w:tc>
        <w:tc>
          <w:tcPr>
            <w:tcW w:w="0" w:type="auto"/>
            <w:hideMark/>
          </w:tcPr>
          <w:p w14:paraId="60F2905F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0.807122–0.996937</w:t>
            </w:r>
          </w:p>
        </w:tc>
        <w:tc>
          <w:tcPr>
            <w:tcW w:w="0" w:type="auto"/>
            <w:hideMark/>
          </w:tcPr>
          <w:p w14:paraId="549966E0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0.043706</w:t>
            </w:r>
          </w:p>
        </w:tc>
      </w:tr>
      <w:tr w:rsidR="00F711A6" w:rsidRPr="00F711A6" w14:paraId="444B1F06" w14:textId="77777777" w:rsidTr="00F711A6">
        <w:trPr>
          <w:trHeight w:val="128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25E940C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Physiological risk</w:t>
            </w:r>
          </w:p>
        </w:tc>
        <w:tc>
          <w:tcPr>
            <w:tcW w:w="0" w:type="auto"/>
            <w:hideMark/>
          </w:tcPr>
          <w:p w14:paraId="0066BCC8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Pre-operative physiological risk score </w:t>
            </w:r>
            <w:proofErr w:type="gramStart"/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entered into</w:t>
            </w:r>
            <w:proofErr w:type="gramEnd"/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 the model</w:t>
            </w:r>
          </w:p>
        </w:tc>
        <w:tc>
          <w:tcPr>
            <w:tcW w:w="0" w:type="auto"/>
            <w:hideMark/>
          </w:tcPr>
          <w:p w14:paraId="0064F7C3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-0.017467</w:t>
            </w:r>
          </w:p>
        </w:tc>
        <w:tc>
          <w:tcPr>
            <w:tcW w:w="0" w:type="auto"/>
            <w:hideMark/>
          </w:tcPr>
          <w:p w14:paraId="3C81A2A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-0.065143 to 0.030210</w:t>
            </w:r>
          </w:p>
        </w:tc>
        <w:tc>
          <w:tcPr>
            <w:tcW w:w="0" w:type="auto"/>
            <w:hideMark/>
          </w:tcPr>
          <w:p w14:paraId="544A767D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0.982685</w:t>
            </w:r>
          </w:p>
        </w:tc>
        <w:tc>
          <w:tcPr>
            <w:tcW w:w="0" w:type="auto"/>
            <w:hideMark/>
          </w:tcPr>
          <w:p w14:paraId="47B081B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0.936933–1.030671</w:t>
            </w:r>
          </w:p>
        </w:tc>
        <w:tc>
          <w:tcPr>
            <w:tcW w:w="0" w:type="auto"/>
            <w:hideMark/>
          </w:tcPr>
          <w:p w14:paraId="596CF6F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0.472725</w:t>
            </w:r>
          </w:p>
        </w:tc>
      </w:tr>
      <w:tr w:rsidR="00F711A6" w:rsidRPr="00F711A6" w14:paraId="7D1E6A45" w14:textId="77777777" w:rsidTr="00F711A6">
        <w:trPr>
          <w:trHeight w:val="151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0F1F2FD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Procedure category: Hemicolectomy</w:t>
            </w:r>
          </w:p>
        </w:tc>
        <w:tc>
          <w:tcPr>
            <w:tcW w:w="0" w:type="auto"/>
            <w:hideMark/>
          </w:tcPr>
          <w:p w14:paraId="2D03842A" w14:textId="479C16C2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Hemicolectomy </w:t>
            </w:r>
          </w:p>
        </w:tc>
        <w:tc>
          <w:tcPr>
            <w:tcW w:w="0" w:type="auto"/>
            <w:hideMark/>
          </w:tcPr>
          <w:p w14:paraId="7AF2183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0.740522</w:t>
            </w:r>
          </w:p>
        </w:tc>
        <w:tc>
          <w:tcPr>
            <w:tcW w:w="0" w:type="auto"/>
            <w:hideMark/>
          </w:tcPr>
          <w:p w14:paraId="3497274F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-0.433999 to 1.915044</w:t>
            </w:r>
          </w:p>
        </w:tc>
        <w:tc>
          <w:tcPr>
            <w:tcW w:w="0" w:type="auto"/>
            <w:hideMark/>
          </w:tcPr>
          <w:p w14:paraId="25CBBFD1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2.097031</w:t>
            </w:r>
          </w:p>
        </w:tc>
        <w:tc>
          <w:tcPr>
            <w:tcW w:w="0" w:type="auto"/>
            <w:hideMark/>
          </w:tcPr>
          <w:p w14:paraId="148A7EA8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0.647913–6.787236</w:t>
            </w:r>
          </w:p>
        </w:tc>
        <w:tc>
          <w:tcPr>
            <w:tcW w:w="0" w:type="auto"/>
            <w:hideMark/>
          </w:tcPr>
          <w:p w14:paraId="2029C2AF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0.216557</w:t>
            </w:r>
          </w:p>
        </w:tc>
      </w:tr>
      <w:tr w:rsidR="00F711A6" w:rsidRPr="00F711A6" w14:paraId="3E50E510" w14:textId="77777777" w:rsidTr="00F711A6">
        <w:trPr>
          <w:trHeight w:val="151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12DFC9D6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t>Procedure category: Hernia</w:t>
            </w:r>
          </w:p>
        </w:tc>
        <w:tc>
          <w:tcPr>
            <w:tcW w:w="0" w:type="auto"/>
            <w:hideMark/>
          </w:tcPr>
          <w:p w14:paraId="2E4ED875" w14:textId="2DD10AE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Hernia </w:t>
            </w:r>
            <w:r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operation</w:t>
            </w:r>
          </w:p>
        </w:tc>
        <w:tc>
          <w:tcPr>
            <w:tcW w:w="0" w:type="auto"/>
            <w:hideMark/>
          </w:tcPr>
          <w:p w14:paraId="21D2BF7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-0.316785</w:t>
            </w:r>
          </w:p>
        </w:tc>
        <w:tc>
          <w:tcPr>
            <w:tcW w:w="0" w:type="auto"/>
            <w:hideMark/>
          </w:tcPr>
          <w:p w14:paraId="2D07421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-2.658631 to 2.025061</w:t>
            </w:r>
          </w:p>
        </w:tc>
        <w:tc>
          <w:tcPr>
            <w:tcW w:w="0" w:type="auto"/>
            <w:hideMark/>
          </w:tcPr>
          <w:p w14:paraId="0A7E7539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0.728487</w:t>
            </w:r>
          </w:p>
        </w:tc>
        <w:tc>
          <w:tcPr>
            <w:tcW w:w="0" w:type="auto"/>
            <w:hideMark/>
          </w:tcPr>
          <w:p w14:paraId="3063C687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0.070044–7.576570</w:t>
            </w:r>
          </w:p>
        </w:tc>
        <w:tc>
          <w:tcPr>
            <w:tcW w:w="0" w:type="auto"/>
            <w:hideMark/>
          </w:tcPr>
          <w:p w14:paraId="7EC3F312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0.790911</w:t>
            </w:r>
          </w:p>
        </w:tc>
      </w:tr>
      <w:tr w:rsidR="00F711A6" w:rsidRPr="00F711A6" w14:paraId="4DA611A3" w14:textId="77777777" w:rsidTr="00F711A6">
        <w:trPr>
          <w:trHeight w:val="1976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40706377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b/>
                <w:bCs/>
                <w:color w:val="000000" w:themeColor="text1"/>
                <w:sz w:val="20"/>
                <w:szCs w:val="20"/>
              </w:rPr>
              <w:lastRenderedPageBreak/>
              <w:t>Procedure category: Other</w:t>
            </w:r>
          </w:p>
        </w:tc>
        <w:tc>
          <w:tcPr>
            <w:tcW w:w="0" w:type="auto"/>
            <w:hideMark/>
          </w:tcPr>
          <w:p w14:paraId="32A49F1A" w14:textId="72E30532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 xml:space="preserve">Other procedure category </w:t>
            </w:r>
          </w:p>
        </w:tc>
        <w:tc>
          <w:tcPr>
            <w:tcW w:w="0" w:type="auto"/>
            <w:hideMark/>
          </w:tcPr>
          <w:p w14:paraId="70787E3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0.348783</w:t>
            </w:r>
          </w:p>
        </w:tc>
        <w:tc>
          <w:tcPr>
            <w:tcW w:w="0" w:type="auto"/>
            <w:hideMark/>
          </w:tcPr>
          <w:p w14:paraId="598FC32C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-0.844644 to 1.542210</w:t>
            </w:r>
          </w:p>
        </w:tc>
        <w:tc>
          <w:tcPr>
            <w:tcW w:w="0" w:type="auto"/>
            <w:hideMark/>
          </w:tcPr>
          <w:p w14:paraId="7B3F6717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1.417341</w:t>
            </w:r>
          </w:p>
        </w:tc>
        <w:tc>
          <w:tcPr>
            <w:tcW w:w="0" w:type="auto"/>
            <w:hideMark/>
          </w:tcPr>
          <w:p w14:paraId="4A62E414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0.429710–4.674909</w:t>
            </w:r>
          </w:p>
        </w:tc>
        <w:tc>
          <w:tcPr>
            <w:tcW w:w="0" w:type="auto"/>
            <w:hideMark/>
          </w:tcPr>
          <w:p w14:paraId="4ED49D5E" w14:textId="77777777" w:rsidR="00F711A6" w:rsidRPr="00F711A6" w:rsidRDefault="00F711A6" w:rsidP="00F711A6">
            <w:pPr>
              <w:spacing w:after="160" w:line="278" w:lineRule="auto"/>
              <w:rPr>
                <w:rFonts w:eastAsiaTheme="majorEastAsia" w:cstheme="majorBidi"/>
                <w:color w:val="000000" w:themeColor="text1"/>
                <w:sz w:val="20"/>
                <w:szCs w:val="20"/>
              </w:rPr>
            </w:pPr>
            <w:r w:rsidRPr="00F711A6">
              <w:rPr>
                <w:rFonts w:eastAsiaTheme="majorEastAsia" w:cstheme="majorBidi"/>
                <w:color w:val="000000" w:themeColor="text1"/>
                <w:sz w:val="20"/>
                <w:szCs w:val="20"/>
              </w:rPr>
              <w:t>0.566776</w:t>
            </w:r>
          </w:p>
        </w:tc>
      </w:tr>
    </w:tbl>
    <w:p w14:paraId="11FF9B7F" w14:textId="18DE94BA" w:rsidR="0061340B" w:rsidRDefault="00F711A6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  <w:r w:rsidRPr="00F711A6"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  <w:t xml:space="preserve">Abbreviations: </w:t>
      </w:r>
      <w:r w:rsidRPr="00F711A6">
        <w:rPr>
          <w:rFonts w:ascii="Fira Sans" w:eastAsiaTheme="majorEastAsia" w:hAnsi="Fira Sans" w:cstheme="majorBidi"/>
          <w:color w:val="000000" w:themeColor="text1"/>
          <w:sz w:val="22"/>
          <w:szCs w:val="22"/>
        </w:rPr>
        <w:t>HR, hazard ratio; CI, confidence interval</w:t>
      </w:r>
    </w:p>
    <w:p w14:paraId="793DB8AA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52D819F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7D36947D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40F8A40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131EAD0B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4DBBADB9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76748E8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7148B084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B04BDE0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59A103C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72355BDC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42352D8C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49D24101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0DAE70BF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03F5E43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38EA1F4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84C2F7F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163D284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62DD38DE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10EF81F6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33DAD486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47898EFA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1D7A4636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BC87DE5" w14:textId="77777777" w:rsidR="00FF0F60" w:rsidRDefault="00FF0F60" w:rsidP="0061340B">
      <w:pPr>
        <w:rPr>
          <w:rFonts w:ascii="Fira Sans" w:eastAsiaTheme="majorEastAsia" w:hAnsi="Fira Sans" w:cstheme="majorBidi"/>
          <w:color w:val="000000" w:themeColor="text1"/>
          <w:sz w:val="22"/>
          <w:szCs w:val="22"/>
        </w:rPr>
      </w:pPr>
    </w:p>
    <w:p w14:paraId="232EC99D" w14:textId="77777777" w:rsidR="00FF0F60" w:rsidRPr="00F711A6" w:rsidRDefault="00FF0F60" w:rsidP="0061340B">
      <w:pPr>
        <w:rPr>
          <w:rFonts w:ascii="Fira Sans" w:eastAsiaTheme="majorEastAsia" w:hAnsi="Fira Sans" w:cstheme="majorBidi"/>
          <w:b/>
          <w:bCs/>
          <w:color w:val="000000" w:themeColor="text1"/>
          <w:sz w:val="22"/>
          <w:szCs w:val="22"/>
        </w:rPr>
      </w:pPr>
    </w:p>
    <w:p w14:paraId="698BB183" w14:textId="77777777" w:rsidR="00F711A6" w:rsidRPr="00F711A6" w:rsidRDefault="00F711A6" w:rsidP="00F711A6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lastRenderedPageBreak/>
        <w:t xml:space="preserve">Supplementary Table S2. </w:t>
      </w:r>
      <w:r w:rsidRPr="00F711A6">
        <w:rPr>
          <w:rFonts w:ascii="Fira Sans" w:hAnsi="Fira Sans"/>
          <w:sz w:val="22"/>
          <w:szCs w:val="22"/>
        </w:rPr>
        <w:t>Lognormal accelerated failure time model for time to hospital discharge after colorectal resection</w:t>
      </w:r>
    </w:p>
    <w:p w14:paraId="2F25CEF3" w14:textId="77777777" w:rsidR="00F711A6" w:rsidRPr="00F711A6" w:rsidRDefault="00F711A6" w:rsidP="00F711A6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t xml:space="preserve">Outcome: </w:t>
      </w:r>
      <w:r w:rsidRPr="00F711A6">
        <w:rPr>
          <w:rFonts w:ascii="Fira Sans" w:hAnsi="Fira Sans"/>
          <w:sz w:val="22"/>
          <w:szCs w:val="22"/>
        </w:rPr>
        <w:t>time to hospital discharge after colorectal resection.</w:t>
      </w:r>
      <w:r w:rsidRPr="00F711A6">
        <w:rPr>
          <w:rFonts w:ascii="Fira Sans" w:hAnsi="Fira Sans"/>
          <w:b/>
          <w:bCs/>
          <w:sz w:val="22"/>
          <w:szCs w:val="22"/>
        </w:rPr>
        <w:br/>
        <w:t xml:space="preserve">Interpretation: </w:t>
      </w:r>
      <w:r w:rsidRPr="00F711A6">
        <w:rPr>
          <w:rFonts w:ascii="Fira Sans" w:hAnsi="Fira Sans"/>
          <w:sz w:val="22"/>
          <w:szCs w:val="22"/>
        </w:rPr>
        <w:t>acceleration time ratios (ATRs) above 1 indicate longer time to discharge.</w:t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1821"/>
        <w:gridCol w:w="2046"/>
        <w:gridCol w:w="1213"/>
        <w:gridCol w:w="1291"/>
        <w:gridCol w:w="993"/>
        <w:gridCol w:w="1183"/>
        <w:gridCol w:w="1026"/>
      </w:tblGrid>
      <w:tr w:rsidR="00F711A6" w:rsidRPr="00F711A6" w14:paraId="3DBABA04" w14:textId="77777777" w:rsidTr="00F711A6">
        <w:trPr>
          <w:trHeight w:val="139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58810A6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69781DB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019576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73A639B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95% CI for 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60C07B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ATR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1690486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95% CI for ATR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383754B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F711A6" w:rsidRPr="00F711A6" w14:paraId="200DEE65" w14:textId="77777777" w:rsidTr="00F711A6">
        <w:trPr>
          <w:trHeight w:val="1068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3F7EFFB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0626297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Age in years at clinic review</w:t>
            </w:r>
          </w:p>
        </w:tc>
        <w:tc>
          <w:tcPr>
            <w:tcW w:w="0" w:type="auto"/>
            <w:hideMark/>
          </w:tcPr>
          <w:p w14:paraId="011277DB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0.028694</w:t>
            </w:r>
          </w:p>
        </w:tc>
        <w:tc>
          <w:tcPr>
            <w:tcW w:w="0" w:type="auto"/>
            <w:hideMark/>
          </w:tcPr>
          <w:p w14:paraId="3C8CBF1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0.009970 to 0.047419</w:t>
            </w:r>
          </w:p>
        </w:tc>
        <w:tc>
          <w:tcPr>
            <w:tcW w:w="0" w:type="auto"/>
            <w:hideMark/>
          </w:tcPr>
          <w:p w14:paraId="7E8A8C9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1.029110</w:t>
            </w:r>
          </w:p>
        </w:tc>
        <w:tc>
          <w:tcPr>
            <w:tcW w:w="0" w:type="auto"/>
            <w:hideMark/>
          </w:tcPr>
          <w:p w14:paraId="2441A3D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1.010020–1.048561</w:t>
            </w:r>
          </w:p>
        </w:tc>
        <w:tc>
          <w:tcPr>
            <w:tcW w:w="0" w:type="auto"/>
            <w:hideMark/>
          </w:tcPr>
          <w:p w14:paraId="0536BD6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0.002669</w:t>
            </w:r>
          </w:p>
        </w:tc>
      </w:tr>
      <w:tr w:rsidR="00F711A6" w:rsidRPr="00F711A6" w14:paraId="76A1659F" w14:textId="77777777" w:rsidTr="00F711A6">
        <w:trPr>
          <w:trHeight w:val="1694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517F4C7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Clinical Frailty Scale (CFS)</w:t>
            </w:r>
          </w:p>
        </w:tc>
        <w:tc>
          <w:tcPr>
            <w:tcW w:w="0" w:type="auto"/>
            <w:hideMark/>
          </w:tcPr>
          <w:p w14:paraId="1BA55EC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Frailty score recorded from clinic documentation</w:t>
            </w:r>
          </w:p>
        </w:tc>
        <w:tc>
          <w:tcPr>
            <w:tcW w:w="0" w:type="auto"/>
            <w:hideMark/>
          </w:tcPr>
          <w:p w14:paraId="3231C133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0.190710</w:t>
            </w:r>
          </w:p>
        </w:tc>
        <w:tc>
          <w:tcPr>
            <w:tcW w:w="0" w:type="auto"/>
            <w:hideMark/>
          </w:tcPr>
          <w:p w14:paraId="39CD914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0.082217 to 0.299203</w:t>
            </w:r>
          </w:p>
        </w:tc>
        <w:tc>
          <w:tcPr>
            <w:tcW w:w="0" w:type="auto"/>
            <w:hideMark/>
          </w:tcPr>
          <w:p w14:paraId="1E4A2848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1.210108</w:t>
            </w:r>
          </w:p>
        </w:tc>
        <w:tc>
          <w:tcPr>
            <w:tcW w:w="0" w:type="auto"/>
            <w:hideMark/>
          </w:tcPr>
          <w:p w14:paraId="1DF8187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1.085691–1.348783</w:t>
            </w:r>
          </w:p>
        </w:tc>
        <w:tc>
          <w:tcPr>
            <w:tcW w:w="0" w:type="auto"/>
            <w:hideMark/>
          </w:tcPr>
          <w:p w14:paraId="51CE691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0.000571</w:t>
            </w:r>
          </w:p>
        </w:tc>
      </w:tr>
      <w:tr w:rsidR="00F711A6" w:rsidRPr="00F711A6" w14:paraId="255364FB" w14:textId="77777777" w:rsidTr="00F711A6">
        <w:trPr>
          <w:trHeight w:val="139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28C48AA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Comorbidity burden</w:t>
            </w:r>
          </w:p>
        </w:tc>
        <w:tc>
          <w:tcPr>
            <w:tcW w:w="0" w:type="auto"/>
            <w:hideMark/>
          </w:tcPr>
          <w:p w14:paraId="17083FA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Number of recorded comorbid conditions</w:t>
            </w:r>
          </w:p>
        </w:tc>
        <w:tc>
          <w:tcPr>
            <w:tcW w:w="0" w:type="auto"/>
            <w:hideMark/>
          </w:tcPr>
          <w:p w14:paraId="327E9D5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0.061091</w:t>
            </w:r>
          </w:p>
        </w:tc>
        <w:tc>
          <w:tcPr>
            <w:tcW w:w="0" w:type="auto"/>
            <w:hideMark/>
          </w:tcPr>
          <w:p w14:paraId="3E6805B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0.010289 to 0.111894</w:t>
            </w:r>
          </w:p>
        </w:tc>
        <w:tc>
          <w:tcPr>
            <w:tcW w:w="0" w:type="auto"/>
            <w:hideMark/>
          </w:tcPr>
          <w:p w14:paraId="37B07D9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1.062996</w:t>
            </w:r>
          </w:p>
        </w:tc>
        <w:tc>
          <w:tcPr>
            <w:tcW w:w="0" w:type="auto"/>
            <w:hideMark/>
          </w:tcPr>
          <w:p w14:paraId="08CF25E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1.010342–1.118394</w:t>
            </w:r>
          </w:p>
        </w:tc>
        <w:tc>
          <w:tcPr>
            <w:tcW w:w="0" w:type="auto"/>
            <w:hideMark/>
          </w:tcPr>
          <w:p w14:paraId="0DEF030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0.018428</w:t>
            </w:r>
          </w:p>
        </w:tc>
      </w:tr>
      <w:tr w:rsidR="00F711A6" w:rsidRPr="00F711A6" w14:paraId="28A2DE25" w14:textId="77777777" w:rsidTr="00F711A6">
        <w:trPr>
          <w:trHeight w:val="137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B55B153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Procedure category: Hemicolectomy</w:t>
            </w:r>
          </w:p>
        </w:tc>
        <w:tc>
          <w:tcPr>
            <w:tcW w:w="0" w:type="auto"/>
            <w:hideMark/>
          </w:tcPr>
          <w:p w14:paraId="71808335" w14:textId="5BF457E6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Hemicolectomy </w:t>
            </w:r>
          </w:p>
        </w:tc>
        <w:tc>
          <w:tcPr>
            <w:tcW w:w="0" w:type="auto"/>
            <w:hideMark/>
          </w:tcPr>
          <w:p w14:paraId="6A36821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-0.586366</w:t>
            </w:r>
          </w:p>
        </w:tc>
        <w:tc>
          <w:tcPr>
            <w:tcW w:w="0" w:type="auto"/>
            <w:hideMark/>
          </w:tcPr>
          <w:p w14:paraId="48296D2B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-1.218598 to 0.045866</w:t>
            </w:r>
          </w:p>
        </w:tc>
        <w:tc>
          <w:tcPr>
            <w:tcW w:w="0" w:type="auto"/>
            <w:hideMark/>
          </w:tcPr>
          <w:p w14:paraId="784DE90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0.556345</w:t>
            </w:r>
          </w:p>
        </w:tc>
        <w:tc>
          <w:tcPr>
            <w:tcW w:w="0" w:type="auto"/>
            <w:hideMark/>
          </w:tcPr>
          <w:p w14:paraId="5FF1ACA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0.295644–1.046934</w:t>
            </w:r>
          </w:p>
        </w:tc>
        <w:tc>
          <w:tcPr>
            <w:tcW w:w="0" w:type="auto"/>
            <w:hideMark/>
          </w:tcPr>
          <w:p w14:paraId="557946E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0.069098</w:t>
            </w:r>
          </w:p>
        </w:tc>
      </w:tr>
      <w:tr w:rsidR="00F711A6" w:rsidRPr="00F711A6" w14:paraId="75BE7E9A" w14:textId="77777777" w:rsidTr="00F711A6">
        <w:trPr>
          <w:trHeight w:val="1089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B31087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Procedure category: Hernia</w:t>
            </w:r>
          </w:p>
        </w:tc>
        <w:tc>
          <w:tcPr>
            <w:tcW w:w="0" w:type="auto"/>
            <w:hideMark/>
          </w:tcPr>
          <w:p w14:paraId="731D5FBD" w14:textId="79EEDF2A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Hernia </w:t>
            </w:r>
          </w:p>
        </w:tc>
        <w:tc>
          <w:tcPr>
            <w:tcW w:w="0" w:type="auto"/>
            <w:hideMark/>
          </w:tcPr>
          <w:p w14:paraId="48EED88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0.131764</w:t>
            </w:r>
          </w:p>
        </w:tc>
        <w:tc>
          <w:tcPr>
            <w:tcW w:w="0" w:type="auto"/>
            <w:hideMark/>
          </w:tcPr>
          <w:p w14:paraId="0DF6CC6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-1.131973 to 1.395502</w:t>
            </w:r>
          </w:p>
        </w:tc>
        <w:tc>
          <w:tcPr>
            <w:tcW w:w="0" w:type="auto"/>
            <w:hideMark/>
          </w:tcPr>
          <w:p w14:paraId="500B645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1.140840</w:t>
            </w:r>
          </w:p>
        </w:tc>
        <w:tc>
          <w:tcPr>
            <w:tcW w:w="0" w:type="auto"/>
            <w:hideMark/>
          </w:tcPr>
          <w:p w14:paraId="6014C21B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0.322396–4.037002</w:t>
            </w:r>
          </w:p>
        </w:tc>
        <w:tc>
          <w:tcPr>
            <w:tcW w:w="0" w:type="auto"/>
            <w:hideMark/>
          </w:tcPr>
          <w:p w14:paraId="17676C9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0.838075</w:t>
            </w:r>
          </w:p>
        </w:tc>
      </w:tr>
      <w:tr w:rsidR="00F711A6" w:rsidRPr="00F711A6" w14:paraId="068DC6FB" w14:textId="77777777" w:rsidTr="00F711A6">
        <w:trPr>
          <w:trHeight w:val="1068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280BC34C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Procedure category: Other</w:t>
            </w:r>
          </w:p>
        </w:tc>
        <w:tc>
          <w:tcPr>
            <w:tcW w:w="0" w:type="auto"/>
            <w:hideMark/>
          </w:tcPr>
          <w:p w14:paraId="664FFCEB" w14:textId="47DD0652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Other procedure </w:t>
            </w:r>
          </w:p>
        </w:tc>
        <w:tc>
          <w:tcPr>
            <w:tcW w:w="0" w:type="auto"/>
            <w:hideMark/>
          </w:tcPr>
          <w:p w14:paraId="25A6BA0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-0.448213</w:t>
            </w:r>
          </w:p>
        </w:tc>
        <w:tc>
          <w:tcPr>
            <w:tcW w:w="0" w:type="auto"/>
            <w:hideMark/>
          </w:tcPr>
          <w:p w14:paraId="083CA08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-1.090313 to 0.193888</w:t>
            </w:r>
          </w:p>
        </w:tc>
        <w:tc>
          <w:tcPr>
            <w:tcW w:w="0" w:type="auto"/>
            <w:hideMark/>
          </w:tcPr>
          <w:p w14:paraId="18E61A2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0.638769</w:t>
            </w:r>
          </w:p>
        </w:tc>
        <w:tc>
          <w:tcPr>
            <w:tcW w:w="0" w:type="auto"/>
            <w:hideMark/>
          </w:tcPr>
          <w:p w14:paraId="4E871BB8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0.336111–1.213960</w:t>
            </w:r>
          </w:p>
        </w:tc>
        <w:tc>
          <w:tcPr>
            <w:tcW w:w="0" w:type="auto"/>
            <w:hideMark/>
          </w:tcPr>
          <w:p w14:paraId="303F46D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0.171269</w:t>
            </w:r>
          </w:p>
        </w:tc>
      </w:tr>
      <w:tr w:rsidR="00F711A6" w:rsidRPr="00F711A6" w14:paraId="722163F5" w14:textId="77777777" w:rsidTr="00F711A6">
        <w:trPr>
          <w:trHeight w:val="1694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8173DF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Physiological risk</w:t>
            </w:r>
          </w:p>
        </w:tc>
        <w:tc>
          <w:tcPr>
            <w:tcW w:w="0" w:type="auto"/>
            <w:hideMark/>
          </w:tcPr>
          <w:p w14:paraId="7EB1CC3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Pre-operative physiological risk score </w:t>
            </w:r>
            <w:proofErr w:type="gramStart"/>
            <w:r w:rsidRPr="00F711A6">
              <w:rPr>
                <w:rFonts w:ascii="Fira Sans" w:hAnsi="Fira Sans"/>
                <w:sz w:val="20"/>
                <w:szCs w:val="20"/>
              </w:rPr>
              <w:t>entered into</w:t>
            </w:r>
            <w:proofErr w:type="gramEnd"/>
            <w:r w:rsidRPr="00F711A6">
              <w:rPr>
                <w:rFonts w:ascii="Fira Sans" w:hAnsi="Fira Sans"/>
                <w:sz w:val="20"/>
                <w:szCs w:val="20"/>
              </w:rPr>
              <w:t xml:space="preserve"> the model</w:t>
            </w:r>
          </w:p>
        </w:tc>
        <w:tc>
          <w:tcPr>
            <w:tcW w:w="0" w:type="auto"/>
            <w:hideMark/>
          </w:tcPr>
          <w:p w14:paraId="05F4CB8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0.013768</w:t>
            </w:r>
          </w:p>
        </w:tc>
        <w:tc>
          <w:tcPr>
            <w:tcW w:w="0" w:type="auto"/>
            <w:hideMark/>
          </w:tcPr>
          <w:p w14:paraId="1B31AB1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-0.011570 to 0.039106</w:t>
            </w:r>
          </w:p>
        </w:tc>
        <w:tc>
          <w:tcPr>
            <w:tcW w:w="0" w:type="auto"/>
            <w:hideMark/>
          </w:tcPr>
          <w:p w14:paraId="5B7CE35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1.013863</w:t>
            </w:r>
          </w:p>
        </w:tc>
        <w:tc>
          <w:tcPr>
            <w:tcW w:w="0" w:type="auto"/>
            <w:hideMark/>
          </w:tcPr>
          <w:p w14:paraId="612AB94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0.988497–1.039881</w:t>
            </w:r>
          </w:p>
        </w:tc>
        <w:tc>
          <w:tcPr>
            <w:tcW w:w="0" w:type="auto"/>
            <w:hideMark/>
          </w:tcPr>
          <w:p w14:paraId="3F13B55C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0.286868</w:t>
            </w:r>
          </w:p>
        </w:tc>
      </w:tr>
      <w:tr w:rsidR="00F711A6" w:rsidRPr="00F711A6" w14:paraId="787AC35E" w14:textId="77777777" w:rsidTr="00F711A6">
        <w:trPr>
          <w:trHeight w:val="1068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0604B088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0" w:type="auto"/>
            <w:hideMark/>
          </w:tcPr>
          <w:p w14:paraId="7CF514E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Model intercept</w:t>
            </w:r>
          </w:p>
        </w:tc>
        <w:tc>
          <w:tcPr>
            <w:tcW w:w="0" w:type="auto"/>
            <w:hideMark/>
          </w:tcPr>
          <w:p w14:paraId="6130481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-0.847872</w:t>
            </w:r>
          </w:p>
        </w:tc>
        <w:tc>
          <w:tcPr>
            <w:tcW w:w="0" w:type="auto"/>
            <w:hideMark/>
          </w:tcPr>
          <w:p w14:paraId="144AC0E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-2.551378 to 0.855634</w:t>
            </w:r>
          </w:p>
        </w:tc>
        <w:tc>
          <w:tcPr>
            <w:tcW w:w="0" w:type="auto"/>
            <w:hideMark/>
          </w:tcPr>
          <w:p w14:paraId="12D7EF6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0.428325</w:t>
            </w:r>
          </w:p>
        </w:tc>
        <w:tc>
          <w:tcPr>
            <w:tcW w:w="0" w:type="auto"/>
            <w:hideMark/>
          </w:tcPr>
          <w:p w14:paraId="0108422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0.077974–2.352866</w:t>
            </w:r>
          </w:p>
        </w:tc>
        <w:tc>
          <w:tcPr>
            <w:tcW w:w="0" w:type="auto"/>
            <w:hideMark/>
          </w:tcPr>
          <w:p w14:paraId="34DF603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0.329304</w:t>
            </w:r>
          </w:p>
        </w:tc>
      </w:tr>
    </w:tbl>
    <w:p w14:paraId="1406CE9B" w14:textId="2DFC5C4B" w:rsidR="0061340B" w:rsidRPr="00F711A6" w:rsidRDefault="00F711A6" w:rsidP="0061340B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t xml:space="preserve">Abbreviations: </w:t>
      </w:r>
      <w:r w:rsidRPr="00F711A6">
        <w:rPr>
          <w:rFonts w:ascii="Fira Sans" w:hAnsi="Fira Sans"/>
          <w:sz w:val="22"/>
          <w:szCs w:val="22"/>
        </w:rPr>
        <w:t>ATR, acceleration time ratio; CI, confidence interval.</w:t>
      </w:r>
    </w:p>
    <w:p w14:paraId="4459AF82" w14:textId="77777777" w:rsidR="00F711A6" w:rsidRPr="00F711A6" w:rsidRDefault="00F711A6" w:rsidP="00F711A6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lastRenderedPageBreak/>
        <w:t xml:space="preserve">Supplementary Table S3. </w:t>
      </w:r>
      <w:r w:rsidRPr="00F711A6">
        <w:rPr>
          <w:rFonts w:ascii="Fira Sans" w:hAnsi="Fira Sans"/>
          <w:sz w:val="22"/>
          <w:szCs w:val="22"/>
        </w:rPr>
        <w:t>Weibull accelerated failure time model for time to hospital discharge after colorectal resection</w:t>
      </w:r>
    </w:p>
    <w:p w14:paraId="3FAEEC69" w14:textId="77777777" w:rsidR="00F711A6" w:rsidRPr="00F711A6" w:rsidRDefault="00F711A6" w:rsidP="00F711A6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t xml:space="preserve">Outcome: </w:t>
      </w:r>
      <w:r w:rsidRPr="00F711A6">
        <w:rPr>
          <w:rFonts w:ascii="Fira Sans" w:hAnsi="Fira Sans"/>
          <w:sz w:val="22"/>
          <w:szCs w:val="22"/>
        </w:rPr>
        <w:t>time to hospital discharge after colorectal resection.</w:t>
      </w:r>
      <w:r w:rsidRPr="00F711A6">
        <w:rPr>
          <w:rFonts w:ascii="Fira Sans" w:hAnsi="Fira Sans"/>
          <w:b/>
          <w:bCs/>
          <w:sz w:val="22"/>
          <w:szCs w:val="22"/>
        </w:rPr>
        <w:br/>
        <w:t xml:space="preserve">Interpretation: </w:t>
      </w:r>
      <w:r w:rsidRPr="00F711A6">
        <w:rPr>
          <w:rFonts w:ascii="Fira Sans" w:hAnsi="Fira Sans"/>
          <w:sz w:val="22"/>
          <w:szCs w:val="22"/>
        </w:rPr>
        <w:t>acceleration time ratios (ATRs) above 1 indicate longer time to discharge.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1746"/>
        <w:gridCol w:w="1213"/>
        <w:gridCol w:w="1222"/>
        <w:gridCol w:w="1001"/>
        <w:gridCol w:w="1130"/>
        <w:gridCol w:w="1019"/>
      </w:tblGrid>
      <w:tr w:rsidR="00F711A6" w:rsidRPr="00F711A6" w14:paraId="50CE1F64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34B05E5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6D204CE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0B3237B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208F66FB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95% CI for coefficient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386E715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ATR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7FFE0ADC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95% CI for ATR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14:paraId="4FF3A35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p value</w:t>
            </w:r>
          </w:p>
        </w:tc>
      </w:tr>
      <w:tr w:rsidR="00F711A6" w:rsidRPr="00F711A6" w14:paraId="5F218EDE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0E97108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5462C72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Age in years at clinic review</w:t>
            </w:r>
          </w:p>
        </w:tc>
        <w:tc>
          <w:tcPr>
            <w:tcW w:w="0" w:type="auto"/>
            <w:hideMark/>
          </w:tcPr>
          <w:p w14:paraId="6C7F7D35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0.034327</w:t>
            </w:r>
          </w:p>
        </w:tc>
        <w:tc>
          <w:tcPr>
            <w:tcW w:w="0" w:type="auto"/>
            <w:hideMark/>
          </w:tcPr>
          <w:p w14:paraId="71F34A1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0.009416 to 0.059238</w:t>
            </w:r>
          </w:p>
        </w:tc>
        <w:tc>
          <w:tcPr>
            <w:tcW w:w="0" w:type="auto"/>
            <w:hideMark/>
          </w:tcPr>
          <w:p w14:paraId="1D6F687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1.034923</w:t>
            </w:r>
          </w:p>
        </w:tc>
        <w:tc>
          <w:tcPr>
            <w:tcW w:w="0" w:type="auto"/>
            <w:hideMark/>
          </w:tcPr>
          <w:p w14:paraId="5606A78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1.009460–1.061027</w:t>
            </w:r>
          </w:p>
        </w:tc>
        <w:tc>
          <w:tcPr>
            <w:tcW w:w="0" w:type="auto"/>
            <w:hideMark/>
          </w:tcPr>
          <w:p w14:paraId="5855657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0.006917</w:t>
            </w:r>
          </w:p>
        </w:tc>
      </w:tr>
      <w:tr w:rsidR="00F711A6" w:rsidRPr="00F711A6" w14:paraId="22D30414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2572CD4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Clinical Frailty Scale (CFS)</w:t>
            </w:r>
          </w:p>
        </w:tc>
        <w:tc>
          <w:tcPr>
            <w:tcW w:w="0" w:type="auto"/>
            <w:hideMark/>
          </w:tcPr>
          <w:p w14:paraId="403A664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Frailty score recorded from clinic documentation</w:t>
            </w:r>
          </w:p>
        </w:tc>
        <w:tc>
          <w:tcPr>
            <w:tcW w:w="0" w:type="auto"/>
            <w:hideMark/>
          </w:tcPr>
          <w:p w14:paraId="1B7275D5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0.297495</w:t>
            </w:r>
          </w:p>
        </w:tc>
        <w:tc>
          <w:tcPr>
            <w:tcW w:w="0" w:type="auto"/>
            <w:hideMark/>
          </w:tcPr>
          <w:p w14:paraId="111F1D2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0.161286 to 0.433704</w:t>
            </w:r>
          </w:p>
        </w:tc>
        <w:tc>
          <w:tcPr>
            <w:tcW w:w="0" w:type="auto"/>
            <w:hideMark/>
          </w:tcPr>
          <w:p w14:paraId="71AE6AE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1.346482</w:t>
            </w:r>
          </w:p>
        </w:tc>
        <w:tc>
          <w:tcPr>
            <w:tcW w:w="0" w:type="auto"/>
            <w:hideMark/>
          </w:tcPr>
          <w:p w14:paraId="4B475AC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1.175021–1.542962</w:t>
            </w:r>
          </w:p>
        </w:tc>
        <w:tc>
          <w:tcPr>
            <w:tcW w:w="0" w:type="auto"/>
            <w:hideMark/>
          </w:tcPr>
          <w:p w14:paraId="0B71ABA8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0.000019</w:t>
            </w:r>
          </w:p>
        </w:tc>
      </w:tr>
      <w:tr w:rsidR="00F711A6" w:rsidRPr="00F711A6" w14:paraId="3CA7E6DA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14504803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Comorbidity burden</w:t>
            </w:r>
          </w:p>
        </w:tc>
        <w:tc>
          <w:tcPr>
            <w:tcW w:w="0" w:type="auto"/>
            <w:hideMark/>
          </w:tcPr>
          <w:p w14:paraId="66E75F4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Number of recorded comorbid conditions</w:t>
            </w:r>
          </w:p>
        </w:tc>
        <w:tc>
          <w:tcPr>
            <w:tcW w:w="0" w:type="auto"/>
            <w:hideMark/>
          </w:tcPr>
          <w:p w14:paraId="553EE58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0.087247</w:t>
            </w:r>
          </w:p>
        </w:tc>
        <w:tc>
          <w:tcPr>
            <w:tcW w:w="0" w:type="auto"/>
            <w:hideMark/>
          </w:tcPr>
          <w:p w14:paraId="68F7875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0.018270 to 0.156225</w:t>
            </w:r>
          </w:p>
        </w:tc>
        <w:tc>
          <w:tcPr>
            <w:tcW w:w="0" w:type="auto"/>
            <w:hideMark/>
          </w:tcPr>
          <w:p w14:paraId="7B0FE9A5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1.091166</w:t>
            </w:r>
          </w:p>
        </w:tc>
        <w:tc>
          <w:tcPr>
            <w:tcW w:w="0" w:type="auto"/>
            <w:hideMark/>
          </w:tcPr>
          <w:p w14:paraId="2C83655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1.018437–1.169089</w:t>
            </w:r>
          </w:p>
        </w:tc>
        <w:tc>
          <w:tcPr>
            <w:tcW w:w="0" w:type="auto"/>
            <w:hideMark/>
          </w:tcPr>
          <w:p w14:paraId="47D4756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0.013172</w:t>
            </w:r>
          </w:p>
        </w:tc>
      </w:tr>
      <w:tr w:rsidR="00F711A6" w:rsidRPr="00F711A6" w14:paraId="78734B85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10500028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Procedure category: Hemicolectomy</w:t>
            </w:r>
          </w:p>
        </w:tc>
        <w:tc>
          <w:tcPr>
            <w:tcW w:w="0" w:type="auto"/>
            <w:hideMark/>
          </w:tcPr>
          <w:p w14:paraId="6822B288" w14:textId="751E2723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Hemicolectomy </w:t>
            </w:r>
          </w:p>
        </w:tc>
        <w:tc>
          <w:tcPr>
            <w:tcW w:w="0" w:type="auto"/>
            <w:hideMark/>
          </w:tcPr>
          <w:p w14:paraId="1627E77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-0.399105</w:t>
            </w:r>
          </w:p>
        </w:tc>
        <w:tc>
          <w:tcPr>
            <w:tcW w:w="0" w:type="auto"/>
            <w:hideMark/>
          </w:tcPr>
          <w:p w14:paraId="13E8AFA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-1.135606 to 0.337396</w:t>
            </w:r>
          </w:p>
        </w:tc>
        <w:tc>
          <w:tcPr>
            <w:tcW w:w="0" w:type="auto"/>
            <w:hideMark/>
          </w:tcPr>
          <w:p w14:paraId="60A8770F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0.670920</w:t>
            </w:r>
          </w:p>
        </w:tc>
        <w:tc>
          <w:tcPr>
            <w:tcW w:w="0" w:type="auto"/>
            <w:hideMark/>
          </w:tcPr>
          <w:p w14:paraId="39EC53E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0.321227–1.401294</w:t>
            </w:r>
          </w:p>
        </w:tc>
        <w:tc>
          <w:tcPr>
            <w:tcW w:w="0" w:type="auto"/>
            <w:hideMark/>
          </w:tcPr>
          <w:p w14:paraId="3A5C0D3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0.288195</w:t>
            </w:r>
          </w:p>
        </w:tc>
      </w:tr>
      <w:tr w:rsidR="00F711A6" w:rsidRPr="00F711A6" w14:paraId="6A9F4416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7A25200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Procedure category: Hernia</w:t>
            </w:r>
          </w:p>
        </w:tc>
        <w:tc>
          <w:tcPr>
            <w:tcW w:w="0" w:type="auto"/>
            <w:hideMark/>
          </w:tcPr>
          <w:p w14:paraId="7D4AB057" w14:textId="1983ECBF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Hernia </w:t>
            </w:r>
          </w:p>
        </w:tc>
        <w:tc>
          <w:tcPr>
            <w:tcW w:w="0" w:type="auto"/>
            <w:hideMark/>
          </w:tcPr>
          <w:p w14:paraId="355BE6E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-0.049177</w:t>
            </w:r>
          </w:p>
        </w:tc>
        <w:tc>
          <w:tcPr>
            <w:tcW w:w="0" w:type="auto"/>
            <w:hideMark/>
          </w:tcPr>
          <w:p w14:paraId="21B6EC8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-1.516062 to 1.417708</w:t>
            </w:r>
          </w:p>
        </w:tc>
        <w:tc>
          <w:tcPr>
            <w:tcW w:w="0" w:type="auto"/>
            <w:hideMark/>
          </w:tcPr>
          <w:p w14:paraId="019D26D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0.952012</w:t>
            </w:r>
          </w:p>
        </w:tc>
        <w:tc>
          <w:tcPr>
            <w:tcW w:w="0" w:type="auto"/>
            <w:hideMark/>
          </w:tcPr>
          <w:p w14:paraId="04E74B7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0.219575–4.127648</w:t>
            </w:r>
          </w:p>
        </w:tc>
        <w:tc>
          <w:tcPr>
            <w:tcW w:w="0" w:type="auto"/>
            <w:hideMark/>
          </w:tcPr>
          <w:p w14:paraId="3845D8E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0.947611</w:t>
            </w:r>
          </w:p>
        </w:tc>
      </w:tr>
      <w:tr w:rsidR="00F711A6" w:rsidRPr="00F711A6" w14:paraId="3917A442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7B03F5A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Procedure category: Other</w:t>
            </w:r>
          </w:p>
        </w:tc>
        <w:tc>
          <w:tcPr>
            <w:tcW w:w="0" w:type="auto"/>
            <w:hideMark/>
          </w:tcPr>
          <w:p w14:paraId="61F30212" w14:textId="4F3E0649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Other procedure </w:t>
            </w:r>
          </w:p>
        </w:tc>
        <w:tc>
          <w:tcPr>
            <w:tcW w:w="0" w:type="auto"/>
            <w:hideMark/>
          </w:tcPr>
          <w:p w14:paraId="42A34BA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-0.271660</w:t>
            </w:r>
          </w:p>
        </w:tc>
        <w:tc>
          <w:tcPr>
            <w:tcW w:w="0" w:type="auto"/>
            <w:hideMark/>
          </w:tcPr>
          <w:p w14:paraId="0D98FFDC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-1.020884 to 0.477564</w:t>
            </w:r>
          </w:p>
        </w:tc>
        <w:tc>
          <w:tcPr>
            <w:tcW w:w="0" w:type="auto"/>
            <w:hideMark/>
          </w:tcPr>
          <w:p w14:paraId="419C606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0.762114</w:t>
            </w:r>
          </w:p>
        </w:tc>
        <w:tc>
          <w:tcPr>
            <w:tcW w:w="0" w:type="auto"/>
            <w:hideMark/>
          </w:tcPr>
          <w:p w14:paraId="272A51B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0.360276–1.612143</w:t>
            </w:r>
          </w:p>
        </w:tc>
        <w:tc>
          <w:tcPr>
            <w:tcW w:w="0" w:type="auto"/>
            <w:hideMark/>
          </w:tcPr>
          <w:p w14:paraId="1D8CAEB9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0.477295</w:t>
            </w:r>
          </w:p>
        </w:tc>
      </w:tr>
      <w:tr w:rsidR="00F711A6" w:rsidRPr="00F711A6" w14:paraId="108EBDE3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5B054287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Physiological risk</w:t>
            </w:r>
          </w:p>
        </w:tc>
        <w:tc>
          <w:tcPr>
            <w:tcW w:w="0" w:type="auto"/>
            <w:hideMark/>
          </w:tcPr>
          <w:p w14:paraId="73D62AF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 xml:space="preserve">Pre-operative physiological risk score </w:t>
            </w:r>
            <w:proofErr w:type="gramStart"/>
            <w:r w:rsidRPr="00F711A6">
              <w:rPr>
                <w:rFonts w:ascii="Fira Sans" w:hAnsi="Fira Sans"/>
                <w:sz w:val="20"/>
                <w:szCs w:val="20"/>
              </w:rPr>
              <w:t>entered into</w:t>
            </w:r>
            <w:proofErr w:type="gramEnd"/>
            <w:r w:rsidRPr="00F711A6">
              <w:rPr>
                <w:rFonts w:ascii="Fira Sans" w:hAnsi="Fira Sans"/>
                <w:sz w:val="20"/>
                <w:szCs w:val="20"/>
              </w:rPr>
              <w:t xml:space="preserve"> the model</w:t>
            </w:r>
          </w:p>
        </w:tc>
        <w:tc>
          <w:tcPr>
            <w:tcW w:w="0" w:type="auto"/>
            <w:hideMark/>
          </w:tcPr>
          <w:p w14:paraId="7A3BB54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0.000284</w:t>
            </w:r>
          </w:p>
        </w:tc>
        <w:tc>
          <w:tcPr>
            <w:tcW w:w="0" w:type="auto"/>
            <w:hideMark/>
          </w:tcPr>
          <w:p w14:paraId="5FA63364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-0.029247 to 0.029814</w:t>
            </w:r>
          </w:p>
        </w:tc>
        <w:tc>
          <w:tcPr>
            <w:tcW w:w="0" w:type="auto"/>
            <w:hideMark/>
          </w:tcPr>
          <w:p w14:paraId="060E7200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1.000284</w:t>
            </w:r>
          </w:p>
        </w:tc>
        <w:tc>
          <w:tcPr>
            <w:tcW w:w="0" w:type="auto"/>
            <w:hideMark/>
          </w:tcPr>
          <w:p w14:paraId="7338285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0.971176–1.030263</w:t>
            </w:r>
          </w:p>
        </w:tc>
        <w:tc>
          <w:tcPr>
            <w:tcW w:w="0" w:type="auto"/>
            <w:hideMark/>
          </w:tcPr>
          <w:p w14:paraId="4C70703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0.984984</w:t>
            </w:r>
          </w:p>
        </w:tc>
      </w:tr>
      <w:tr w:rsidR="00F711A6" w:rsidRPr="00F711A6" w14:paraId="65847F90" w14:textId="77777777" w:rsidTr="00F711A6">
        <w:tc>
          <w:tcPr>
            <w:tcW w:w="0" w:type="auto"/>
            <w:shd w:val="clear" w:color="auto" w:fill="D9D9D9" w:themeFill="background1" w:themeFillShade="D9"/>
            <w:hideMark/>
          </w:tcPr>
          <w:p w14:paraId="4F176C41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b/>
                <w:bCs/>
                <w:sz w:val="20"/>
                <w:szCs w:val="20"/>
              </w:rPr>
            </w:pPr>
            <w:r w:rsidRPr="00F711A6">
              <w:rPr>
                <w:rFonts w:ascii="Fira Sans" w:hAnsi="Fira Sans"/>
                <w:b/>
                <w:bCs/>
                <w:sz w:val="20"/>
                <w:szCs w:val="20"/>
              </w:rPr>
              <w:t>Intercept</w:t>
            </w:r>
          </w:p>
        </w:tc>
        <w:tc>
          <w:tcPr>
            <w:tcW w:w="0" w:type="auto"/>
            <w:hideMark/>
          </w:tcPr>
          <w:p w14:paraId="50A0DBB2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Model intercept</w:t>
            </w:r>
          </w:p>
        </w:tc>
        <w:tc>
          <w:tcPr>
            <w:tcW w:w="0" w:type="auto"/>
            <w:hideMark/>
          </w:tcPr>
          <w:p w14:paraId="46190C96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-1.641974</w:t>
            </w:r>
          </w:p>
        </w:tc>
        <w:tc>
          <w:tcPr>
            <w:tcW w:w="0" w:type="auto"/>
            <w:hideMark/>
          </w:tcPr>
          <w:p w14:paraId="4A04B6ED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-3.942004 to 0.658055</w:t>
            </w:r>
          </w:p>
        </w:tc>
        <w:tc>
          <w:tcPr>
            <w:tcW w:w="0" w:type="auto"/>
            <w:hideMark/>
          </w:tcPr>
          <w:p w14:paraId="31EA732C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0.193597</w:t>
            </w:r>
          </w:p>
        </w:tc>
        <w:tc>
          <w:tcPr>
            <w:tcW w:w="0" w:type="auto"/>
            <w:hideMark/>
          </w:tcPr>
          <w:p w14:paraId="0A5126FE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0.019409–1.931034</w:t>
            </w:r>
          </w:p>
        </w:tc>
        <w:tc>
          <w:tcPr>
            <w:tcW w:w="0" w:type="auto"/>
            <w:hideMark/>
          </w:tcPr>
          <w:p w14:paraId="6651A71A" w14:textId="77777777" w:rsidR="00F711A6" w:rsidRPr="00F711A6" w:rsidRDefault="00F711A6" w:rsidP="00F711A6">
            <w:pPr>
              <w:spacing w:after="160" w:line="278" w:lineRule="auto"/>
              <w:rPr>
                <w:rFonts w:ascii="Fira Sans" w:hAnsi="Fira Sans"/>
                <w:sz w:val="20"/>
                <w:szCs w:val="20"/>
              </w:rPr>
            </w:pPr>
            <w:r w:rsidRPr="00F711A6">
              <w:rPr>
                <w:rFonts w:ascii="Fira Sans" w:hAnsi="Fira Sans"/>
                <w:sz w:val="20"/>
                <w:szCs w:val="20"/>
              </w:rPr>
              <w:t>0.161752</w:t>
            </w:r>
          </w:p>
        </w:tc>
      </w:tr>
    </w:tbl>
    <w:p w14:paraId="271E9F77" w14:textId="77777777" w:rsidR="00F711A6" w:rsidRPr="00F711A6" w:rsidRDefault="00F711A6" w:rsidP="00F711A6">
      <w:pPr>
        <w:rPr>
          <w:rFonts w:ascii="Fira Sans" w:hAnsi="Fira Sans"/>
          <w:b/>
          <w:bCs/>
          <w:sz w:val="22"/>
          <w:szCs w:val="22"/>
        </w:rPr>
      </w:pPr>
      <w:r w:rsidRPr="00F711A6">
        <w:rPr>
          <w:rFonts w:ascii="Fira Sans" w:hAnsi="Fira Sans"/>
          <w:b/>
          <w:bCs/>
          <w:sz w:val="22"/>
          <w:szCs w:val="22"/>
        </w:rPr>
        <w:t>Abbreviations: ATR, acceleration time ratio; CI, confidence interval.</w:t>
      </w:r>
    </w:p>
    <w:p w14:paraId="526A9558" w14:textId="77777777" w:rsidR="0061340B" w:rsidRPr="0061340B" w:rsidRDefault="0061340B" w:rsidP="0061340B">
      <w:pPr>
        <w:rPr>
          <w:rFonts w:ascii="Fira Sans" w:hAnsi="Fira Sans"/>
          <w:sz w:val="22"/>
          <w:szCs w:val="22"/>
        </w:rPr>
      </w:pPr>
    </w:p>
    <w:p w14:paraId="5D85D610" w14:textId="77777777" w:rsidR="001146C1" w:rsidRPr="0061340B" w:rsidRDefault="001146C1" w:rsidP="001146C1">
      <w:pPr>
        <w:pStyle w:val="Heading2"/>
        <w:rPr>
          <w:rFonts w:ascii="Fira Sans" w:hAnsi="Fira Sans"/>
          <w:color w:val="000000" w:themeColor="text1"/>
          <w:sz w:val="22"/>
          <w:szCs w:val="22"/>
        </w:rPr>
      </w:pPr>
    </w:p>
    <w:sectPr w:rsidR="001146C1" w:rsidRPr="0061340B" w:rsidSect="003005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1C"/>
    <w:rsid w:val="000F5ED0"/>
    <w:rsid w:val="001146C1"/>
    <w:rsid w:val="00200B71"/>
    <w:rsid w:val="002C0A3A"/>
    <w:rsid w:val="0030051C"/>
    <w:rsid w:val="00372EB9"/>
    <w:rsid w:val="00397EBE"/>
    <w:rsid w:val="00483C0F"/>
    <w:rsid w:val="004F6C1D"/>
    <w:rsid w:val="005C27F7"/>
    <w:rsid w:val="0061340B"/>
    <w:rsid w:val="00640371"/>
    <w:rsid w:val="006A7647"/>
    <w:rsid w:val="006B2CE8"/>
    <w:rsid w:val="006C2149"/>
    <w:rsid w:val="0073567D"/>
    <w:rsid w:val="00740A83"/>
    <w:rsid w:val="0078102E"/>
    <w:rsid w:val="007C19B1"/>
    <w:rsid w:val="007E5B36"/>
    <w:rsid w:val="009544BC"/>
    <w:rsid w:val="009809DE"/>
    <w:rsid w:val="00A04A2B"/>
    <w:rsid w:val="00A74B27"/>
    <w:rsid w:val="00AC1D69"/>
    <w:rsid w:val="00C966D8"/>
    <w:rsid w:val="00CB3723"/>
    <w:rsid w:val="00CF566E"/>
    <w:rsid w:val="00DE4DA3"/>
    <w:rsid w:val="00E85FD5"/>
    <w:rsid w:val="00ED58C1"/>
    <w:rsid w:val="00EE2805"/>
    <w:rsid w:val="00F711A6"/>
    <w:rsid w:val="00F77B72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6A96"/>
  <w15:chartTrackingRefBased/>
  <w15:docId w15:val="{B5B0340C-A74D-B245-B3D0-D4C34226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00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5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5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5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5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51C"/>
    <w:rPr>
      <w:b/>
      <w:bCs/>
      <w:smallCaps/>
      <w:color w:val="0F4761" w:themeColor="accent1" w:themeShade="BF"/>
      <w:spacing w:val="5"/>
    </w:rPr>
  </w:style>
  <w:style w:type="character" w:customStyle="1" w:styleId="None">
    <w:name w:val="None"/>
    <w:rsid w:val="00EE2805"/>
  </w:style>
  <w:style w:type="table" w:styleId="TableGrid">
    <w:name w:val="Table Grid"/>
    <w:basedOn w:val="TableNormal"/>
    <w:uiPriority w:val="59"/>
    <w:rsid w:val="001146C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7C19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7C19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2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1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5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ROJ, Bartlomiej (MID AND SOUTH ESSEX NHS FOUNDATION TRUST)</dc:creator>
  <cp:keywords/>
  <dc:description/>
  <cp:lastModifiedBy>ROJ, Bartlomiej (MID AND SOUTH ESSEX NHS FOUNDATION TRUST)</cp:lastModifiedBy>
  <cp:revision>8</cp:revision>
  <dcterms:created xsi:type="dcterms:W3CDTF">2026-04-17T12:05:00Z</dcterms:created>
  <dcterms:modified xsi:type="dcterms:W3CDTF">2026-04-25T20:21:00Z</dcterms:modified>
</cp:coreProperties>
</file>