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7821" w14:textId="77777777" w:rsidR="0053034C" w:rsidRPr="00EF5B1C" w:rsidRDefault="0053034C" w:rsidP="0053034C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B1C">
        <w:rPr>
          <w:rFonts w:ascii="Times New Roman" w:hAnsi="Times New Roman" w:cs="Times New Roman"/>
          <w:color w:val="000000" w:themeColor="text1"/>
          <w:sz w:val="24"/>
          <w:szCs w:val="24"/>
        </w:rPr>
        <w:t>Additional files</w:t>
      </w:r>
    </w:p>
    <w:p w14:paraId="3F745105" w14:textId="77777777" w:rsidR="0053034C" w:rsidRPr="00EF5B1C" w:rsidRDefault="0053034C" w:rsidP="0053034C">
      <w:pPr>
        <w:pStyle w:val="BodyText"/>
        <w:rPr>
          <w:rFonts w:cs="Times New Roman"/>
          <w:color w:val="000000" w:themeColor="text1"/>
          <w:szCs w:val="24"/>
        </w:rPr>
      </w:pPr>
      <w:r w:rsidRPr="00EF5B1C">
        <w:rPr>
          <w:rFonts w:cs="Times New Roman"/>
          <w:color w:val="000000" w:themeColor="text1"/>
          <w:szCs w:val="24"/>
        </w:rPr>
        <w:t>Additional file 1. Differential expression results. CSV file containing DESeq2 results for ketogenic diet versus control diet, including Ensembl identifiers, gene symbols, log2 fold-change, P values, adjusted P values, Entrez identifiers, and gene names.</w:t>
      </w:r>
    </w:p>
    <w:p w14:paraId="6C550E25" w14:textId="77777777" w:rsidR="0053034C" w:rsidRPr="00EF5B1C" w:rsidRDefault="0053034C" w:rsidP="0053034C">
      <w:pPr>
        <w:pStyle w:val="BodyText"/>
        <w:rPr>
          <w:rFonts w:cs="Times New Roman"/>
          <w:color w:val="000000" w:themeColor="text1"/>
          <w:szCs w:val="24"/>
        </w:rPr>
      </w:pPr>
      <w:r w:rsidRPr="00EF5B1C">
        <w:rPr>
          <w:rFonts w:cs="Times New Roman"/>
          <w:color w:val="000000" w:themeColor="text1"/>
          <w:szCs w:val="24"/>
        </w:rPr>
        <w:t>Additional file 2. Pathway enrichment results. CSV files containing GO over-representation analysis, ranked GO GSEA, Hallmark GSEA results, and Hallmark comparison results across ketogenic diet versus control, high-fat diet versus control, and ketogenic diet versus high-fat diet contrasts.</w:t>
      </w:r>
    </w:p>
    <w:p w14:paraId="160C9FC6" w14:textId="77777777" w:rsidR="0053034C" w:rsidRPr="00EF5B1C" w:rsidRDefault="0053034C" w:rsidP="0053034C">
      <w:pPr>
        <w:pStyle w:val="BodyText"/>
        <w:rPr>
          <w:rFonts w:cs="Times New Roman"/>
          <w:color w:val="000000" w:themeColor="text1"/>
          <w:szCs w:val="24"/>
        </w:rPr>
      </w:pPr>
      <w:r w:rsidRPr="00EF5B1C">
        <w:rPr>
          <w:rFonts w:cs="Times New Roman"/>
          <w:color w:val="000000" w:themeColor="text1"/>
          <w:szCs w:val="24"/>
        </w:rPr>
        <w:t>Additional file 3. Reproducible R analysis scripts. R scripts used to process metadata, run differential expression, generate plots, compare diet contrasts, and perform pathway analyses.</w:t>
      </w:r>
    </w:p>
    <w:p w14:paraId="7D5A2BFE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4C"/>
    <w:rsid w:val="000C4033"/>
    <w:rsid w:val="00173ED8"/>
    <w:rsid w:val="004B42CB"/>
    <w:rsid w:val="0053034C"/>
    <w:rsid w:val="005F2B46"/>
    <w:rsid w:val="006E1731"/>
    <w:rsid w:val="00866D74"/>
    <w:rsid w:val="00882A73"/>
    <w:rsid w:val="0095305D"/>
    <w:rsid w:val="009C3CF3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E659"/>
  <w15:chartTrackingRefBased/>
  <w15:docId w15:val="{662A3ACB-5864-49BE-84E5-169E450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53034C"/>
    <w:pPr>
      <w:spacing w:after="120" w:line="480" w:lineRule="auto"/>
      <w:ind w:firstLine="360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53034C"/>
    <w:rPr>
      <w:rFonts w:ascii="Times New Roman" w:eastAsia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2026-05-21T13:34:00Z</dcterms:created>
  <dcterms:modified xsi:type="dcterms:W3CDTF">2026-05-21T13:34:00Z</dcterms:modified>
</cp:coreProperties>
</file>