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Table S2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23 identified functional distribution of </w:t>
      </w:r>
      <w:bookmarkStart w:id="0" w:name="OLE_LINK216"/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4"/>
          <w:szCs w:val="24"/>
          <w:lang w:val="en-US" w:eastAsia="zh-CN"/>
        </w:rPr>
        <w:t>B. catenulatum</w:t>
      </w:r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species (The ordering is shown by number of functional proteins in all 16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4"/>
          <w:szCs w:val="24"/>
          <w:lang w:val="en-US" w:eastAsia="zh-CN"/>
        </w:rPr>
        <w:t xml:space="preserve">B. catenulatum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en-US" w:eastAsia="zh-CN"/>
        </w:rPr>
        <w:t>genomes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)</w:t>
      </w:r>
    </w:p>
    <w:tbl>
      <w:tblPr>
        <w:tblStyle w:val="2"/>
        <w:tblW w:w="4999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5"/>
        <w:gridCol w:w="178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Fu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tions</w:t>
            </w:r>
          </w:p>
        </w:tc>
        <w:tc>
          <w:tcPr>
            <w:tcW w:w="1047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No of proteins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Amino Acids and Derivatives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Protein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Carbohydrates</w:t>
            </w:r>
          </w:p>
        </w:tc>
        <w:tc>
          <w:tcPr>
            <w:tcW w:w="1047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Cofactors, Vitamins, Prosthetic Groups, Pigments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DNA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Nucleosides and Nucleotides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Virulence, Disease and Defense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RNA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Phosphorus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Cell Wall and Capsule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Fatty Acids, Lipids, and Isoprenoids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Nitrogen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Respiration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Miscellaneous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Membrane Transport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Stress Response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Regulation and Cell signaling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Metabolism of Aromatic Compounds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Potassium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Sulfur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Phages, Prophages, Transposable elements, Plasmids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Dormancy and Sporulation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Secondary Metabolism</w:t>
            </w:r>
          </w:p>
        </w:tc>
        <w:tc>
          <w:tcPr>
            <w:tcW w:w="104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A6348"/>
    <w:rsid w:val="36AA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2021-08-09T06:42:00Z</dcterms:created>
  <dc:creator>御朔德承乐</dc:creator>
  <cp:lastModifiedBy>御朔德承乐</cp:lastModifiedBy>
  <dcterms:modified xsi:type="dcterms:W3CDTF">2021-08-09T06:43:05Z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