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2256B" w14:textId="77777777" w:rsidR="004F65F3" w:rsidRPr="00627F48" w:rsidRDefault="00000000">
      <w:pPr>
        <w:jc w:val="center"/>
        <w:rPr>
          <w:rFonts w:ascii="Times New Roman" w:hAnsi="Times New Roman" w:cs="Times New Roman"/>
          <w:sz w:val="24"/>
          <w:szCs w:val="24"/>
        </w:rPr>
      </w:pPr>
      <w:r w:rsidRPr="00627F48">
        <w:rPr>
          <w:rFonts w:ascii="Times New Roman" w:hAnsi="Times New Roman" w:cs="Times New Roman"/>
          <w:b/>
          <w:sz w:val="24"/>
          <w:szCs w:val="24"/>
        </w:rPr>
        <w:t>SUMMARY OF DOCUMENTARY REVIEW EXTRACTION TABLES</w:t>
      </w:r>
      <w:r w:rsidRPr="00627F48">
        <w:rPr>
          <w:rFonts w:ascii="Times New Roman" w:hAnsi="Times New Roman" w:cs="Times New Roman"/>
          <w:b/>
          <w:sz w:val="24"/>
          <w:szCs w:val="24"/>
        </w:rPr>
        <w:br/>
        <w:t>Institutional Framework Review on Veterinary AMU Governance in Tanzania</w:t>
      </w:r>
    </w:p>
    <w:p w14:paraId="6752536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This document summarises the documentary review extraction tables implied by the manuscript. It organises the reviewed institutions, the AMU/AMR governance issues they cover, the responsible authorities, and the practical implementation gaps highlighted by the study.</w:t>
      </w:r>
    </w:p>
    <w:p w14:paraId="5C56BF4E" w14:textId="77777777" w:rsidR="004F65F3" w:rsidRPr="00627F48" w:rsidRDefault="00000000">
      <w:pPr>
        <w:pStyle w:val="Heading1"/>
        <w:rPr>
          <w:rFonts w:ascii="Times New Roman" w:hAnsi="Times New Roman" w:cs="Times New Roman"/>
          <w:color w:val="auto"/>
          <w:sz w:val="24"/>
          <w:szCs w:val="24"/>
        </w:rPr>
      </w:pPr>
      <w:r w:rsidRPr="00627F48">
        <w:rPr>
          <w:rFonts w:ascii="Times New Roman" w:hAnsi="Times New Roman" w:cs="Times New Roman"/>
          <w:color w:val="auto"/>
          <w:sz w:val="24"/>
          <w:szCs w:val="24"/>
        </w:rPr>
        <w:t>A. Instrument-level extraction summary</w:t>
      </w:r>
    </w:p>
    <w:tbl>
      <w:tblPr>
        <w:tblStyle w:val="TableGrid"/>
        <w:tblW w:w="0" w:type="auto"/>
        <w:jc w:val="center"/>
        <w:tblLook w:val="04A0" w:firstRow="1" w:lastRow="0" w:firstColumn="1" w:lastColumn="0" w:noHBand="0" w:noVBand="1"/>
      </w:tblPr>
      <w:tblGrid>
        <w:gridCol w:w="2049"/>
        <w:gridCol w:w="2044"/>
        <w:gridCol w:w="2102"/>
        <w:gridCol w:w="2048"/>
        <w:gridCol w:w="2042"/>
        <w:gridCol w:w="2055"/>
        <w:gridCol w:w="2050"/>
      </w:tblGrid>
      <w:tr w:rsidR="00627F48" w:rsidRPr="00627F48" w14:paraId="492E7C88" w14:textId="77777777" w:rsidTr="00627F48">
        <w:trPr>
          <w:tblHeader/>
          <w:jc w:val="center"/>
        </w:trPr>
        <w:tc>
          <w:tcPr>
            <w:tcW w:w="2057" w:type="dxa"/>
            <w:shd w:val="clear" w:color="auto" w:fill="C6D9F1" w:themeFill="text2" w:themeFillTint="33"/>
            <w:vAlign w:val="center"/>
          </w:tcPr>
          <w:p w14:paraId="06F5FD3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Instrument</w:t>
            </w:r>
          </w:p>
        </w:tc>
        <w:tc>
          <w:tcPr>
            <w:tcW w:w="2057" w:type="dxa"/>
            <w:shd w:val="clear" w:color="auto" w:fill="C6D9F1" w:themeFill="text2" w:themeFillTint="33"/>
            <w:vAlign w:val="center"/>
          </w:tcPr>
          <w:p w14:paraId="25FFCD5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Type / sector</w:t>
            </w:r>
          </w:p>
        </w:tc>
        <w:tc>
          <w:tcPr>
            <w:tcW w:w="2057" w:type="dxa"/>
            <w:shd w:val="clear" w:color="auto" w:fill="C6D9F1" w:themeFill="text2" w:themeFillTint="33"/>
            <w:vAlign w:val="center"/>
          </w:tcPr>
          <w:p w14:paraId="617582C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Main AMU/AMR relevance</w:t>
            </w:r>
          </w:p>
        </w:tc>
        <w:tc>
          <w:tcPr>
            <w:tcW w:w="2057" w:type="dxa"/>
            <w:shd w:val="clear" w:color="auto" w:fill="C6D9F1" w:themeFill="text2" w:themeFillTint="33"/>
            <w:vAlign w:val="center"/>
          </w:tcPr>
          <w:p w14:paraId="742810D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Main authority</w:t>
            </w:r>
          </w:p>
        </w:tc>
        <w:tc>
          <w:tcPr>
            <w:tcW w:w="2057" w:type="dxa"/>
            <w:shd w:val="clear" w:color="auto" w:fill="C6D9F1" w:themeFill="text2" w:themeFillTint="33"/>
            <w:vAlign w:val="center"/>
          </w:tcPr>
          <w:p w14:paraId="401C146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Coverage assessment</w:t>
            </w:r>
          </w:p>
        </w:tc>
        <w:tc>
          <w:tcPr>
            <w:tcW w:w="2057" w:type="dxa"/>
            <w:shd w:val="clear" w:color="auto" w:fill="C6D9F1" w:themeFill="text2" w:themeFillTint="33"/>
            <w:vAlign w:val="center"/>
          </w:tcPr>
          <w:p w14:paraId="104781B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Summary of extracted provision</w:t>
            </w:r>
          </w:p>
        </w:tc>
        <w:tc>
          <w:tcPr>
            <w:tcW w:w="2057" w:type="dxa"/>
            <w:shd w:val="clear" w:color="auto" w:fill="C6D9F1" w:themeFill="text2" w:themeFillTint="33"/>
            <w:vAlign w:val="center"/>
          </w:tcPr>
          <w:p w14:paraId="2248429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Practice gap noted by study</w:t>
            </w:r>
          </w:p>
        </w:tc>
      </w:tr>
      <w:tr w:rsidR="00627F48" w:rsidRPr="00627F48" w14:paraId="6D5E55F5" w14:textId="77777777">
        <w:trPr>
          <w:jc w:val="center"/>
        </w:trPr>
        <w:tc>
          <w:tcPr>
            <w:tcW w:w="2057" w:type="dxa"/>
          </w:tcPr>
          <w:p w14:paraId="176C4EA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National Livestock Policy (2006)</w:t>
            </w:r>
          </w:p>
        </w:tc>
        <w:tc>
          <w:tcPr>
            <w:tcW w:w="2057" w:type="dxa"/>
          </w:tcPr>
          <w:p w14:paraId="3112A0C2"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Policy / livestock</w:t>
            </w:r>
          </w:p>
        </w:tc>
        <w:tc>
          <w:tcPr>
            <w:tcW w:w="2057" w:type="dxa"/>
          </w:tcPr>
          <w:p w14:paraId="32ADF38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Animal health services, veterinary public health, food safety, infrastructure strengthening, private-sector support</w:t>
            </w:r>
          </w:p>
        </w:tc>
        <w:tc>
          <w:tcPr>
            <w:tcW w:w="2057" w:type="dxa"/>
          </w:tcPr>
          <w:p w14:paraId="5663DBE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Ministry of Livestock and Fisheries</w:t>
            </w:r>
          </w:p>
        </w:tc>
        <w:tc>
          <w:tcPr>
            <w:tcW w:w="2057" w:type="dxa"/>
          </w:tcPr>
          <w:p w14:paraId="4FF81BA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Indirect to partial</w:t>
            </w:r>
          </w:p>
        </w:tc>
        <w:tc>
          <w:tcPr>
            <w:tcW w:w="2057" w:type="dxa"/>
          </w:tcPr>
          <w:p w14:paraId="7C4A0E10"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Provides strategic direction for supervised services, disease control, veterinary public health, and stronger infrastructure, but does not operationalise prudent AMU in a detailed way.</w:t>
            </w:r>
          </w:p>
        </w:tc>
        <w:tc>
          <w:tcPr>
            <w:tcW w:w="2057" w:type="dxa"/>
          </w:tcPr>
          <w:p w14:paraId="400A7CB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Service delivery remains weak; shortages, weak infrastructure, and limited technical support reduce practical effect.</w:t>
            </w:r>
          </w:p>
        </w:tc>
      </w:tr>
      <w:tr w:rsidR="00627F48" w:rsidRPr="00627F48" w14:paraId="20EEF338" w14:textId="77777777">
        <w:trPr>
          <w:jc w:val="center"/>
        </w:trPr>
        <w:tc>
          <w:tcPr>
            <w:tcW w:w="2057" w:type="dxa"/>
          </w:tcPr>
          <w:p w14:paraId="5714990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National Action Plan on AMR 2023–2028</w:t>
            </w:r>
          </w:p>
        </w:tc>
        <w:tc>
          <w:tcPr>
            <w:tcW w:w="2057" w:type="dxa"/>
          </w:tcPr>
          <w:p w14:paraId="4C3F99A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National strategy / One Health</w:t>
            </w:r>
          </w:p>
        </w:tc>
        <w:tc>
          <w:tcPr>
            <w:tcW w:w="2057" w:type="dxa"/>
          </w:tcPr>
          <w:p w14:paraId="3EF67C0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Governance, awareness, surveillance, stewardship, infection prevention, sustainable investment</w:t>
            </w:r>
          </w:p>
        </w:tc>
        <w:tc>
          <w:tcPr>
            <w:tcW w:w="2057" w:type="dxa"/>
          </w:tcPr>
          <w:p w14:paraId="1100E2A6"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Multisectoral One Health actors led by Government</w:t>
            </w:r>
          </w:p>
        </w:tc>
        <w:tc>
          <w:tcPr>
            <w:tcW w:w="2057" w:type="dxa"/>
          </w:tcPr>
          <w:p w14:paraId="6A03C66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Direct strategic coverage</w:t>
            </w:r>
          </w:p>
        </w:tc>
        <w:tc>
          <w:tcPr>
            <w:tcW w:w="2057" w:type="dxa"/>
          </w:tcPr>
          <w:p w14:paraId="2DE058C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Explicitly recognises AMR governance, One Health coordination, surveillance, stewardship, and residue monitoring in food and the environment.</w:t>
            </w:r>
          </w:p>
        </w:tc>
        <w:tc>
          <w:tcPr>
            <w:tcW w:w="2057" w:type="dxa"/>
          </w:tcPr>
          <w:p w14:paraId="12BABCF0"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Operational coordination and resourcing remain weak, so implementation is uneven.</w:t>
            </w:r>
          </w:p>
        </w:tc>
      </w:tr>
      <w:tr w:rsidR="00627F48" w:rsidRPr="00627F48" w14:paraId="3ADC0AA4" w14:textId="77777777">
        <w:trPr>
          <w:jc w:val="center"/>
        </w:trPr>
        <w:tc>
          <w:tcPr>
            <w:tcW w:w="2057" w:type="dxa"/>
          </w:tcPr>
          <w:p w14:paraId="09F56F62"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Veterinary Act, Cap. 319 (R.E. 2023)</w:t>
            </w:r>
          </w:p>
        </w:tc>
        <w:tc>
          <w:tcPr>
            <w:tcW w:w="2057" w:type="dxa"/>
          </w:tcPr>
          <w:p w14:paraId="27BEB362"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Act / professional regulation</w:t>
            </w:r>
          </w:p>
        </w:tc>
        <w:tc>
          <w:tcPr>
            <w:tcW w:w="2057" w:type="dxa"/>
          </w:tcPr>
          <w:p w14:paraId="59F4739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 xml:space="preserve">Registration of veterinarians and paraprofessionals, supervision, </w:t>
            </w:r>
            <w:r w:rsidRPr="00627F48">
              <w:rPr>
                <w:rFonts w:ascii="Times New Roman" w:hAnsi="Times New Roman" w:cs="Times New Roman"/>
                <w:sz w:val="24"/>
                <w:szCs w:val="24"/>
              </w:rPr>
              <w:lastRenderedPageBreak/>
              <w:t>practice control</w:t>
            </w:r>
          </w:p>
        </w:tc>
        <w:tc>
          <w:tcPr>
            <w:tcW w:w="2057" w:type="dxa"/>
          </w:tcPr>
          <w:p w14:paraId="1203628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Veterinary Council / livestock authorities</w:t>
            </w:r>
          </w:p>
        </w:tc>
        <w:tc>
          <w:tcPr>
            <w:tcW w:w="2057" w:type="dxa"/>
          </w:tcPr>
          <w:p w14:paraId="26E722B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Partial direct coverage</w:t>
            </w:r>
          </w:p>
        </w:tc>
        <w:tc>
          <w:tcPr>
            <w:tcW w:w="2057" w:type="dxa"/>
          </w:tcPr>
          <w:p w14:paraId="0C2AB7BF"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 xml:space="preserve">Creates the legal basis for professional registration and </w:t>
            </w:r>
            <w:r w:rsidRPr="00627F48">
              <w:rPr>
                <w:rFonts w:ascii="Times New Roman" w:hAnsi="Times New Roman" w:cs="Times New Roman"/>
                <w:sz w:val="24"/>
                <w:szCs w:val="24"/>
              </w:rPr>
              <w:lastRenderedPageBreak/>
              <w:t>lawful veterinary practice, including controls on who may provide veterinary services.</w:t>
            </w:r>
          </w:p>
        </w:tc>
        <w:tc>
          <w:tcPr>
            <w:tcW w:w="2057" w:type="dxa"/>
          </w:tcPr>
          <w:p w14:paraId="5DD7CCE3"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 xml:space="preserve">Informal practice and retail dispensing beyond authorised scope </w:t>
            </w:r>
            <w:r w:rsidRPr="00627F48">
              <w:rPr>
                <w:rFonts w:ascii="Times New Roman" w:hAnsi="Times New Roman" w:cs="Times New Roman"/>
                <w:sz w:val="24"/>
                <w:szCs w:val="24"/>
              </w:rPr>
              <w:lastRenderedPageBreak/>
              <w:t>persist.</w:t>
            </w:r>
          </w:p>
        </w:tc>
      </w:tr>
      <w:tr w:rsidR="00627F48" w:rsidRPr="00627F48" w14:paraId="43D18F47" w14:textId="77777777">
        <w:trPr>
          <w:jc w:val="center"/>
        </w:trPr>
        <w:tc>
          <w:tcPr>
            <w:tcW w:w="2057" w:type="dxa"/>
          </w:tcPr>
          <w:p w14:paraId="2690F7D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Animal Diseases Act, Cap. 156 (R.E. 2023)</w:t>
            </w:r>
          </w:p>
        </w:tc>
        <w:tc>
          <w:tcPr>
            <w:tcW w:w="2057" w:type="dxa"/>
          </w:tcPr>
          <w:p w14:paraId="227FD64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Act / disease control</w:t>
            </w:r>
          </w:p>
        </w:tc>
        <w:tc>
          <w:tcPr>
            <w:tcW w:w="2057" w:type="dxa"/>
          </w:tcPr>
          <w:p w14:paraId="1D4C5B5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Disease control, inspection, carcass disposal, epidemiology, veterinary laboratory system</w:t>
            </w:r>
          </w:p>
        </w:tc>
        <w:tc>
          <w:tcPr>
            <w:tcW w:w="2057" w:type="dxa"/>
          </w:tcPr>
          <w:p w14:paraId="155870D2"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Director of Veterinary Services</w:t>
            </w:r>
          </w:p>
        </w:tc>
        <w:tc>
          <w:tcPr>
            <w:tcW w:w="2057" w:type="dxa"/>
          </w:tcPr>
          <w:p w14:paraId="7CECF0D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Partial direct coverage</w:t>
            </w:r>
          </w:p>
        </w:tc>
        <w:tc>
          <w:tcPr>
            <w:tcW w:w="2057" w:type="dxa"/>
          </w:tcPr>
          <w:p w14:paraId="28DF7B8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Supports surveillance, inspector powers, and approved disposal routes for animals and contaminated materials.</w:t>
            </w:r>
          </w:p>
        </w:tc>
        <w:tc>
          <w:tcPr>
            <w:tcW w:w="2057" w:type="dxa"/>
          </w:tcPr>
          <w:p w14:paraId="2093091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Routine farm-level antimicrobial waste guidance remains under-specified; field enforcement is limited.</w:t>
            </w:r>
          </w:p>
        </w:tc>
      </w:tr>
      <w:tr w:rsidR="00627F48" w:rsidRPr="00627F48" w14:paraId="4DA2314E" w14:textId="77777777">
        <w:trPr>
          <w:jc w:val="center"/>
        </w:trPr>
        <w:tc>
          <w:tcPr>
            <w:tcW w:w="2057" w:type="dxa"/>
          </w:tcPr>
          <w:p w14:paraId="5972664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TMDA Act, Cap. 219 (R.E. 2021)</w:t>
            </w:r>
          </w:p>
        </w:tc>
        <w:tc>
          <w:tcPr>
            <w:tcW w:w="2057" w:type="dxa"/>
          </w:tcPr>
          <w:p w14:paraId="14CB1A60"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Act / medicine regulation</w:t>
            </w:r>
          </w:p>
        </w:tc>
        <w:tc>
          <w:tcPr>
            <w:tcW w:w="2057" w:type="dxa"/>
          </w:tcPr>
          <w:p w14:paraId="4EBF812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Product registration, premises licensing, quality control, pharmacovigilance, promotion control</w:t>
            </w:r>
          </w:p>
        </w:tc>
        <w:tc>
          <w:tcPr>
            <w:tcW w:w="2057" w:type="dxa"/>
          </w:tcPr>
          <w:p w14:paraId="23CAC2C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Tanzania Medicines and Medical Devices Authority</w:t>
            </w:r>
          </w:p>
        </w:tc>
        <w:tc>
          <w:tcPr>
            <w:tcW w:w="2057" w:type="dxa"/>
          </w:tcPr>
          <w:p w14:paraId="349F580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Direct coverage on medicines control</w:t>
            </w:r>
          </w:p>
        </w:tc>
        <w:tc>
          <w:tcPr>
            <w:tcW w:w="2057" w:type="dxa"/>
          </w:tcPr>
          <w:p w14:paraId="600121E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Provides strong legal hooks for product registration, licensed premises, post-market surveillance, and regulation of promotion and restrictions.</w:t>
            </w:r>
          </w:p>
        </w:tc>
        <w:tc>
          <w:tcPr>
            <w:tcW w:w="2057" w:type="dxa"/>
          </w:tcPr>
          <w:p w14:paraId="267E12C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Informal markets and resource constraints undermine full control after products enter the market.</w:t>
            </w:r>
          </w:p>
        </w:tc>
      </w:tr>
      <w:tr w:rsidR="00627F48" w:rsidRPr="00627F48" w14:paraId="1FFDC9A5" w14:textId="77777777">
        <w:trPr>
          <w:jc w:val="center"/>
        </w:trPr>
        <w:tc>
          <w:tcPr>
            <w:tcW w:w="2057" w:type="dxa"/>
          </w:tcPr>
          <w:p w14:paraId="624A6A3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Public Health Act, Cap. 99 (R.E. 2023)</w:t>
            </w:r>
          </w:p>
        </w:tc>
        <w:tc>
          <w:tcPr>
            <w:tcW w:w="2057" w:type="dxa"/>
          </w:tcPr>
          <w:p w14:paraId="5BD94A2B"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Act / public health</w:t>
            </w:r>
          </w:p>
        </w:tc>
        <w:tc>
          <w:tcPr>
            <w:tcW w:w="2057" w:type="dxa"/>
          </w:tcPr>
          <w:p w14:paraId="39FF486F"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Food hygiene, safety, public-health safeguards, healthcare waste</w:t>
            </w:r>
          </w:p>
        </w:tc>
        <w:tc>
          <w:tcPr>
            <w:tcW w:w="2057" w:type="dxa"/>
          </w:tcPr>
          <w:p w14:paraId="118AAAFC"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Health authorities and local government</w:t>
            </w:r>
          </w:p>
        </w:tc>
        <w:tc>
          <w:tcPr>
            <w:tcW w:w="2057" w:type="dxa"/>
          </w:tcPr>
          <w:p w14:paraId="0FCE452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Indirect coverage</w:t>
            </w:r>
          </w:p>
        </w:tc>
        <w:tc>
          <w:tcPr>
            <w:tcW w:w="2057" w:type="dxa"/>
          </w:tcPr>
          <w:p w14:paraId="774017E6"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Supports general food safety and public-health protection relevant to residues and contaminated products.</w:t>
            </w:r>
          </w:p>
        </w:tc>
        <w:tc>
          <w:tcPr>
            <w:tcW w:w="2057" w:type="dxa"/>
          </w:tcPr>
          <w:p w14:paraId="70E1C2DF"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More explicit attention is given to general hygiene than to antimicrobial-specific risk pathways.</w:t>
            </w:r>
          </w:p>
        </w:tc>
      </w:tr>
      <w:tr w:rsidR="00627F48" w:rsidRPr="00627F48" w14:paraId="29D47F24" w14:textId="77777777">
        <w:trPr>
          <w:jc w:val="center"/>
        </w:trPr>
        <w:tc>
          <w:tcPr>
            <w:tcW w:w="2057" w:type="dxa"/>
          </w:tcPr>
          <w:p w14:paraId="662D705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 xml:space="preserve">Grazing-land and Animal Feed Resources Act, </w:t>
            </w:r>
            <w:r w:rsidRPr="00627F48">
              <w:rPr>
                <w:rFonts w:ascii="Times New Roman" w:hAnsi="Times New Roman" w:cs="Times New Roman"/>
                <w:sz w:val="24"/>
                <w:szCs w:val="24"/>
              </w:rPr>
              <w:lastRenderedPageBreak/>
              <w:t>Cap. 180</w:t>
            </w:r>
          </w:p>
        </w:tc>
        <w:tc>
          <w:tcPr>
            <w:tcW w:w="2057" w:type="dxa"/>
          </w:tcPr>
          <w:p w14:paraId="783AC82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Act / feed governance</w:t>
            </w:r>
          </w:p>
        </w:tc>
        <w:tc>
          <w:tcPr>
            <w:tcW w:w="2057" w:type="dxa"/>
          </w:tcPr>
          <w:p w14:paraId="021DCCF3"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 xml:space="preserve">Feed additives, feed control, medicated feed </w:t>
            </w:r>
            <w:r w:rsidRPr="00627F48">
              <w:rPr>
                <w:rFonts w:ascii="Times New Roman" w:hAnsi="Times New Roman" w:cs="Times New Roman"/>
                <w:sz w:val="24"/>
                <w:szCs w:val="24"/>
              </w:rPr>
              <w:lastRenderedPageBreak/>
              <w:t>pathway</w:t>
            </w:r>
          </w:p>
        </w:tc>
        <w:tc>
          <w:tcPr>
            <w:tcW w:w="2057" w:type="dxa"/>
          </w:tcPr>
          <w:p w14:paraId="4C4C4A16"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 xml:space="preserve">Competent authority for grazing lands and </w:t>
            </w:r>
            <w:r w:rsidRPr="00627F48">
              <w:rPr>
                <w:rFonts w:ascii="Times New Roman" w:hAnsi="Times New Roman" w:cs="Times New Roman"/>
                <w:sz w:val="24"/>
                <w:szCs w:val="24"/>
              </w:rPr>
              <w:lastRenderedPageBreak/>
              <w:t>animal feed resources</w:t>
            </w:r>
          </w:p>
        </w:tc>
        <w:tc>
          <w:tcPr>
            <w:tcW w:w="2057" w:type="dxa"/>
          </w:tcPr>
          <w:p w14:paraId="25C3169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Partial coverage</w:t>
            </w:r>
          </w:p>
        </w:tc>
        <w:tc>
          <w:tcPr>
            <w:tcW w:w="2057" w:type="dxa"/>
          </w:tcPr>
          <w:p w14:paraId="4846A59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 xml:space="preserve">Its feed-additive provisions can be used to govern </w:t>
            </w:r>
            <w:r w:rsidRPr="00627F48">
              <w:rPr>
                <w:rFonts w:ascii="Times New Roman" w:hAnsi="Times New Roman" w:cs="Times New Roman"/>
                <w:sz w:val="24"/>
                <w:szCs w:val="24"/>
              </w:rPr>
              <w:lastRenderedPageBreak/>
              <w:t>substances with medicinal effect in feed.</w:t>
            </w:r>
          </w:p>
        </w:tc>
        <w:tc>
          <w:tcPr>
            <w:tcW w:w="2057" w:type="dxa"/>
          </w:tcPr>
          <w:p w14:paraId="594AE8D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 xml:space="preserve">Weak operational control of in-feed antimicrobial use </w:t>
            </w:r>
            <w:r w:rsidRPr="00627F48">
              <w:rPr>
                <w:rFonts w:ascii="Times New Roman" w:hAnsi="Times New Roman" w:cs="Times New Roman"/>
                <w:sz w:val="24"/>
                <w:szCs w:val="24"/>
              </w:rPr>
              <w:lastRenderedPageBreak/>
              <w:t>leaves a notable governance gap.</w:t>
            </w:r>
          </w:p>
        </w:tc>
      </w:tr>
      <w:tr w:rsidR="00627F48" w:rsidRPr="00627F48" w14:paraId="06F10487" w14:textId="77777777">
        <w:trPr>
          <w:jc w:val="center"/>
        </w:trPr>
        <w:tc>
          <w:tcPr>
            <w:tcW w:w="2057" w:type="dxa"/>
          </w:tcPr>
          <w:p w14:paraId="581E508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Government Chemist Laboratory Authority Act, Cap. 177</w:t>
            </w:r>
          </w:p>
        </w:tc>
        <w:tc>
          <w:tcPr>
            <w:tcW w:w="2057" w:type="dxa"/>
          </w:tcPr>
          <w:p w14:paraId="1E04640D"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Act / laboratory and chemical control</w:t>
            </w:r>
          </w:p>
        </w:tc>
        <w:tc>
          <w:tcPr>
            <w:tcW w:w="2057" w:type="dxa"/>
          </w:tcPr>
          <w:p w14:paraId="297EF6C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Chemical analysis, import control, regulatory laboratory support</w:t>
            </w:r>
          </w:p>
        </w:tc>
        <w:tc>
          <w:tcPr>
            <w:tcW w:w="2057" w:type="dxa"/>
          </w:tcPr>
          <w:p w14:paraId="06CD0E2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Government Chemist Laboratory Authority</w:t>
            </w:r>
          </w:p>
        </w:tc>
        <w:tc>
          <w:tcPr>
            <w:tcW w:w="2057" w:type="dxa"/>
          </w:tcPr>
          <w:p w14:paraId="03A49EF3"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Indirect coverage</w:t>
            </w:r>
          </w:p>
        </w:tc>
        <w:tc>
          <w:tcPr>
            <w:tcW w:w="2057" w:type="dxa"/>
          </w:tcPr>
          <w:p w14:paraId="5D728D4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Relevant where veterinary antimicrobials are treated as regulated chemicals and for laboratory support to enforcement.</w:t>
            </w:r>
          </w:p>
        </w:tc>
        <w:tc>
          <w:tcPr>
            <w:tcW w:w="2057" w:type="dxa"/>
          </w:tcPr>
          <w:p w14:paraId="0EA2645D"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Does not provide clear farm-level stewardship or disposal procedures on its own.</w:t>
            </w:r>
          </w:p>
        </w:tc>
      </w:tr>
      <w:tr w:rsidR="00627F48" w:rsidRPr="00627F48" w14:paraId="07BCAFC8" w14:textId="77777777">
        <w:trPr>
          <w:jc w:val="center"/>
        </w:trPr>
        <w:tc>
          <w:tcPr>
            <w:tcW w:w="2057" w:type="dxa"/>
          </w:tcPr>
          <w:p w14:paraId="6747601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Environmental Management Act, Cap. 191 and Hazardous Waste Regulations</w:t>
            </w:r>
          </w:p>
        </w:tc>
        <w:tc>
          <w:tcPr>
            <w:tcW w:w="2057" w:type="dxa"/>
          </w:tcPr>
          <w:p w14:paraId="383F5E2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Act + regulations / environment</w:t>
            </w:r>
          </w:p>
        </w:tc>
        <w:tc>
          <w:tcPr>
            <w:tcW w:w="2057" w:type="dxa"/>
          </w:tcPr>
          <w:p w14:paraId="720ADBCC"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Hazardous waste, environmental protection, discharge control, permitting</w:t>
            </w:r>
          </w:p>
        </w:tc>
        <w:tc>
          <w:tcPr>
            <w:tcW w:w="2057" w:type="dxa"/>
          </w:tcPr>
          <w:p w14:paraId="259F09B6"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NEMC / Vice President’s Office</w:t>
            </w:r>
          </w:p>
        </w:tc>
        <w:tc>
          <w:tcPr>
            <w:tcW w:w="2057" w:type="dxa"/>
          </w:tcPr>
          <w:p w14:paraId="6144547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Partial direct coverage</w:t>
            </w:r>
          </w:p>
        </w:tc>
        <w:tc>
          <w:tcPr>
            <w:tcW w:w="2057" w:type="dxa"/>
          </w:tcPr>
          <w:p w14:paraId="1569792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Classifies pharmaceutical waste as hazardous and creates a permitting/control regime for handling and disposal.</w:t>
            </w:r>
          </w:p>
        </w:tc>
        <w:tc>
          <w:tcPr>
            <w:tcW w:w="2057" w:type="dxa"/>
          </w:tcPr>
          <w:p w14:paraId="0A58B24B"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On-farm practices such as household disposal and manure reuse remain weakly controlled in practice.</w:t>
            </w:r>
          </w:p>
        </w:tc>
      </w:tr>
      <w:tr w:rsidR="00627F48" w:rsidRPr="00627F48" w14:paraId="6E49FC24" w14:textId="77777777">
        <w:trPr>
          <w:jc w:val="center"/>
        </w:trPr>
        <w:tc>
          <w:tcPr>
            <w:tcW w:w="2057" w:type="dxa"/>
          </w:tcPr>
          <w:p w14:paraId="6CB0388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National Environmental Policy (2021)</w:t>
            </w:r>
          </w:p>
        </w:tc>
        <w:tc>
          <w:tcPr>
            <w:tcW w:w="2057" w:type="dxa"/>
          </w:tcPr>
          <w:p w14:paraId="3F75D86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Policy / environment</w:t>
            </w:r>
          </w:p>
        </w:tc>
        <w:tc>
          <w:tcPr>
            <w:tcW w:w="2057" w:type="dxa"/>
          </w:tcPr>
          <w:p w14:paraId="26FBD25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Environmental protection, pollution management, general waste governance</w:t>
            </w:r>
          </w:p>
        </w:tc>
        <w:tc>
          <w:tcPr>
            <w:tcW w:w="2057" w:type="dxa"/>
          </w:tcPr>
          <w:p w14:paraId="25C1352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Environmental sector authorities</w:t>
            </w:r>
          </w:p>
        </w:tc>
        <w:tc>
          <w:tcPr>
            <w:tcW w:w="2057" w:type="dxa"/>
          </w:tcPr>
          <w:p w14:paraId="002152C5"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Indirect coverage</w:t>
            </w:r>
          </w:p>
        </w:tc>
        <w:tc>
          <w:tcPr>
            <w:tcW w:w="2057" w:type="dxa"/>
          </w:tcPr>
          <w:p w14:paraId="1971001F"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Provides broad environmental policy direction relevant to livestock wastes and contamination pathways.</w:t>
            </w:r>
          </w:p>
        </w:tc>
        <w:tc>
          <w:tcPr>
            <w:tcW w:w="2057" w:type="dxa"/>
          </w:tcPr>
          <w:p w14:paraId="1F1E73B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Standards and AMR-specific operational procedures are not clearly articulated at farmer level.</w:t>
            </w:r>
          </w:p>
        </w:tc>
      </w:tr>
    </w:tbl>
    <w:p w14:paraId="275ADA21" w14:textId="77777777" w:rsidR="004F65F3" w:rsidRPr="00627F48" w:rsidRDefault="004F65F3">
      <w:pPr>
        <w:rPr>
          <w:rFonts w:ascii="Times New Roman" w:hAnsi="Times New Roman" w:cs="Times New Roman"/>
          <w:sz w:val="24"/>
          <w:szCs w:val="24"/>
        </w:rPr>
      </w:pPr>
    </w:p>
    <w:p w14:paraId="37FF31F4" w14:textId="77777777" w:rsidR="00627F48" w:rsidRPr="00627F48" w:rsidRDefault="00627F48">
      <w:pPr>
        <w:rPr>
          <w:rFonts w:ascii="Times New Roman" w:hAnsi="Times New Roman" w:cs="Times New Roman"/>
          <w:sz w:val="24"/>
          <w:szCs w:val="24"/>
        </w:rPr>
      </w:pPr>
    </w:p>
    <w:p w14:paraId="3E08EA7D" w14:textId="77777777" w:rsidR="00627F48" w:rsidRPr="00627F48" w:rsidRDefault="00627F48">
      <w:pPr>
        <w:rPr>
          <w:rFonts w:ascii="Times New Roman" w:hAnsi="Times New Roman" w:cs="Times New Roman"/>
          <w:sz w:val="24"/>
          <w:szCs w:val="24"/>
        </w:rPr>
      </w:pPr>
    </w:p>
    <w:p w14:paraId="636EF0F0" w14:textId="77777777" w:rsidR="004F65F3" w:rsidRPr="00627F48" w:rsidRDefault="00000000">
      <w:pPr>
        <w:pStyle w:val="Heading1"/>
        <w:rPr>
          <w:rFonts w:ascii="Times New Roman" w:hAnsi="Times New Roman" w:cs="Times New Roman"/>
          <w:color w:val="auto"/>
          <w:sz w:val="24"/>
          <w:szCs w:val="24"/>
        </w:rPr>
      </w:pPr>
      <w:r w:rsidRPr="00627F48">
        <w:rPr>
          <w:rFonts w:ascii="Times New Roman" w:hAnsi="Times New Roman" w:cs="Times New Roman"/>
          <w:color w:val="auto"/>
          <w:sz w:val="24"/>
          <w:szCs w:val="24"/>
        </w:rPr>
        <w:lastRenderedPageBreak/>
        <w:t>B. Cross-cutting institutional extraction matrix</w:t>
      </w:r>
    </w:p>
    <w:tbl>
      <w:tblPr>
        <w:tblStyle w:val="TableGrid"/>
        <w:tblW w:w="0" w:type="auto"/>
        <w:jc w:val="center"/>
        <w:tblLook w:val="04A0" w:firstRow="1" w:lastRow="0" w:firstColumn="1" w:lastColumn="0" w:noHBand="0" w:noVBand="1"/>
      </w:tblPr>
      <w:tblGrid>
        <w:gridCol w:w="2877"/>
        <w:gridCol w:w="2878"/>
        <w:gridCol w:w="2879"/>
        <w:gridCol w:w="2878"/>
        <w:gridCol w:w="2878"/>
      </w:tblGrid>
      <w:tr w:rsidR="00627F48" w:rsidRPr="00627F48" w14:paraId="2D1BD741" w14:textId="77777777" w:rsidTr="00627F48">
        <w:trPr>
          <w:tblHeader/>
          <w:jc w:val="center"/>
        </w:trPr>
        <w:tc>
          <w:tcPr>
            <w:tcW w:w="2880" w:type="dxa"/>
            <w:shd w:val="clear" w:color="auto" w:fill="C6D9F1" w:themeFill="text2" w:themeFillTint="33"/>
            <w:vAlign w:val="center"/>
          </w:tcPr>
          <w:p w14:paraId="321E15EF"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Institutional issue</w:t>
            </w:r>
          </w:p>
        </w:tc>
        <w:tc>
          <w:tcPr>
            <w:tcW w:w="2880" w:type="dxa"/>
            <w:shd w:val="clear" w:color="auto" w:fill="C6D9F1" w:themeFill="text2" w:themeFillTint="33"/>
            <w:vAlign w:val="center"/>
          </w:tcPr>
          <w:p w14:paraId="473C3722"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Main instruments</w:t>
            </w:r>
          </w:p>
        </w:tc>
        <w:tc>
          <w:tcPr>
            <w:tcW w:w="2880" w:type="dxa"/>
            <w:shd w:val="clear" w:color="auto" w:fill="C6D9F1" w:themeFill="text2" w:themeFillTint="33"/>
            <w:vAlign w:val="center"/>
          </w:tcPr>
          <w:p w14:paraId="6C1BEDDD"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What the documents provide</w:t>
            </w:r>
          </w:p>
        </w:tc>
        <w:tc>
          <w:tcPr>
            <w:tcW w:w="2880" w:type="dxa"/>
            <w:shd w:val="clear" w:color="auto" w:fill="C6D9F1" w:themeFill="text2" w:themeFillTint="33"/>
            <w:vAlign w:val="center"/>
          </w:tcPr>
          <w:p w14:paraId="06812150"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Gap seen in practice</w:t>
            </w:r>
          </w:p>
        </w:tc>
        <w:tc>
          <w:tcPr>
            <w:tcW w:w="2880" w:type="dxa"/>
            <w:shd w:val="clear" w:color="auto" w:fill="C6D9F1" w:themeFill="text2" w:themeFillTint="33"/>
            <w:vAlign w:val="center"/>
          </w:tcPr>
          <w:p w14:paraId="22E7AE7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Extraction implication</w:t>
            </w:r>
          </w:p>
        </w:tc>
      </w:tr>
      <w:tr w:rsidR="00627F48" w:rsidRPr="00627F48" w14:paraId="193B1ACE" w14:textId="77777777">
        <w:trPr>
          <w:jc w:val="center"/>
        </w:trPr>
        <w:tc>
          <w:tcPr>
            <w:tcW w:w="2880" w:type="dxa"/>
          </w:tcPr>
          <w:p w14:paraId="201DA6E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Licensing of professionals and premises</w:t>
            </w:r>
          </w:p>
        </w:tc>
        <w:tc>
          <w:tcPr>
            <w:tcW w:w="2880" w:type="dxa"/>
          </w:tcPr>
          <w:p w14:paraId="2C9931BB"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National Livestock Policy; Veterinary Act; TMDA Act</w:t>
            </w:r>
          </w:p>
        </w:tc>
        <w:tc>
          <w:tcPr>
            <w:tcW w:w="2880" w:type="dxa"/>
          </w:tcPr>
          <w:p w14:paraId="0C159ACB"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Professional registration, supervision, and licensed premises are required for lawful veterinary practice and medicine supply.</w:t>
            </w:r>
          </w:p>
        </w:tc>
        <w:tc>
          <w:tcPr>
            <w:tcW w:w="2880" w:type="dxa"/>
          </w:tcPr>
          <w:p w14:paraId="33E018A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Formal framework exists but field compliance is uneven; informal providers and inadequately supervised retail practices remain active.</w:t>
            </w:r>
          </w:p>
        </w:tc>
        <w:tc>
          <w:tcPr>
            <w:tcW w:w="2880" w:type="dxa"/>
          </w:tcPr>
          <w:p w14:paraId="371E1C9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Governance of access depends not only on law, but also on practical inspection capacity and service reach.</w:t>
            </w:r>
          </w:p>
        </w:tc>
      </w:tr>
      <w:tr w:rsidR="00627F48" w:rsidRPr="00627F48" w14:paraId="6C3B8F41" w14:textId="77777777">
        <w:trPr>
          <w:jc w:val="center"/>
        </w:trPr>
        <w:tc>
          <w:tcPr>
            <w:tcW w:w="2880" w:type="dxa"/>
          </w:tcPr>
          <w:p w14:paraId="0B801DC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Antimicrobial sale, distribution and storage</w:t>
            </w:r>
          </w:p>
        </w:tc>
        <w:tc>
          <w:tcPr>
            <w:tcW w:w="2880" w:type="dxa"/>
          </w:tcPr>
          <w:p w14:paraId="4D0396C3"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TMDA Act; Animal Diseases Act; feed legislation</w:t>
            </w:r>
          </w:p>
        </w:tc>
        <w:tc>
          <w:tcPr>
            <w:tcW w:w="2880" w:type="dxa"/>
          </w:tcPr>
          <w:p w14:paraId="1DBBA284"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Licensed premises, product registration, and inspection powers provide a basis for controlling access to veterinary antimicrobials.</w:t>
            </w:r>
          </w:p>
        </w:tc>
        <w:tc>
          <w:tcPr>
            <w:tcW w:w="2880" w:type="dxa"/>
          </w:tcPr>
          <w:p w14:paraId="4256561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Open-market and informal pathways still supply products outside normal oversight, including low-cost products of uncertain quality.</w:t>
            </w:r>
          </w:p>
        </w:tc>
        <w:tc>
          <w:tcPr>
            <w:tcW w:w="2880" w:type="dxa"/>
          </w:tcPr>
          <w:p w14:paraId="05320D7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Supply-chain control is one of the clearest legal areas, but also one of the biggest practical enforcement gaps.</w:t>
            </w:r>
          </w:p>
        </w:tc>
      </w:tr>
      <w:tr w:rsidR="00627F48" w:rsidRPr="00627F48" w14:paraId="658E3A27" w14:textId="77777777">
        <w:trPr>
          <w:jc w:val="center"/>
        </w:trPr>
        <w:tc>
          <w:tcPr>
            <w:tcW w:w="2880" w:type="dxa"/>
          </w:tcPr>
          <w:p w14:paraId="43F3A893"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Waste management and environmental disposal</w:t>
            </w:r>
          </w:p>
        </w:tc>
        <w:tc>
          <w:tcPr>
            <w:tcW w:w="2880" w:type="dxa"/>
          </w:tcPr>
          <w:p w14:paraId="7596E1E5"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Environmental Management Act and Regulations; Animal Diseases Act</w:t>
            </w:r>
          </w:p>
        </w:tc>
        <w:tc>
          <w:tcPr>
            <w:tcW w:w="2880" w:type="dxa"/>
          </w:tcPr>
          <w:p w14:paraId="38650DDF"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Pharmaceutical wastes are hazardous and animal-related wastes should be handled and disposed of through approved methods.</w:t>
            </w:r>
          </w:p>
        </w:tc>
        <w:tc>
          <w:tcPr>
            <w:tcW w:w="2880" w:type="dxa"/>
          </w:tcPr>
          <w:p w14:paraId="17D1EB45"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Unused medicines, containers, and manure-related residue pathways are not consistently managed at farm level.</w:t>
            </w:r>
          </w:p>
        </w:tc>
        <w:tc>
          <w:tcPr>
            <w:tcW w:w="2880" w:type="dxa"/>
          </w:tcPr>
          <w:p w14:paraId="6B3B85F0"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Environmental stewardship is acknowledged institutionally, but AMR-specific operationalisation remains weak.</w:t>
            </w:r>
          </w:p>
        </w:tc>
      </w:tr>
      <w:tr w:rsidR="00627F48" w:rsidRPr="00627F48" w14:paraId="6C7CFFA5" w14:textId="77777777">
        <w:trPr>
          <w:jc w:val="center"/>
        </w:trPr>
        <w:tc>
          <w:tcPr>
            <w:tcW w:w="2880" w:type="dxa"/>
          </w:tcPr>
          <w:p w14:paraId="1C59CEA6"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Product quality and post-market surveillance</w:t>
            </w:r>
          </w:p>
        </w:tc>
        <w:tc>
          <w:tcPr>
            <w:tcW w:w="2880" w:type="dxa"/>
          </w:tcPr>
          <w:p w14:paraId="3C598009"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TMDA Act; Government Chemist support</w:t>
            </w:r>
          </w:p>
        </w:tc>
        <w:tc>
          <w:tcPr>
            <w:tcW w:w="2880" w:type="dxa"/>
          </w:tcPr>
          <w:p w14:paraId="5091A8EB"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Legal basis exists for registration, laboratory testing, pharmacovigilance, and post-market surveillance.</w:t>
            </w:r>
          </w:p>
        </w:tc>
        <w:tc>
          <w:tcPr>
            <w:tcW w:w="2880" w:type="dxa"/>
          </w:tcPr>
          <w:p w14:paraId="7F0A1C6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Import control is stronger than post-entry market control; routine surveillance is constrained by funding and logistics.</w:t>
            </w:r>
          </w:p>
        </w:tc>
        <w:tc>
          <w:tcPr>
            <w:tcW w:w="2880" w:type="dxa"/>
          </w:tcPr>
          <w:p w14:paraId="41F198B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Quality governance requires sustained financing and decentralised enforcement support.</w:t>
            </w:r>
          </w:p>
        </w:tc>
      </w:tr>
      <w:tr w:rsidR="00627F48" w:rsidRPr="00627F48" w14:paraId="391F88D9" w14:textId="77777777">
        <w:trPr>
          <w:jc w:val="center"/>
        </w:trPr>
        <w:tc>
          <w:tcPr>
            <w:tcW w:w="2880" w:type="dxa"/>
          </w:tcPr>
          <w:p w14:paraId="1268423F"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Animal health services and extension</w:t>
            </w:r>
          </w:p>
        </w:tc>
        <w:tc>
          <w:tcPr>
            <w:tcW w:w="2880" w:type="dxa"/>
          </w:tcPr>
          <w:p w14:paraId="44C2348B"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National Livestock Policy; Veterinary Act</w:t>
            </w:r>
          </w:p>
        </w:tc>
        <w:tc>
          <w:tcPr>
            <w:tcW w:w="2880" w:type="dxa"/>
          </w:tcPr>
          <w:p w14:paraId="6966812D"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Government and stakeholders are expected to strengthen service delivery, infrastructure, and veterinary public health systems.</w:t>
            </w:r>
          </w:p>
        </w:tc>
        <w:tc>
          <w:tcPr>
            <w:tcW w:w="2880" w:type="dxa"/>
          </w:tcPr>
          <w:p w14:paraId="1C767C8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Shortages of professionals, weak infrastructure, and limited village-level support push farmers toward self-treatment or paraprofessional dependence.</w:t>
            </w:r>
          </w:p>
        </w:tc>
        <w:tc>
          <w:tcPr>
            <w:tcW w:w="2880" w:type="dxa"/>
          </w:tcPr>
          <w:p w14:paraId="08943770"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Service delivery is a core governance issue because prudent AMU relies on supervised access and advice.</w:t>
            </w:r>
          </w:p>
        </w:tc>
      </w:tr>
      <w:tr w:rsidR="00627F48" w:rsidRPr="00627F48" w14:paraId="28AAEFF3" w14:textId="77777777">
        <w:trPr>
          <w:jc w:val="center"/>
        </w:trPr>
        <w:tc>
          <w:tcPr>
            <w:tcW w:w="2880" w:type="dxa"/>
          </w:tcPr>
          <w:p w14:paraId="09D1B96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Diagnostics and laboratory support</w:t>
            </w:r>
          </w:p>
        </w:tc>
        <w:tc>
          <w:tcPr>
            <w:tcW w:w="2880" w:type="dxa"/>
          </w:tcPr>
          <w:p w14:paraId="4DC2BD0C"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Animal Diseases Act; NAP-AMR; TVLA mandate</w:t>
            </w:r>
          </w:p>
        </w:tc>
        <w:tc>
          <w:tcPr>
            <w:tcW w:w="2880" w:type="dxa"/>
          </w:tcPr>
          <w:p w14:paraId="42DB4F46"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 xml:space="preserve">National veterinary laboratory systems and AMR/AMU surveillance are recognised as important for disease control and </w:t>
            </w:r>
            <w:r w:rsidRPr="00627F48">
              <w:rPr>
                <w:rFonts w:ascii="Times New Roman" w:hAnsi="Times New Roman" w:cs="Times New Roman"/>
                <w:sz w:val="24"/>
                <w:szCs w:val="24"/>
              </w:rPr>
              <w:lastRenderedPageBreak/>
              <w:t>stewardship.</w:t>
            </w:r>
          </w:p>
        </w:tc>
        <w:tc>
          <w:tcPr>
            <w:tcW w:w="2880" w:type="dxa"/>
          </w:tcPr>
          <w:p w14:paraId="727D091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lastRenderedPageBreak/>
              <w:t>Laboratories are limited, distant, and costly, so treatment decisions remain mostly empirical.</w:t>
            </w:r>
          </w:p>
        </w:tc>
        <w:tc>
          <w:tcPr>
            <w:tcW w:w="2880" w:type="dxa"/>
          </w:tcPr>
          <w:p w14:paraId="41D1CCCF"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The institutional framework recognises diagnostics, but service availability limits uptake.</w:t>
            </w:r>
          </w:p>
        </w:tc>
      </w:tr>
      <w:tr w:rsidR="00627F48" w:rsidRPr="00627F48" w14:paraId="4CB0955D" w14:textId="77777777">
        <w:trPr>
          <w:jc w:val="center"/>
        </w:trPr>
        <w:tc>
          <w:tcPr>
            <w:tcW w:w="2880" w:type="dxa"/>
          </w:tcPr>
          <w:p w14:paraId="40C41372"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Food safety and residue control</w:t>
            </w:r>
          </w:p>
        </w:tc>
        <w:tc>
          <w:tcPr>
            <w:tcW w:w="2880" w:type="dxa"/>
          </w:tcPr>
          <w:p w14:paraId="3D2AD1E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National Livestock Policy; Public Health Act; TMDA Act; NAP-AMR</w:t>
            </w:r>
          </w:p>
        </w:tc>
        <w:tc>
          <w:tcPr>
            <w:tcW w:w="2880" w:type="dxa"/>
          </w:tcPr>
          <w:p w14:paraId="2EC394CA"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Food hygiene, public-health protection, and residue surveillance in animal-source foods are institutionally recognised.</w:t>
            </w:r>
          </w:p>
        </w:tc>
        <w:tc>
          <w:tcPr>
            <w:tcW w:w="2880" w:type="dxa"/>
          </w:tcPr>
          <w:p w14:paraId="202FC541"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Withdrawal non-compliance and limited testing capacity mean residues can still reach consumers.</w:t>
            </w:r>
          </w:p>
        </w:tc>
        <w:tc>
          <w:tcPr>
            <w:tcW w:w="2880" w:type="dxa"/>
          </w:tcPr>
          <w:p w14:paraId="63AF071B"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Food safety provisions are broader than antimicrobial-specific enforcement, leaving residue risks insufficiently controlled.</w:t>
            </w:r>
          </w:p>
        </w:tc>
      </w:tr>
      <w:tr w:rsidR="00627F48" w:rsidRPr="00627F48" w14:paraId="688AB423" w14:textId="77777777">
        <w:trPr>
          <w:jc w:val="center"/>
        </w:trPr>
        <w:tc>
          <w:tcPr>
            <w:tcW w:w="2880" w:type="dxa"/>
          </w:tcPr>
          <w:p w14:paraId="2D5EE29C"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One Health coordination</w:t>
            </w:r>
          </w:p>
        </w:tc>
        <w:tc>
          <w:tcPr>
            <w:tcW w:w="2880" w:type="dxa"/>
          </w:tcPr>
          <w:p w14:paraId="2C283BA3"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NAP-AMR; cross-sector mandates</w:t>
            </w:r>
          </w:p>
        </w:tc>
        <w:tc>
          <w:tcPr>
            <w:tcW w:w="2880" w:type="dxa"/>
          </w:tcPr>
          <w:p w14:paraId="1E84A233"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One Health governance is explicitly recognised through multisectoral coordination, surveillance, and stewardship goals.</w:t>
            </w:r>
          </w:p>
        </w:tc>
        <w:tc>
          <w:tcPr>
            <w:tcW w:w="2880" w:type="dxa"/>
          </w:tcPr>
          <w:p w14:paraId="614F4B0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Roles remain fragmented across livestock, health, environment, and agriculture sectors, with weak routine coordination.</w:t>
            </w:r>
          </w:p>
        </w:tc>
        <w:tc>
          <w:tcPr>
            <w:tcW w:w="2880" w:type="dxa"/>
          </w:tcPr>
          <w:p w14:paraId="39FE36D7"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The study points to a need for clearer, funded, and regular inter-sectoral engagement mechanisms.</w:t>
            </w:r>
          </w:p>
        </w:tc>
      </w:tr>
      <w:tr w:rsidR="00000000" w:rsidRPr="00627F48" w14:paraId="3D96DF87" w14:textId="77777777">
        <w:trPr>
          <w:jc w:val="center"/>
        </w:trPr>
        <w:tc>
          <w:tcPr>
            <w:tcW w:w="2880" w:type="dxa"/>
          </w:tcPr>
          <w:p w14:paraId="2C2DA158"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Non-therapeutic AMU and feed use</w:t>
            </w:r>
          </w:p>
        </w:tc>
        <w:tc>
          <w:tcPr>
            <w:tcW w:w="2880" w:type="dxa"/>
          </w:tcPr>
          <w:p w14:paraId="6D9385C2"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TMDA Act; Grazing-land and Animal Feed Resources Act; NAP-AMR</w:t>
            </w:r>
          </w:p>
        </w:tc>
        <w:tc>
          <w:tcPr>
            <w:tcW w:w="2880" w:type="dxa"/>
          </w:tcPr>
          <w:p w14:paraId="4F7F46A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Legal hooks exist to restrict promotion, regulate substances, and review policies affecting AMU in animals and feed.</w:t>
            </w:r>
          </w:p>
        </w:tc>
        <w:tc>
          <w:tcPr>
            <w:tcW w:w="2880" w:type="dxa"/>
          </w:tcPr>
          <w:p w14:paraId="60C76DE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Operational rules and enforcement against growth-promotion, routine prophylaxis, and medicated-feed misuse remain weak.</w:t>
            </w:r>
          </w:p>
        </w:tc>
        <w:tc>
          <w:tcPr>
            <w:tcW w:w="2880" w:type="dxa"/>
          </w:tcPr>
          <w:p w14:paraId="5DD132CE"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sz w:val="24"/>
                <w:szCs w:val="24"/>
              </w:rPr>
              <w:t>This is a major under-governed area where policy revision and enforceable guidance are needed.</w:t>
            </w:r>
          </w:p>
        </w:tc>
      </w:tr>
    </w:tbl>
    <w:p w14:paraId="600A1DF3" w14:textId="77777777" w:rsidR="004F65F3" w:rsidRPr="00627F48" w:rsidRDefault="004F65F3">
      <w:pPr>
        <w:rPr>
          <w:rFonts w:ascii="Times New Roman" w:hAnsi="Times New Roman" w:cs="Times New Roman"/>
          <w:sz w:val="24"/>
          <w:szCs w:val="24"/>
        </w:rPr>
      </w:pPr>
    </w:p>
    <w:p w14:paraId="7F2BE04B" w14:textId="77777777" w:rsidR="004F65F3" w:rsidRPr="00627F48" w:rsidRDefault="00000000">
      <w:pPr>
        <w:rPr>
          <w:rFonts w:ascii="Times New Roman" w:hAnsi="Times New Roman" w:cs="Times New Roman"/>
          <w:sz w:val="24"/>
          <w:szCs w:val="24"/>
        </w:rPr>
      </w:pPr>
      <w:r w:rsidRPr="00627F48">
        <w:rPr>
          <w:rFonts w:ascii="Times New Roman" w:hAnsi="Times New Roman" w:cs="Times New Roman"/>
          <w:b/>
          <w:sz w:val="24"/>
          <w:szCs w:val="24"/>
        </w:rPr>
        <w:t xml:space="preserve">Interpretive note: </w:t>
      </w:r>
      <w:r w:rsidRPr="00627F48">
        <w:rPr>
          <w:rFonts w:ascii="Times New Roman" w:hAnsi="Times New Roman" w:cs="Times New Roman"/>
          <w:sz w:val="24"/>
          <w:szCs w:val="24"/>
        </w:rPr>
        <w:t>Coverage assessment in this summary uses the manuscript’s logic of direct, indirect, or partial support for prudent antimicrobial use. It should be read together with field evidence showing how implementation diverges from formal intent.</w:t>
      </w:r>
    </w:p>
    <w:sectPr w:rsidR="004F65F3" w:rsidRPr="00627F48" w:rsidSect="00034616">
      <w:pgSz w:w="15840" w:h="12240" w:orient="landscape"/>
      <w:pgMar w:top="864" w:right="720" w:bottom="86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3674772">
    <w:abstractNumId w:val="8"/>
  </w:num>
  <w:num w:numId="2" w16cid:durableId="38091249">
    <w:abstractNumId w:val="6"/>
  </w:num>
  <w:num w:numId="3" w16cid:durableId="758406191">
    <w:abstractNumId w:val="5"/>
  </w:num>
  <w:num w:numId="4" w16cid:durableId="1530531764">
    <w:abstractNumId w:val="4"/>
  </w:num>
  <w:num w:numId="5" w16cid:durableId="1448307914">
    <w:abstractNumId w:val="7"/>
  </w:num>
  <w:num w:numId="6" w16cid:durableId="1712530252">
    <w:abstractNumId w:val="3"/>
  </w:num>
  <w:num w:numId="7" w16cid:durableId="1786850204">
    <w:abstractNumId w:val="2"/>
  </w:num>
  <w:num w:numId="8" w16cid:durableId="1153136220">
    <w:abstractNumId w:val="1"/>
  </w:num>
  <w:num w:numId="9" w16cid:durableId="32632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6191"/>
    <w:rsid w:val="0015074B"/>
    <w:rsid w:val="0029639D"/>
    <w:rsid w:val="00326F90"/>
    <w:rsid w:val="004F65F3"/>
    <w:rsid w:val="00627F4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C20896"/>
  <w14:defaultImageDpi w14:val="300"/>
  <w15:docId w15:val="{B30E857D-05F6-4ABF-8452-FDF433AC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1421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lazaro kapella</cp:lastModifiedBy>
  <cp:revision>2</cp:revision>
  <dcterms:created xsi:type="dcterms:W3CDTF">2026-04-16T11:57:00Z</dcterms:created>
  <dcterms:modified xsi:type="dcterms:W3CDTF">2026-04-16T11:57:00Z</dcterms:modified>
  <cp:category/>
</cp:coreProperties>
</file>