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57E940" w14:textId="77777777" w:rsidR="00C83EE8" w:rsidRPr="00456F5F" w:rsidRDefault="00000000">
      <w:pPr>
        <w:jc w:val="center"/>
        <w:rPr>
          <w:rFonts w:ascii="Times New Roman" w:hAnsi="Times New Roman" w:cs="Times New Roman"/>
          <w:sz w:val="24"/>
          <w:szCs w:val="24"/>
        </w:rPr>
      </w:pPr>
      <w:r w:rsidRPr="00456F5F">
        <w:rPr>
          <w:rFonts w:ascii="Times New Roman" w:hAnsi="Times New Roman" w:cs="Times New Roman"/>
          <w:b/>
          <w:sz w:val="24"/>
          <w:szCs w:val="24"/>
        </w:rPr>
        <w:t>THEMATIC CODING FRAMEWORKS</w:t>
      </w:r>
      <w:r w:rsidRPr="00456F5F">
        <w:rPr>
          <w:rFonts w:ascii="Times New Roman" w:hAnsi="Times New Roman" w:cs="Times New Roman"/>
          <w:b/>
          <w:sz w:val="24"/>
          <w:szCs w:val="24"/>
        </w:rPr>
        <w:br/>
        <w:t>Interviews and Focus Group Discussions</w:t>
      </w:r>
    </w:p>
    <w:p w14:paraId="2F4C6560" w14:textId="7FF0B5BF" w:rsidR="00C83EE8" w:rsidRPr="00456F5F" w:rsidRDefault="00000000">
      <w:pPr>
        <w:rPr>
          <w:rFonts w:ascii="Times New Roman" w:hAnsi="Times New Roman" w:cs="Times New Roman"/>
          <w:sz w:val="24"/>
          <w:szCs w:val="24"/>
        </w:rPr>
      </w:pPr>
      <w:r w:rsidRPr="00456F5F">
        <w:rPr>
          <w:rFonts w:ascii="Times New Roman" w:hAnsi="Times New Roman" w:cs="Times New Roman"/>
          <w:sz w:val="24"/>
          <w:szCs w:val="24"/>
        </w:rPr>
        <w:t xml:space="preserve">This document provides analysis-ready thematic coding frameworks synthesised from the interview and focus group discussion findings presented in the study. </w:t>
      </w:r>
    </w:p>
    <w:p w14:paraId="20D9DEA8" w14:textId="77777777" w:rsidR="00C83EE8" w:rsidRPr="00456F5F" w:rsidRDefault="00000000">
      <w:pPr>
        <w:pStyle w:val="Heading1"/>
        <w:rPr>
          <w:rFonts w:ascii="Times New Roman" w:hAnsi="Times New Roman" w:cs="Times New Roman"/>
          <w:color w:val="auto"/>
          <w:sz w:val="24"/>
          <w:szCs w:val="24"/>
        </w:rPr>
      </w:pPr>
      <w:r w:rsidRPr="00456F5F">
        <w:rPr>
          <w:rFonts w:ascii="Times New Roman" w:hAnsi="Times New Roman" w:cs="Times New Roman"/>
          <w:color w:val="auto"/>
          <w:sz w:val="24"/>
          <w:szCs w:val="24"/>
        </w:rPr>
        <w:t>A. Coding framework for in-depth interviews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137"/>
        <w:gridCol w:w="2241"/>
        <w:gridCol w:w="3656"/>
        <w:gridCol w:w="2092"/>
        <w:gridCol w:w="2118"/>
        <w:gridCol w:w="2146"/>
      </w:tblGrid>
      <w:tr w:rsidR="00456F5F" w:rsidRPr="00456F5F" w14:paraId="075D60E1" w14:textId="77777777" w:rsidTr="00456F5F">
        <w:trPr>
          <w:tblHeader/>
          <w:jc w:val="center"/>
        </w:trPr>
        <w:tc>
          <w:tcPr>
            <w:tcW w:w="2400" w:type="dxa"/>
            <w:shd w:val="clear" w:color="auto" w:fill="C6D9F1" w:themeFill="text2" w:themeFillTint="33"/>
            <w:vAlign w:val="center"/>
          </w:tcPr>
          <w:p w14:paraId="613F9125" w14:textId="77777777" w:rsidR="00C83EE8" w:rsidRPr="00456F5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F5F">
              <w:rPr>
                <w:rFonts w:ascii="Times New Roman" w:hAnsi="Times New Roman" w:cs="Times New Roman"/>
                <w:b/>
                <w:sz w:val="24"/>
                <w:szCs w:val="24"/>
              </w:rPr>
              <w:t>Major theme</w:t>
            </w:r>
          </w:p>
        </w:tc>
        <w:tc>
          <w:tcPr>
            <w:tcW w:w="2400" w:type="dxa"/>
            <w:shd w:val="clear" w:color="auto" w:fill="C6D9F1" w:themeFill="text2" w:themeFillTint="33"/>
            <w:vAlign w:val="center"/>
          </w:tcPr>
          <w:p w14:paraId="5EB02888" w14:textId="77777777" w:rsidR="00C83EE8" w:rsidRPr="00456F5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F5F">
              <w:rPr>
                <w:rFonts w:ascii="Times New Roman" w:hAnsi="Times New Roman" w:cs="Times New Roman"/>
                <w:b/>
                <w:sz w:val="24"/>
                <w:szCs w:val="24"/>
              </w:rPr>
              <w:t>Sub-theme</w:t>
            </w:r>
          </w:p>
        </w:tc>
        <w:tc>
          <w:tcPr>
            <w:tcW w:w="2400" w:type="dxa"/>
            <w:shd w:val="clear" w:color="auto" w:fill="C6D9F1" w:themeFill="text2" w:themeFillTint="33"/>
            <w:vAlign w:val="center"/>
          </w:tcPr>
          <w:p w14:paraId="270FDF6C" w14:textId="77777777" w:rsidR="00C83EE8" w:rsidRPr="00456F5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F5F">
              <w:rPr>
                <w:rFonts w:ascii="Times New Roman" w:hAnsi="Times New Roman" w:cs="Times New Roman"/>
                <w:b/>
                <w:sz w:val="24"/>
                <w:szCs w:val="24"/>
              </w:rPr>
              <w:t>Code label</w:t>
            </w:r>
          </w:p>
        </w:tc>
        <w:tc>
          <w:tcPr>
            <w:tcW w:w="2400" w:type="dxa"/>
            <w:shd w:val="clear" w:color="auto" w:fill="C6D9F1" w:themeFill="text2" w:themeFillTint="33"/>
            <w:vAlign w:val="center"/>
          </w:tcPr>
          <w:p w14:paraId="26FAE8EF" w14:textId="77777777" w:rsidR="00C83EE8" w:rsidRPr="00456F5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F5F">
              <w:rPr>
                <w:rFonts w:ascii="Times New Roman" w:hAnsi="Times New Roman" w:cs="Times New Roman"/>
                <w:b/>
                <w:sz w:val="24"/>
                <w:szCs w:val="24"/>
              </w:rPr>
              <w:t>Operational definition</w:t>
            </w:r>
          </w:p>
        </w:tc>
        <w:tc>
          <w:tcPr>
            <w:tcW w:w="2400" w:type="dxa"/>
            <w:shd w:val="clear" w:color="auto" w:fill="C6D9F1" w:themeFill="text2" w:themeFillTint="33"/>
            <w:vAlign w:val="center"/>
          </w:tcPr>
          <w:p w14:paraId="02C6E33B" w14:textId="77777777" w:rsidR="00C83EE8" w:rsidRPr="00456F5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F5F">
              <w:rPr>
                <w:rFonts w:ascii="Times New Roman" w:hAnsi="Times New Roman" w:cs="Times New Roman"/>
                <w:b/>
                <w:sz w:val="24"/>
                <w:szCs w:val="24"/>
              </w:rPr>
              <w:t>Indicative evidence from study findings</w:t>
            </w:r>
          </w:p>
        </w:tc>
        <w:tc>
          <w:tcPr>
            <w:tcW w:w="2400" w:type="dxa"/>
            <w:shd w:val="clear" w:color="auto" w:fill="C6D9F1" w:themeFill="text2" w:themeFillTint="33"/>
            <w:vAlign w:val="center"/>
          </w:tcPr>
          <w:p w14:paraId="23081013" w14:textId="77777777" w:rsidR="00C83EE8" w:rsidRPr="00456F5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F5F">
              <w:rPr>
                <w:rFonts w:ascii="Times New Roman" w:hAnsi="Times New Roman" w:cs="Times New Roman"/>
                <w:b/>
                <w:sz w:val="24"/>
                <w:szCs w:val="24"/>
              </w:rPr>
              <w:t>Analytical implication</w:t>
            </w:r>
          </w:p>
        </w:tc>
      </w:tr>
      <w:tr w:rsidR="00456F5F" w:rsidRPr="00456F5F" w14:paraId="2F29A72B" w14:textId="77777777">
        <w:trPr>
          <w:jc w:val="center"/>
        </w:trPr>
        <w:tc>
          <w:tcPr>
            <w:tcW w:w="2400" w:type="dxa"/>
          </w:tcPr>
          <w:p w14:paraId="245A5628" w14:textId="77777777" w:rsidR="00C83EE8" w:rsidRPr="00456F5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F5F">
              <w:rPr>
                <w:rFonts w:ascii="Times New Roman" w:hAnsi="Times New Roman" w:cs="Times New Roman"/>
                <w:sz w:val="24"/>
                <w:szCs w:val="24"/>
              </w:rPr>
              <w:t>Governance and institutional implementation gap</w:t>
            </w:r>
          </w:p>
        </w:tc>
        <w:tc>
          <w:tcPr>
            <w:tcW w:w="2400" w:type="dxa"/>
          </w:tcPr>
          <w:p w14:paraId="38A7FBC6" w14:textId="77777777" w:rsidR="00C83EE8" w:rsidRPr="00456F5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F5F">
              <w:rPr>
                <w:rFonts w:ascii="Times New Roman" w:hAnsi="Times New Roman" w:cs="Times New Roman"/>
                <w:sz w:val="24"/>
                <w:szCs w:val="24"/>
              </w:rPr>
              <w:t>Weak enforcement of formal rules</w:t>
            </w:r>
          </w:p>
        </w:tc>
        <w:tc>
          <w:tcPr>
            <w:tcW w:w="2400" w:type="dxa"/>
          </w:tcPr>
          <w:p w14:paraId="1F729A19" w14:textId="77777777" w:rsidR="00C83EE8" w:rsidRPr="00456F5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F5F">
              <w:rPr>
                <w:rFonts w:ascii="Times New Roman" w:hAnsi="Times New Roman" w:cs="Times New Roman"/>
                <w:sz w:val="24"/>
                <w:szCs w:val="24"/>
              </w:rPr>
              <w:t>KII_GOV_ENFORCE_GAP</w:t>
            </w:r>
          </w:p>
        </w:tc>
        <w:tc>
          <w:tcPr>
            <w:tcW w:w="2400" w:type="dxa"/>
          </w:tcPr>
          <w:p w14:paraId="0A8E6948" w14:textId="77777777" w:rsidR="00C83EE8" w:rsidRPr="00456F5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F5F">
              <w:rPr>
                <w:rFonts w:ascii="Times New Roman" w:hAnsi="Times New Roman" w:cs="Times New Roman"/>
                <w:sz w:val="24"/>
                <w:szCs w:val="24"/>
              </w:rPr>
              <w:t>Statements showing that laws, regulations, or policies exist but are weakly implemented or monitored in practice.</w:t>
            </w:r>
          </w:p>
        </w:tc>
        <w:tc>
          <w:tcPr>
            <w:tcW w:w="2400" w:type="dxa"/>
          </w:tcPr>
          <w:p w14:paraId="1469AB7A" w14:textId="77777777" w:rsidR="00C83EE8" w:rsidRPr="00456F5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F5F">
              <w:rPr>
                <w:rFonts w:ascii="Times New Roman" w:hAnsi="Times New Roman" w:cs="Times New Roman"/>
                <w:sz w:val="24"/>
                <w:szCs w:val="24"/>
              </w:rPr>
              <w:t>Officials described formal mandates for prudent AMU, but noted poor last-mile enforcement, fragmented oversight, and limited compliance monitoring.</w:t>
            </w:r>
          </w:p>
        </w:tc>
        <w:tc>
          <w:tcPr>
            <w:tcW w:w="2400" w:type="dxa"/>
          </w:tcPr>
          <w:p w14:paraId="34E42344" w14:textId="77777777" w:rsidR="00C83EE8" w:rsidRPr="00456F5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F5F">
              <w:rPr>
                <w:rFonts w:ascii="Times New Roman" w:hAnsi="Times New Roman" w:cs="Times New Roman"/>
                <w:sz w:val="24"/>
                <w:szCs w:val="24"/>
              </w:rPr>
              <w:t>Highlights the policy-practice gap and supports the argument that formal institutions are only partially operationalised.</w:t>
            </w:r>
          </w:p>
        </w:tc>
      </w:tr>
      <w:tr w:rsidR="00456F5F" w:rsidRPr="00456F5F" w14:paraId="74AA053E" w14:textId="77777777">
        <w:trPr>
          <w:jc w:val="center"/>
        </w:trPr>
        <w:tc>
          <w:tcPr>
            <w:tcW w:w="2400" w:type="dxa"/>
          </w:tcPr>
          <w:p w14:paraId="6BFEF0B0" w14:textId="77777777" w:rsidR="00C83EE8" w:rsidRPr="00456F5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F5F">
              <w:rPr>
                <w:rFonts w:ascii="Times New Roman" w:hAnsi="Times New Roman" w:cs="Times New Roman"/>
                <w:sz w:val="24"/>
                <w:szCs w:val="24"/>
              </w:rPr>
              <w:t>Animal health service capacity</w:t>
            </w:r>
          </w:p>
        </w:tc>
        <w:tc>
          <w:tcPr>
            <w:tcW w:w="2400" w:type="dxa"/>
          </w:tcPr>
          <w:p w14:paraId="2E648880" w14:textId="77777777" w:rsidR="00C83EE8" w:rsidRPr="00456F5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F5F">
              <w:rPr>
                <w:rFonts w:ascii="Times New Roman" w:hAnsi="Times New Roman" w:cs="Times New Roman"/>
                <w:sz w:val="24"/>
                <w:szCs w:val="24"/>
              </w:rPr>
              <w:t>Insufficient professional workforce</w:t>
            </w:r>
          </w:p>
        </w:tc>
        <w:tc>
          <w:tcPr>
            <w:tcW w:w="2400" w:type="dxa"/>
          </w:tcPr>
          <w:p w14:paraId="61D55404" w14:textId="77777777" w:rsidR="00C83EE8" w:rsidRPr="00456F5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F5F">
              <w:rPr>
                <w:rFonts w:ascii="Times New Roman" w:hAnsi="Times New Roman" w:cs="Times New Roman"/>
                <w:sz w:val="24"/>
                <w:szCs w:val="24"/>
              </w:rPr>
              <w:t>KII_SERVICE_HR_SHORTAGE</w:t>
            </w:r>
          </w:p>
        </w:tc>
        <w:tc>
          <w:tcPr>
            <w:tcW w:w="2400" w:type="dxa"/>
          </w:tcPr>
          <w:p w14:paraId="5004FC29" w14:textId="77777777" w:rsidR="00C83EE8" w:rsidRPr="00456F5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F5F">
              <w:rPr>
                <w:rFonts w:ascii="Times New Roman" w:hAnsi="Times New Roman" w:cs="Times New Roman"/>
                <w:sz w:val="24"/>
                <w:szCs w:val="24"/>
              </w:rPr>
              <w:t>References to shortages of veterinarians, overstretched staff, and limited reach of qualified providers.</w:t>
            </w:r>
          </w:p>
        </w:tc>
        <w:tc>
          <w:tcPr>
            <w:tcW w:w="2400" w:type="dxa"/>
          </w:tcPr>
          <w:p w14:paraId="6A4AA182" w14:textId="77777777" w:rsidR="00C83EE8" w:rsidRPr="00456F5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F5F">
              <w:rPr>
                <w:rFonts w:ascii="Times New Roman" w:hAnsi="Times New Roman" w:cs="Times New Roman"/>
                <w:sz w:val="24"/>
                <w:szCs w:val="24"/>
              </w:rPr>
              <w:t>Officials acknowledged inadequate numbers of animal health professionals, creating space for unqualified or informal providers.</w:t>
            </w:r>
          </w:p>
        </w:tc>
        <w:tc>
          <w:tcPr>
            <w:tcW w:w="2400" w:type="dxa"/>
          </w:tcPr>
          <w:p w14:paraId="4C22F8A7" w14:textId="77777777" w:rsidR="00C83EE8" w:rsidRPr="00456F5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F5F">
              <w:rPr>
                <w:rFonts w:ascii="Times New Roman" w:hAnsi="Times New Roman" w:cs="Times New Roman"/>
                <w:sz w:val="24"/>
                <w:szCs w:val="24"/>
              </w:rPr>
              <w:t>Supports the interpretation that service shortages drive unsupervised antimicrobial access.</w:t>
            </w:r>
          </w:p>
        </w:tc>
      </w:tr>
      <w:tr w:rsidR="00456F5F" w:rsidRPr="00456F5F" w14:paraId="4AFA82FF" w14:textId="77777777">
        <w:trPr>
          <w:jc w:val="center"/>
        </w:trPr>
        <w:tc>
          <w:tcPr>
            <w:tcW w:w="2400" w:type="dxa"/>
          </w:tcPr>
          <w:p w14:paraId="39980EEA" w14:textId="77777777" w:rsidR="00C83EE8" w:rsidRPr="00456F5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F5F">
              <w:rPr>
                <w:rFonts w:ascii="Times New Roman" w:hAnsi="Times New Roman" w:cs="Times New Roman"/>
                <w:sz w:val="24"/>
                <w:szCs w:val="24"/>
              </w:rPr>
              <w:t>Animal health service capacity</w:t>
            </w:r>
          </w:p>
        </w:tc>
        <w:tc>
          <w:tcPr>
            <w:tcW w:w="2400" w:type="dxa"/>
          </w:tcPr>
          <w:p w14:paraId="1980F65C" w14:textId="77777777" w:rsidR="00C83EE8" w:rsidRPr="00456F5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F5F">
              <w:rPr>
                <w:rFonts w:ascii="Times New Roman" w:hAnsi="Times New Roman" w:cs="Times New Roman"/>
                <w:sz w:val="24"/>
                <w:szCs w:val="24"/>
              </w:rPr>
              <w:t>Infrastructure and facility constraints</w:t>
            </w:r>
          </w:p>
        </w:tc>
        <w:tc>
          <w:tcPr>
            <w:tcW w:w="2400" w:type="dxa"/>
          </w:tcPr>
          <w:p w14:paraId="0377E89D" w14:textId="77777777" w:rsidR="00C83EE8" w:rsidRPr="00456F5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F5F">
              <w:rPr>
                <w:rFonts w:ascii="Times New Roman" w:hAnsi="Times New Roman" w:cs="Times New Roman"/>
                <w:sz w:val="24"/>
                <w:szCs w:val="24"/>
              </w:rPr>
              <w:t>KII_SERVICE_INFRA_LIMIT</w:t>
            </w:r>
          </w:p>
        </w:tc>
        <w:tc>
          <w:tcPr>
            <w:tcW w:w="2400" w:type="dxa"/>
          </w:tcPr>
          <w:p w14:paraId="2A238390" w14:textId="77777777" w:rsidR="00C83EE8" w:rsidRPr="00456F5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F5F">
              <w:rPr>
                <w:rFonts w:ascii="Times New Roman" w:hAnsi="Times New Roman" w:cs="Times New Roman"/>
                <w:sz w:val="24"/>
                <w:szCs w:val="24"/>
              </w:rPr>
              <w:t>Mentions of inadequate tools, infrastructure, transport, diagnostics, or operating resources for animal health services.</w:t>
            </w:r>
          </w:p>
        </w:tc>
        <w:tc>
          <w:tcPr>
            <w:tcW w:w="2400" w:type="dxa"/>
          </w:tcPr>
          <w:p w14:paraId="2F7AEB74" w14:textId="77777777" w:rsidR="00C83EE8" w:rsidRPr="00456F5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F5F">
              <w:rPr>
                <w:rFonts w:ascii="Times New Roman" w:hAnsi="Times New Roman" w:cs="Times New Roman"/>
                <w:sz w:val="24"/>
                <w:szCs w:val="24"/>
              </w:rPr>
              <w:t>Key informants linked weak service delivery to limited infrastructure, laboratory access, and operational facilitation.</w:t>
            </w:r>
          </w:p>
        </w:tc>
        <w:tc>
          <w:tcPr>
            <w:tcW w:w="2400" w:type="dxa"/>
          </w:tcPr>
          <w:p w14:paraId="19A78734" w14:textId="77777777" w:rsidR="00C83EE8" w:rsidRPr="00456F5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F5F">
              <w:rPr>
                <w:rFonts w:ascii="Times New Roman" w:hAnsi="Times New Roman" w:cs="Times New Roman"/>
                <w:sz w:val="24"/>
                <w:szCs w:val="24"/>
              </w:rPr>
              <w:t>Shows that prudent AMU cannot be achieved through regulation alone; service systems also need strengthening.</w:t>
            </w:r>
          </w:p>
        </w:tc>
      </w:tr>
      <w:tr w:rsidR="00456F5F" w:rsidRPr="00456F5F" w14:paraId="21AD09A8" w14:textId="77777777">
        <w:trPr>
          <w:jc w:val="center"/>
        </w:trPr>
        <w:tc>
          <w:tcPr>
            <w:tcW w:w="2400" w:type="dxa"/>
          </w:tcPr>
          <w:p w14:paraId="078057D1" w14:textId="77777777" w:rsidR="00C83EE8" w:rsidRPr="00456F5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F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Agrovet governance</w:t>
            </w:r>
          </w:p>
        </w:tc>
        <w:tc>
          <w:tcPr>
            <w:tcW w:w="2400" w:type="dxa"/>
          </w:tcPr>
          <w:p w14:paraId="61B5A4F8" w14:textId="77777777" w:rsidR="00C83EE8" w:rsidRPr="00456F5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F5F">
              <w:rPr>
                <w:rFonts w:ascii="Times New Roman" w:hAnsi="Times New Roman" w:cs="Times New Roman"/>
                <w:sz w:val="24"/>
                <w:szCs w:val="24"/>
              </w:rPr>
              <w:t>Retail compliance and supervision gaps</w:t>
            </w:r>
          </w:p>
        </w:tc>
        <w:tc>
          <w:tcPr>
            <w:tcW w:w="2400" w:type="dxa"/>
          </w:tcPr>
          <w:p w14:paraId="1086B934" w14:textId="77777777" w:rsidR="00C83EE8" w:rsidRPr="00456F5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F5F">
              <w:rPr>
                <w:rFonts w:ascii="Times New Roman" w:hAnsi="Times New Roman" w:cs="Times New Roman"/>
                <w:sz w:val="24"/>
                <w:szCs w:val="24"/>
              </w:rPr>
              <w:t>KII_AGROVET_COMPLIANCE</w:t>
            </w:r>
          </w:p>
        </w:tc>
        <w:tc>
          <w:tcPr>
            <w:tcW w:w="2400" w:type="dxa"/>
          </w:tcPr>
          <w:p w14:paraId="1B7BC414" w14:textId="77777777" w:rsidR="00C83EE8" w:rsidRPr="00456F5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F5F">
              <w:rPr>
                <w:rFonts w:ascii="Times New Roman" w:hAnsi="Times New Roman" w:cs="Times New Roman"/>
                <w:sz w:val="24"/>
                <w:szCs w:val="24"/>
              </w:rPr>
              <w:t>Evidence that licensed premises may still be staffed by inadequately trained personnel or operate beyond intended scope.</w:t>
            </w:r>
          </w:p>
        </w:tc>
        <w:tc>
          <w:tcPr>
            <w:tcW w:w="2400" w:type="dxa"/>
          </w:tcPr>
          <w:p w14:paraId="761DF1FA" w14:textId="77777777" w:rsidR="00C83EE8" w:rsidRPr="00456F5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F5F">
              <w:rPr>
                <w:rFonts w:ascii="Times New Roman" w:hAnsi="Times New Roman" w:cs="Times New Roman"/>
                <w:sz w:val="24"/>
                <w:szCs w:val="24"/>
              </w:rPr>
              <w:t>Interview findings noted that day-to-day dispensing is often handled by clerks with limited veterinary competence.</w:t>
            </w:r>
          </w:p>
        </w:tc>
        <w:tc>
          <w:tcPr>
            <w:tcW w:w="2400" w:type="dxa"/>
          </w:tcPr>
          <w:p w14:paraId="75D9054B" w14:textId="77777777" w:rsidR="00C83EE8" w:rsidRPr="00456F5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F5F">
              <w:rPr>
                <w:rFonts w:ascii="Times New Roman" w:hAnsi="Times New Roman" w:cs="Times New Roman"/>
                <w:sz w:val="24"/>
                <w:szCs w:val="24"/>
              </w:rPr>
              <w:t>Suggests that outlet licensing alone does not guarantee prudent dispensing practice.</w:t>
            </w:r>
          </w:p>
        </w:tc>
      </w:tr>
      <w:tr w:rsidR="00456F5F" w:rsidRPr="00456F5F" w14:paraId="638DAF1E" w14:textId="77777777">
        <w:trPr>
          <w:jc w:val="center"/>
        </w:trPr>
        <w:tc>
          <w:tcPr>
            <w:tcW w:w="2400" w:type="dxa"/>
          </w:tcPr>
          <w:p w14:paraId="06582BCE" w14:textId="77777777" w:rsidR="00C83EE8" w:rsidRPr="00456F5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F5F">
              <w:rPr>
                <w:rFonts w:ascii="Times New Roman" w:hAnsi="Times New Roman" w:cs="Times New Roman"/>
                <w:sz w:val="24"/>
                <w:szCs w:val="24"/>
              </w:rPr>
              <w:t>Regulatory oversight</w:t>
            </w:r>
          </w:p>
        </w:tc>
        <w:tc>
          <w:tcPr>
            <w:tcW w:w="2400" w:type="dxa"/>
          </w:tcPr>
          <w:p w14:paraId="7F953308" w14:textId="77777777" w:rsidR="00C83EE8" w:rsidRPr="00456F5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F5F">
              <w:rPr>
                <w:rFonts w:ascii="Times New Roman" w:hAnsi="Times New Roman" w:cs="Times New Roman"/>
                <w:sz w:val="24"/>
                <w:szCs w:val="24"/>
              </w:rPr>
              <w:t>Informal market pathway</w:t>
            </w:r>
          </w:p>
        </w:tc>
        <w:tc>
          <w:tcPr>
            <w:tcW w:w="2400" w:type="dxa"/>
          </w:tcPr>
          <w:p w14:paraId="19D3B8C3" w14:textId="77777777" w:rsidR="00C83EE8" w:rsidRPr="00456F5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F5F">
              <w:rPr>
                <w:rFonts w:ascii="Times New Roman" w:hAnsi="Times New Roman" w:cs="Times New Roman"/>
                <w:sz w:val="24"/>
                <w:szCs w:val="24"/>
              </w:rPr>
              <w:t>KII_REG_INFORMAL_MARKET</w:t>
            </w:r>
          </w:p>
        </w:tc>
        <w:tc>
          <w:tcPr>
            <w:tcW w:w="2400" w:type="dxa"/>
          </w:tcPr>
          <w:p w14:paraId="6A63D83F" w14:textId="77777777" w:rsidR="00C83EE8" w:rsidRPr="00456F5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F5F">
              <w:rPr>
                <w:rFonts w:ascii="Times New Roman" w:hAnsi="Times New Roman" w:cs="Times New Roman"/>
                <w:sz w:val="24"/>
                <w:szCs w:val="24"/>
              </w:rPr>
              <w:t>Mentions of unregistered products, open-market sales, or products circulating outside normal regulatory control.</w:t>
            </w:r>
          </w:p>
        </w:tc>
        <w:tc>
          <w:tcPr>
            <w:tcW w:w="2400" w:type="dxa"/>
          </w:tcPr>
          <w:p w14:paraId="136BC6B3" w14:textId="77777777" w:rsidR="00C83EE8" w:rsidRPr="00456F5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F5F">
              <w:rPr>
                <w:rFonts w:ascii="Times New Roman" w:hAnsi="Times New Roman" w:cs="Times New Roman"/>
                <w:sz w:val="24"/>
                <w:szCs w:val="24"/>
              </w:rPr>
              <w:t>Officials observed persistent informal pathways for veterinary antimicrobials, including cheaper products of uncertain quality.</w:t>
            </w:r>
          </w:p>
        </w:tc>
        <w:tc>
          <w:tcPr>
            <w:tcW w:w="2400" w:type="dxa"/>
          </w:tcPr>
          <w:p w14:paraId="28B28464" w14:textId="77777777" w:rsidR="00C83EE8" w:rsidRPr="00456F5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F5F">
              <w:rPr>
                <w:rFonts w:ascii="Times New Roman" w:hAnsi="Times New Roman" w:cs="Times New Roman"/>
                <w:sz w:val="24"/>
                <w:szCs w:val="24"/>
              </w:rPr>
              <w:t>Connects regulatory weakness with quality assurance risks and farmer preference for lower-cost products.</w:t>
            </w:r>
          </w:p>
        </w:tc>
      </w:tr>
      <w:tr w:rsidR="00456F5F" w:rsidRPr="00456F5F" w14:paraId="655D0E90" w14:textId="77777777">
        <w:trPr>
          <w:jc w:val="center"/>
        </w:trPr>
        <w:tc>
          <w:tcPr>
            <w:tcW w:w="2400" w:type="dxa"/>
          </w:tcPr>
          <w:p w14:paraId="4D83F3FB" w14:textId="77777777" w:rsidR="00C83EE8" w:rsidRPr="00456F5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F5F">
              <w:rPr>
                <w:rFonts w:ascii="Times New Roman" w:hAnsi="Times New Roman" w:cs="Times New Roman"/>
                <w:sz w:val="24"/>
                <w:szCs w:val="24"/>
              </w:rPr>
              <w:t>Diagnostics and evidence-based treatment</w:t>
            </w:r>
          </w:p>
        </w:tc>
        <w:tc>
          <w:tcPr>
            <w:tcW w:w="2400" w:type="dxa"/>
          </w:tcPr>
          <w:p w14:paraId="5A33B51B" w14:textId="77777777" w:rsidR="00C83EE8" w:rsidRPr="00456F5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F5F">
              <w:rPr>
                <w:rFonts w:ascii="Times New Roman" w:hAnsi="Times New Roman" w:cs="Times New Roman"/>
                <w:sz w:val="24"/>
                <w:szCs w:val="24"/>
              </w:rPr>
              <w:t>Limited AST and laboratory use</w:t>
            </w:r>
          </w:p>
        </w:tc>
        <w:tc>
          <w:tcPr>
            <w:tcW w:w="2400" w:type="dxa"/>
          </w:tcPr>
          <w:p w14:paraId="0CB7AD3F" w14:textId="77777777" w:rsidR="00C83EE8" w:rsidRPr="00456F5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F5F">
              <w:rPr>
                <w:rFonts w:ascii="Times New Roman" w:hAnsi="Times New Roman" w:cs="Times New Roman"/>
                <w:sz w:val="24"/>
                <w:szCs w:val="24"/>
              </w:rPr>
              <w:t>KII_DIAG_LOW_AST</w:t>
            </w:r>
          </w:p>
        </w:tc>
        <w:tc>
          <w:tcPr>
            <w:tcW w:w="2400" w:type="dxa"/>
          </w:tcPr>
          <w:p w14:paraId="7D7DF498" w14:textId="77777777" w:rsidR="00C83EE8" w:rsidRPr="00456F5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F5F">
              <w:rPr>
                <w:rFonts w:ascii="Times New Roman" w:hAnsi="Times New Roman" w:cs="Times New Roman"/>
                <w:sz w:val="24"/>
                <w:szCs w:val="24"/>
              </w:rPr>
              <w:t>Statements showing low use of culture, susceptibility testing, or confirmatory diagnosis before treatment.</w:t>
            </w:r>
          </w:p>
        </w:tc>
        <w:tc>
          <w:tcPr>
            <w:tcW w:w="2400" w:type="dxa"/>
          </w:tcPr>
          <w:p w14:paraId="641D5996" w14:textId="77777777" w:rsidR="00C83EE8" w:rsidRPr="00456F5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F5F">
              <w:rPr>
                <w:rFonts w:ascii="Times New Roman" w:hAnsi="Times New Roman" w:cs="Times New Roman"/>
                <w:sz w:val="24"/>
                <w:szCs w:val="24"/>
              </w:rPr>
              <w:t>Interviews indicated that laboratory-supported prescribing remains rare because of distance, cost, and limited availability.</w:t>
            </w:r>
          </w:p>
        </w:tc>
        <w:tc>
          <w:tcPr>
            <w:tcW w:w="2400" w:type="dxa"/>
          </w:tcPr>
          <w:p w14:paraId="5502BEC2" w14:textId="77777777" w:rsidR="00C83EE8" w:rsidRPr="00456F5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F5F">
              <w:rPr>
                <w:rFonts w:ascii="Times New Roman" w:hAnsi="Times New Roman" w:cs="Times New Roman"/>
                <w:sz w:val="24"/>
                <w:szCs w:val="24"/>
              </w:rPr>
              <w:t>Explains why empirical treatment persists and why stewardship remains weak.</w:t>
            </w:r>
          </w:p>
        </w:tc>
      </w:tr>
      <w:tr w:rsidR="00456F5F" w:rsidRPr="00456F5F" w14:paraId="04ECB510" w14:textId="77777777">
        <w:trPr>
          <w:jc w:val="center"/>
        </w:trPr>
        <w:tc>
          <w:tcPr>
            <w:tcW w:w="2400" w:type="dxa"/>
          </w:tcPr>
          <w:p w14:paraId="3E048E58" w14:textId="77777777" w:rsidR="00C83EE8" w:rsidRPr="00456F5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F5F">
              <w:rPr>
                <w:rFonts w:ascii="Times New Roman" w:hAnsi="Times New Roman" w:cs="Times New Roman"/>
                <w:sz w:val="24"/>
                <w:szCs w:val="24"/>
              </w:rPr>
              <w:t>Environmental stewardship</w:t>
            </w:r>
          </w:p>
        </w:tc>
        <w:tc>
          <w:tcPr>
            <w:tcW w:w="2400" w:type="dxa"/>
          </w:tcPr>
          <w:p w14:paraId="4FD58C40" w14:textId="77777777" w:rsidR="00C83EE8" w:rsidRPr="00456F5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F5F">
              <w:rPr>
                <w:rFonts w:ascii="Times New Roman" w:hAnsi="Times New Roman" w:cs="Times New Roman"/>
                <w:sz w:val="24"/>
                <w:szCs w:val="24"/>
              </w:rPr>
              <w:t>Unclear waste management operationalisation</w:t>
            </w:r>
          </w:p>
        </w:tc>
        <w:tc>
          <w:tcPr>
            <w:tcW w:w="2400" w:type="dxa"/>
          </w:tcPr>
          <w:p w14:paraId="4E725BA0" w14:textId="77777777" w:rsidR="00C83EE8" w:rsidRPr="00456F5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F5F">
              <w:rPr>
                <w:rFonts w:ascii="Times New Roman" w:hAnsi="Times New Roman" w:cs="Times New Roman"/>
                <w:sz w:val="24"/>
                <w:szCs w:val="24"/>
              </w:rPr>
              <w:t>KII_ENV_WASTE_GAP</w:t>
            </w:r>
          </w:p>
        </w:tc>
        <w:tc>
          <w:tcPr>
            <w:tcW w:w="2400" w:type="dxa"/>
          </w:tcPr>
          <w:p w14:paraId="1431E3F1" w14:textId="77777777" w:rsidR="00C83EE8" w:rsidRPr="00456F5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F5F">
              <w:rPr>
                <w:rFonts w:ascii="Times New Roman" w:hAnsi="Times New Roman" w:cs="Times New Roman"/>
                <w:sz w:val="24"/>
                <w:szCs w:val="24"/>
              </w:rPr>
              <w:t>Mentions that environmental or waste rules exist, but practical procedures for farm-level disposal remain unclear.</w:t>
            </w:r>
          </w:p>
        </w:tc>
        <w:tc>
          <w:tcPr>
            <w:tcW w:w="2400" w:type="dxa"/>
          </w:tcPr>
          <w:p w14:paraId="59024DB8" w14:textId="77777777" w:rsidR="00C83EE8" w:rsidRPr="00456F5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F5F">
              <w:rPr>
                <w:rFonts w:ascii="Times New Roman" w:hAnsi="Times New Roman" w:cs="Times New Roman"/>
                <w:sz w:val="24"/>
                <w:szCs w:val="24"/>
              </w:rPr>
              <w:t>Officials recognised partial institutional coverage of hazardous waste, yet inadequate translation into farmer-level practice.</w:t>
            </w:r>
          </w:p>
        </w:tc>
        <w:tc>
          <w:tcPr>
            <w:tcW w:w="2400" w:type="dxa"/>
          </w:tcPr>
          <w:p w14:paraId="486C7C63" w14:textId="77777777" w:rsidR="00C83EE8" w:rsidRPr="00456F5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F5F">
              <w:rPr>
                <w:rFonts w:ascii="Times New Roman" w:hAnsi="Times New Roman" w:cs="Times New Roman"/>
                <w:sz w:val="24"/>
                <w:szCs w:val="24"/>
              </w:rPr>
              <w:t>Supports the One Health argument that environmental AMR pathways remain under-governed.</w:t>
            </w:r>
          </w:p>
        </w:tc>
      </w:tr>
      <w:tr w:rsidR="00456F5F" w:rsidRPr="00456F5F" w14:paraId="50CD5C39" w14:textId="77777777">
        <w:trPr>
          <w:jc w:val="center"/>
        </w:trPr>
        <w:tc>
          <w:tcPr>
            <w:tcW w:w="2400" w:type="dxa"/>
          </w:tcPr>
          <w:p w14:paraId="07EAEB27" w14:textId="77777777" w:rsidR="00C83EE8" w:rsidRPr="00456F5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F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Food safety and residues</w:t>
            </w:r>
          </w:p>
        </w:tc>
        <w:tc>
          <w:tcPr>
            <w:tcW w:w="2400" w:type="dxa"/>
          </w:tcPr>
          <w:p w14:paraId="5A4BDD74" w14:textId="77777777" w:rsidR="00C83EE8" w:rsidRPr="00456F5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F5F">
              <w:rPr>
                <w:rFonts w:ascii="Times New Roman" w:hAnsi="Times New Roman" w:cs="Times New Roman"/>
                <w:sz w:val="24"/>
                <w:szCs w:val="24"/>
              </w:rPr>
              <w:t>Withdrawal and residue surveillance challenges</w:t>
            </w:r>
          </w:p>
        </w:tc>
        <w:tc>
          <w:tcPr>
            <w:tcW w:w="2400" w:type="dxa"/>
          </w:tcPr>
          <w:p w14:paraId="2B7BA460" w14:textId="77777777" w:rsidR="00C83EE8" w:rsidRPr="00456F5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F5F">
              <w:rPr>
                <w:rFonts w:ascii="Times New Roman" w:hAnsi="Times New Roman" w:cs="Times New Roman"/>
                <w:sz w:val="24"/>
                <w:szCs w:val="24"/>
              </w:rPr>
              <w:t>KII_FOOD_RESIDUE_GAP</w:t>
            </w:r>
          </w:p>
        </w:tc>
        <w:tc>
          <w:tcPr>
            <w:tcW w:w="2400" w:type="dxa"/>
          </w:tcPr>
          <w:p w14:paraId="415DCCAB" w14:textId="77777777" w:rsidR="00C83EE8" w:rsidRPr="00456F5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F5F">
              <w:rPr>
                <w:rFonts w:ascii="Times New Roman" w:hAnsi="Times New Roman" w:cs="Times New Roman"/>
                <w:sz w:val="24"/>
                <w:szCs w:val="24"/>
              </w:rPr>
              <w:t>Evidence that food-safety controls or residue surveillance are recognised but weakly implemented.</w:t>
            </w:r>
          </w:p>
        </w:tc>
        <w:tc>
          <w:tcPr>
            <w:tcW w:w="2400" w:type="dxa"/>
          </w:tcPr>
          <w:p w14:paraId="46819523" w14:textId="77777777" w:rsidR="00C83EE8" w:rsidRPr="00456F5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F5F">
              <w:rPr>
                <w:rFonts w:ascii="Times New Roman" w:hAnsi="Times New Roman" w:cs="Times New Roman"/>
                <w:sz w:val="24"/>
                <w:szCs w:val="24"/>
              </w:rPr>
              <w:t>Interviews and policy interpretation pointed to limited residue testing and weak compliance with withdrawal periods.</w:t>
            </w:r>
          </w:p>
        </w:tc>
        <w:tc>
          <w:tcPr>
            <w:tcW w:w="2400" w:type="dxa"/>
          </w:tcPr>
          <w:p w14:paraId="74433175" w14:textId="77777777" w:rsidR="00C83EE8" w:rsidRPr="00456F5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F5F">
              <w:rPr>
                <w:rFonts w:ascii="Times New Roman" w:hAnsi="Times New Roman" w:cs="Times New Roman"/>
                <w:sz w:val="24"/>
                <w:szCs w:val="24"/>
              </w:rPr>
              <w:t>Links AMU governance failure to food-borne exposure risk.</w:t>
            </w:r>
          </w:p>
        </w:tc>
      </w:tr>
      <w:tr w:rsidR="00456F5F" w:rsidRPr="00456F5F" w14:paraId="1206D765" w14:textId="77777777">
        <w:trPr>
          <w:jc w:val="center"/>
        </w:trPr>
        <w:tc>
          <w:tcPr>
            <w:tcW w:w="2400" w:type="dxa"/>
          </w:tcPr>
          <w:p w14:paraId="7157E752" w14:textId="77777777" w:rsidR="00C83EE8" w:rsidRPr="00456F5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F5F">
              <w:rPr>
                <w:rFonts w:ascii="Times New Roman" w:hAnsi="Times New Roman" w:cs="Times New Roman"/>
                <w:sz w:val="24"/>
                <w:szCs w:val="24"/>
              </w:rPr>
              <w:t>One Health coordination</w:t>
            </w:r>
          </w:p>
        </w:tc>
        <w:tc>
          <w:tcPr>
            <w:tcW w:w="2400" w:type="dxa"/>
          </w:tcPr>
          <w:p w14:paraId="54523537" w14:textId="77777777" w:rsidR="00C83EE8" w:rsidRPr="00456F5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F5F">
              <w:rPr>
                <w:rFonts w:ascii="Times New Roman" w:hAnsi="Times New Roman" w:cs="Times New Roman"/>
                <w:sz w:val="24"/>
                <w:szCs w:val="24"/>
              </w:rPr>
              <w:t>Fragmented cross-sector roles</w:t>
            </w:r>
          </w:p>
        </w:tc>
        <w:tc>
          <w:tcPr>
            <w:tcW w:w="2400" w:type="dxa"/>
          </w:tcPr>
          <w:p w14:paraId="70D065B4" w14:textId="77777777" w:rsidR="00C83EE8" w:rsidRPr="00456F5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F5F">
              <w:rPr>
                <w:rFonts w:ascii="Times New Roman" w:hAnsi="Times New Roman" w:cs="Times New Roman"/>
                <w:sz w:val="24"/>
                <w:szCs w:val="24"/>
              </w:rPr>
              <w:t>KII_ONEHEALTH_FRAGMENT</w:t>
            </w:r>
          </w:p>
        </w:tc>
        <w:tc>
          <w:tcPr>
            <w:tcW w:w="2400" w:type="dxa"/>
          </w:tcPr>
          <w:p w14:paraId="05DAABB9" w14:textId="77777777" w:rsidR="00C83EE8" w:rsidRPr="00456F5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F5F">
              <w:rPr>
                <w:rFonts w:ascii="Times New Roman" w:hAnsi="Times New Roman" w:cs="Times New Roman"/>
                <w:sz w:val="24"/>
                <w:szCs w:val="24"/>
              </w:rPr>
              <w:t>Statements indicating overlapping mandates, weak inter-sectoral coordination, or budget-related coordination failures.</w:t>
            </w:r>
          </w:p>
        </w:tc>
        <w:tc>
          <w:tcPr>
            <w:tcW w:w="2400" w:type="dxa"/>
          </w:tcPr>
          <w:p w14:paraId="30FA791A" w14:textId="77777777" w:rsidR="00C83EE8" w:rsidRPr="00456F5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F5F">
              <w:rPr>
                <w:rFonts w:ascii="Times New Roman" w:hAnsi="Times New Roman" w:cs="Times New Roman"/>
                <w:sz w:val="24"/>
                <w:szCs w:val="24"/>
              </w:rPr>
              <w:t>Officials described responsibilities spread across livestock, health, environment, and agriculture institutions without strong routine coordination.</w:t>
            </w:r>
          </w:p>
        </w:tc>
        <w:tc>
          <w:tcPr>
            <w:tcW w:w="2400" w:type="dxa"/>
          </w:tcPr>
          <w:p w14:paraId="1404AA52" w14:textId="77777777" w:rsidR="00C83EE8" w:rsidRPr="00456F5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F5F">
              <w:rPr>
                <w:rFonts w:ascii="Times New Roman" w:hAnsi="Times New Roman" w:cs="Times New Roman"/>
                <w:sz w:val="24"/>
                <w:szCs w:val="24"/>
              </w:rPr>
              <w:t>Supports the study conclusion that multisectoral governance exists formally but is weak in practice.</w:t>
            </w:r>
          </w:p>
        </w:tc>
      </w:tr>
      <w:tr w:rsidR="00456F5F" w:rsidRPr="00456F5F" w14:paraId="4781C51D" w14:textId="77777777">
        <w:trPr>
          <w:jc w:val="center"/>
        </w:trPr>
        <w:tc>
          <w:tcPr>
            <w:tcW w:w="2400" w:type="dxa"/>
          </w:tcPr>
          <w:p w14:paraId="2B81FBBC" w14:textId="77777777" w:rsidR="00C83EE8" w:rsidRPr="00456F5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F5F">
              <w:rPr>
                <w:rFonts w:ascii="Times New Roman" w:hAnsi="Times New Roman" w:cs="Times New Roman"/>
                <w:sz w:val="24"/>
                <w:szCs w:val="24"/>
              </w:rPr>
              <w:t>Regulatory capacity</w:t>
            </w:r>
          </w:p>
        </w:tc>
        <w:tc>
          <w:tcPr>
            <w:tcW w:w="2400" w:type="dxa"/>
          </w:tcPr>
          <w:p w14:paraId="34A31E0F" w14:textId="77777777" w:rsidR="00C83EE8" w:rsidRPr="00456F5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F5F">
              <w:rPr>
                <w:rFonts w:ascii="Times New Roman" w:hAnsi="Times New Roman" w:cs="Times New Roman"/>
                <w:sz w:val="24"/>
                <w:szCs w:val="24"/>
              </w:rPr>
              <w:t>Financial/resource limitations</w:t>
            </w:r>
          </w:p>
        </w:tc>
        <w:tc>
          <w:tcPr>
            <w:tcW w:w="2400" w:type="dxa"/>
          </w:tcPr>
          <w:p w14:paraId="70C4F937" w14:textId="77777777" w:rsidR="00C83EE8" w:rsidRPr="00456F5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F5F">
              <w:rPr>
                <w:rFonts w:ascii="Times New Roman" w:hAnsi="Times New Roman" w:cs="Times New Roman"/>
                <w:sz w:val="24"/>
                <w:szCs w:val="24"/>
              </w:rPr>
              <w:t>KII_REG_CAPACITY_FINANCE</w:t>
            </w:r>
          </w:p>
        </w:tc>
        <w:tc>
          <w:tcPr>
            <w:tcW w:w="2400" w:type="dxa"/>
          </w:tcPr>
          <w:p w14:paraId="4F99B608" w14:textId="77777777" w:rsidR="00C83EE8" w:rsidRPr="00456F5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F5F">
              <w:rPr>
                <w:rFonts w:ascii="Times New Roman" w:hAnsi="Times New Roman" w:cs="Times New Roman"/>
                <w:sz w:val="24"/>
                <w:szCs w:val="24"/>
              </w:rPr>
              <w:t>Mentions that regulators cannot inspect, test, or monitor adequately because of limited funding or logistics.</w:t>
            </w:r>
          </w:p>
        </w:tc>
        <w:tc>
          <w:tcPr>
            <w:tcW w:w="2400" w:type="dxa"/>
          </w:tcPr>
          <w:p w14:paraId="56E91EE8" w14:textId="77777777" w:rsidR="00C83EE8" w:rsidRPr="00456F5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F5F">
              <w:rPr>
                <w:rFonts w:ascii="Times New Roman" w:hAnsi="Times New Roman" w:cs="Times New Roman"/>
                <w:sz w:val="24"/>
                <w:szCs w:val="24"/>
              </w:rPr>
              <w:t>Key informants linked weak post-market surveillance and quality monitoring to financial constraints.</w:t>
            </w:r>
          </w:p>
        </w:tc>
        <w:tc>
          <w:tcPr>
            <w:tcW w:w="2400" w:type="dxa"/>
          </w:tcPr>
          <w:p w14:paraId="4853877E" w14:textId="77777777" w:rsidR="00C83EE8" w:rsidRPr="00456F5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F5F">
              <w:rPr>
                <w:rFonts w:ascii="Times New Roman" w:hAnsi="Times New Roman" w:cs="Times New Roman"/>
                <w:sz w:val="24"/>
                <w:szCs w:val="24"/>
              </w:rPr>
              <w:t>Explains why enforcement intensity remains low despite the presence of legal mandates.</w:t>
            </w:r>
          </w:p>
        </w:tc>
      </w:tr>
    </w:tbl>
    <w:p w14:paraId="5873C94B" w14:textId="77777777" w:rsidR="00C83EE8" w:rsidRDefault="00C83EE8">
      <w:pPr>
        <w:rPr>
          <w:rFonts w:ascii="Times New Roman" w:hAnsi="Times New Roman" w:cs="Times New Roman"/>
          <w:sz w:val="24"/>
          <w:szCs w:val="24"/>
        </w:rPr>
      </w:pPr>
    </w:p>
    <w:p w14:paraId="77507792" w14:textId="77777777" w:rsidR="00456F5F" w:rsidRDefault="00456F5F">
      <w:pPr>
        <w:rPr>
          <w:rFonts w:ascii="Times New Roman" w:hAnsi="Times New Roman" w:cs="Times New Roman"/>
          <w:sz w:val="24"/>
          <w:szCs w:val="24"/>
        </w:rPr>
      </w:pPr>
    </w:p>
    <w:p w14:paraId="00562920" w14:textId="77777777" w:rsidR="00456F5F" w:rsidRPr="00456F5F" w:rsidRDefault="00456F5F">
      <w:pPr>
        <w:rPr>
          <w:rFonts w:ascii="Times New Roman" w:hAnsi="Times New Roman" w:cs="Times New Roman"/>
          <w:sz w:val="24"/>
          <w:szCs w:val="24"/>
        </w:rPr>
      </w:pPr>
    </w:p>
    <w:p w14:paraId="6CFE2154" w14:textId="77777777" w:rsidR="00C83EE8" w:rsidRPr="00456F5F" w:rsidRDefault="00000000">
      <w:pPr>
        <w:pStyle w:val="Heading1"/>
        <w:rPr>
          <w:rFonts w:ascii="Times New Roman" w:hAnsi="Times New Roman" w:cs="Times New Roman"/>
          <w:color w:val="auto"/>
          <w:sz w:val="24"/>
          <w:szCs w:val="24"/>
        </w:rPr>
      </w:pPr>
      <w:r w:rsidRPr="00456F5F">
        <w:rPr>
          <w:rFonts w:ascii="Times New Roman" w:hAnsi="Times New Roman" w:cs="Times New Roman"/>
          <w:color w:val="auto"/>
          <w:sz w:val="24"/>
          <w:szCs w:val="24"/>
        </w:rPr>
        <w:lastRenderedPageBreak/>
        <w:t>B. Coding framework for focus group discussions</w:t>
      </w:r>
    </w:p>
    <w:tbl>
      <w:tblPr>
        <w:tblStyle w:val="TableGrid"/>
        <w:tblpPr w:leftFromText="141" w:rightFromText="141" w:vertAnchor="text" w:tblpXSpec="center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992"/>
        <w:gridCol w:w="2019"/>
        <w:gridCol w:w="4163"/>
        <w:gridCol w:w="2081"/>
        <w:gridCol w:w="2054"/>
        <w:gridCol w:w="2081"/>
      </w:tblGrid>
      <w:tr w:rsidR="00456F5F" w:rsidRPr="00456F5F" w14:paraId="535D6532" w14:textId="77777777" w:rsidTr="00456F5F">
        <w:trPr>
          <w:tblHeader/>
        </w:trPr>
        <w:tc>
          <w:tcPr>
            <w:tcW w:w="2400" w:type="dxa"/>
            <w:shd w:val="clear" w:color="auto" w:fill="C6D9F1" w:themeFill="text2" w:themeFillTint="33"/>
            <w:vAlign w:val="center"/>
          </w:tcPr>
          <w:p w14:paraId="6C51809C" w14:textId="77777777" w:rsidR="00C83EE8" w:rsidRPr="00456F5F" w:rsidRDefault="00000000" w:rsidP="00456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F5F">
              <w:rPr>
                <w:rFonts w:ascii="Times New Roman" w:hAnsi="Times New Roman" w:cs="Times New Roman"/>
                <w:b/>
                <w:sz w:val="24"/>
                <w:szCs w:val="24"/>
              </w:rPr>
              <w:t>Major theme</w:t>
            </w:r>
          </w:p>
        </w:tc>
        <w:tc>
          <w:tcPr>
            <w:tcW w:w="2400" w:type="dxa"/>
            <w:shd w:val="clear" w:color="auto" w:fill="C6D9F1" w:themeFill="text2" w:themeFillTint="33"/>
            <w:vAlign w:val="center"/>
          </w:tcPr>
          <w:p w14:paraId="0DBFCC7F" w14:textId="77777777" w:rsidR="00C83EE8" w:rsidRPr="00456F5F" w:rsidRDefault="00000000" w:rsidP="00456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F5F">
              <w:rPr>
                <w:rFonts w:ascii="Times New Roman" w:hAnsi="Times New Roman" w:cs="Times New Roman"/>
                <w:b/>
                <w:sz w:val="24"/>
                <w:szCs w:val="24"/>
              </w:rPr>
              <w:t>Sub-theme</w:t>
            </w:r>
          </w:p>
        </w:tc>
        <w:tc>
          <w:tcPr>
            <w:tcW w:w="2400" w:type="dxa"/>
            <w:shd w:val="clear" w:color="auto" w:fill="C6D9F1" w:themeFill="text2" w:themeFillTint="33"/>
            <w:vAlign w:val="center"/>
          </w:tcPr>
          <w:p w14:paraId="1214E64D" w14:textId="77777777" w:rsidR="00C83EE8" w:rsidRPr="00456F5F" w:rsidRDefault="00000000" w:rsidP="00456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F5F">
              <w:rPr>
                <w:rFonts w:ascii="Times New Roman" w:hAnsi="Times New Roman" w:cs="Times New Roman"/>
                <w:b/>
                <w:sz w:val="24"/>
                <w:szCs w:val="24"/>
              </w:rPr>
              <w:t>Code label</w:t>
            </w:r>
          </w:p>
        </w:tc>
        <w:tc>
          <w:tcPr>
            <w:tcW w:w="2400" w:type="dxa"/>
            <w:shd w:val="clear" w:color="auto" w:fill="C6D9F1" w:themeFill="text2" w:themeFillTint="33"/>
            <w:vAlign w:val="center"/>
          </w:tcPr>
          <w:p w14:paraId="46D3DA5C" w14:textId="77777777" w:rsidR="00C83EE8" w:rsidRPr="00456F5F" w:rsidRDefault="00000000" w:rsidP="00456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F5F">
              <w:rPr>
                <w:rFonts w:ascii="Times New Roman" w:hAnsi="Times New Roman" w:cs="Times New Roman"/>
                <w:b/>
                <w:sz w:val="24"/>
                <w:szCs w:val="24"/>
              </w:rPr>
              <w:t>Operational definition</w:t>
            </w:r>
          </w:p>
        </w:tc>
        <w:tc>
          <w:tcPr>
            <w:tcW w:w="2400" w:type="dxa"/>
            <w:shd w:val="clear" w:color="auto" w:fill="C6D9F1" w:themeFill="text2" w:themeFillTint="33"/>
            <w:vAlign w:val="center"/>
          </w:tcPr>
          <w:p w14:paraId="486CD2B7" w14:textId="77777777" w:rsidR="00C83EE8" w:rsidRPr="00456F5F" w:rsidRDefault="00000000" w:rsidP="00456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F5F">
              <w:rPr>
                <w:rFonts w:ascii="Times New Roman" w:hAnsi="Times New Roman" w:cs="Times New Roman"/>
                <w:b/>
                <w:sz w:val="24"/>
                <w:szCs w:val="24"/>
              </w:rPr>
              <w:t>Indicative evidence from study findings</w:t>
            </w:r>
          </w:p>
        </w:tc>
        <w:tc>
          <w:tcPr>
            <w:tcW w:w="2400" w:type="dxa"/>
            <w:shd w:val="clear" w:color="auto" w:fill="C6D9F1" w:themeFill="text2" w:themeFillTint="33"/>
            <w:vAlign w:val="center"/>
          </w:tcPr>
          <w:p w14:paraId="11DC8169" w14:textId="77777777" w:rsidR="00C83EE8" w:rsidRPr="00456F5F" w:rsidRDefault="00000000" w:rsidP="00456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F5F">
              <w:rPr>
                <w:rFonts w:ascii="Times New Roman" w:hAnsi="Times New Roman" w:cs="Times New Roman"/>
                <w:b/>
                <w:sz w:val="24"/>
                <w:szCs w:val="24"/>
              </w:rPr>
              <w:t>Analytical implication</w:t>
            </w:r>
          </w:p>
        </w:tc>
      </w:tr>
      <w:tr w:rsidR="00456F5F" w:rsidRPr="00456F5F" w14:paraId="6DD22D3A" w14:textId="77777777" w:rsidTr="00456F5F">
        <w:tc>
          <w:tcPr>
            <w:tcW w:w="2400" w:type="dxa"/>
          </w:tcPr>
          <w:p w14:paraId="41001704" w14:textId="77777777" w:rsidR="00C83EE8" w:rsidRPr="00456F5F" w:rsidRDefault="00000000" w:rsidP="00456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F5F">
              <w:rPr>
                <w:rFonts w:ascii="Times New Roman" w:hAnsi="Times New Roman" w:cs="Times New Roman"/>
                <w:sz w:val="24"/>
                <w:szCs w:val="24"/>
              </w:rPr>
              <w:t>Farmer access to animal health services</w:t>
            </w:r>
          </w:p>
        </w:tc>
        <w:tc>
          <w:tcPr>
            <w:tcW w:w="2400" w:type="dxa"/>
          </w:tcPr>
          <w:p w14:paraId="3B7FC4DA" w14:textId="77777777" w:rsidR="00C83EE8" w:rsidRPr="00456F5F" w:rsidRDefault="00000000" w:rsidP="00456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F5F">
              <w:rPr>
                <w:rFonts w:ascii="Times New Roman" w:hAnsi="Times New Roman" w:cs="Times New Roman"/>
                <w:sz w:val="24"/>
                <w:szCs w:val="24"/>
              </w:rPr>
              <w:t>Perceived neglect of livestock services</w:t>
            </w:r>
          </w:p>
        </w:tc>
        <w:tc>
          <w:tcPr>
            <w:tcW w:w="2400" w:type="dxa"/>
          </w:tcPr>
          <w:p w14:paraId="2FAFB537" w14:textId="77777777" w:rsidR="00C83EE8" w:rsidRPr="00456F5F" w:rsidRDefault="00000000" w:rsidP="00456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F5F">
              <w:rPr>
                <w:rFonts w:ascii="Times New Roman" w:hAnsi="Times New Roman" w:cs="Times New Roman"/>
                <w:sz w:val="24"/>
                <w:szCs w:val="24"/>
              </w:rPr>
              <w:t>FGD_SERVICE_NEGLECT</w:t>
            </w:r>
          </w:p>
        </w:tc>
        <w:tc>
          <w:tcPr>
            <w:tcW w:w="2400" w:type="dxa"/>
          </w:tcPr>
          <w:p w14:paraId="02C7C68B" w14:textId="77777777" w:rsidR="00C83EE8" w:rsidRPr="00456F5F" w:rsidRDefault="00000000" w:rsidP="00456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F5F">
              <w:rPr>
                <w:rFonts w:ascii="Times New Roman" w:hAnsi="Times New Roman" w:cs="Times New Roman"/>
                <w:sz w:val="24"/>
                <w:szCs w:val="24"/>
              </w:rPr>
              <w:t>Farmer perceptions that livestock services receive less routine support, follow-up, or visibility than human health services.</w:t>
            </w:r>
          </w:p>
        </w:tc>
        <w:tc>
          <w:tcPr>
            <w:tcW w:w="2400" w:type="dxa"/>
          </w:tcPr>
          <w:p w14:paraId="45186184" w14:textId="77777777" w:rsidR="00C83EE8" w:rsidRPr="00456F5F" w:rsidRDefault="00000000" w:rsidP="00456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F5F">
              <w:rPr>
                <w:rFonts w:ascii="Times New Roman" w:hAnsi="Times New Roman" w:cs="Times New Roman"/>
                <w:sz w:val="24"/>
                <w:szCs w:val="24"/>
              </w:rPr>
              <w:t>Participants compared regular human-health outreach with weak livestock-service presence at local level.</w:t>
            </w:r>
          </w:p>
        </w:tc>
        <w:tc>
          <w:tcPr>
            <w:tcW w:w="2400" w:type="dxa"/>
          </w:tcPr>
          <w:p w14:paraId="5361E670" w14:textId="77777777" w:rsidR="00C83EE8" w:rsidRPr="00456F5F" w:rsidRDefault="00000000" w:rsidP="00456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F5F">
              <w:rPr>
                <w:rFonts w:ascii="Times New Roman" w:hAnsi="Times New Roman" w:cs="Times New Roman"/>
                <w:sz w:val="24"/>
                <w:szCs w:val="24"/>
              </w:rPr>
              <w:t>Shows how service neglect is experienced socially by farmers, not only administratively by officials.</w:t>
            </w:r>
          </w:p>
        </w:tc>
      </w:tr>
      <w:tr w:rsidR="00456F5F" w:rsidRPr="00456F5F" w14:paraId="34090891" w14:textId="77777777" w:rsidTr="00456F5F">
        <w:tc>
          <w:tcPr>
            <w:tcW w:w="2400" w:type="dxa"/>
          </w:tcPr>
          <w:p w14:paraId="331E0268" w14:textId="77777777" w:rsidR="00C83EE8" w:rsidRPr="00456F5F" w:rsidRDefault="00000000" w:rsidP="00456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F5F">
              <w:rPr>
                <w:rFonts w:ascii="Times New Roman" w:hAnsi="Times New Roman" w:cs="Times New Roman"/>
                <w:sz w:val="24"/>
                <w:szCs w:val="24"/>
              </w:rPr>
              <w:t>Farmer treatment pathway</w:t>
            </w:r>
          </w:p>
        </w:tc>
        <w:tc>
          <w:tcPr>
            <w:tcW w:w="2400" w:type="dxa"/>
          </w:tcPr>
          <w:p w14:paraId="214F1ED5" w14:textId="77777777" w:rsidR="00C83EE8" w:rsidRPr="00456F5F" w:rsidRDefault="00000000" w:rsidP="00456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F5F">
              <w:rPr>
                <w:rFonts w:ascii="Times New Roman" w:hAnsi="Times New Roman" w:cs="Times New Roman"/>
                <w:sz w:val="24"/>
                <w:szCs w:val="24"/>
              </w:rPr>
              <w:t>Trial-and-error treatment behaviour</w:t>
            </w:r>
          </w:p>
        </w:tc>
        <w:tc>
          <w:tcPr>
            <w:tcW w:w="2400" w:type="dxa"/>
          </w:tcPr>
          <w:p w14:paraId="735E9D0E" w14:textId="77777777" w:rsidR="00C83EE8" w:rsidRPr="00456F5F" w:rsidRDefault="00000000" w:rsidP="00456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F5F">
              <w:rPr>
                <w:rFonts w:ascii="Times New Roman" w:hAnsi="Times New Roman" w:cs="Times New Roman"/>
                <w:sz w:val="24"/>
                <w:szCs w:val="24"/>
              </w:rPr>
              <w:t>FGD_TREAT_TRIAL_ERROR</w:t>
            </w:r>
          </w:p>
        </w:tc>
        <w:tc>
          <w:tcPr>
            <w:tcW w:w="2400" w:type="dxa"/>
          </w:tcPr>
          <w:p w14:paraId="0FBC0D76" w14:textId="77777777" w:rsidR="00C83EE8" w:rsidRPr="00456F5F" w:rsidRDefault="00000000" w:rsidP="00456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F5F">
              <w:rPr>
                <w:rFonts w:ascii="Times New Roman" w:hAnsi="Times New Roman" w:cs="Times New Roman"/>
                <w:sz w:val="24"/>
                <w:szCs w:val="24"/>
              </w:rPr>
              <w:t>Accounts describing self-treatment, experimentation with products, or delayed professional consultation until initial treatment fails.</w:t>
            </w:r>
          </w:p>
        </w:tc>
        <w:tc>
          <w:tcPr>
            <w:tcW w:w="2400" w:type="dxa"/>
          </w:tcPr>
          <w:p w14:paraId="3C5D2695" w14:textId="77777777" w:rsidR="00C83EE8" w:rsidRPr="00456F5F" w:rsidRDefault="00000000" w:rsidP="00456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F5F">
              <w:rPr>
                <w:rFonts w:ascii="Times New Roman" w:hAnsi="Times New Roman" w:cs="Times New Roman"/>
                <w:sz w:val="24"/>
                <w:szCs w:val="24"/>
              </w:rPr>
              <w:t>FGD participants described buying products directly and only seeking professional help after unsuccessful first treatment.</w:t>
            </w:r>
          </w:p>
        </w:tc>
        <w:tc>
          <w:tcPr>
            <w:tcW w:w="2400" w:type="dxa"/>
          </w:tcPr>
          <w:p w14:paraId="5C9DFD3E" w14:textId="77777777" w:rsidR="00C83EE8" w:rsidRPr="00456F5F" w:rsidRDefault="00000000" w:rsidP="00456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F5F">
              <w:rPr>
                <w:rFonts w:ascii="Times New Roman" w:hAnsi="Times New Roman" w:cs="Times New Roman"/>
                <w:sz w:val="24"/>
                <w:szCs w:val="24"/>
              </w:rPr>
              <w:t>Important for coding non-prudent AMU as a behavioural response to weak service access and easy retail availability.</w:t>
            </w:r>
          </w:p>
        </w:tc>
      </w:tr>
      <w:tr w:rsidR="00456F5F" w:rsidRPr="00456F5F" w14:paraId="27A927D9" w14:textId="77777777" w:rsidTr="00456F5F">
        <w:tc>
          <w:tcPr>
            <w:tcW w:w="2400" w:type="dxa"/>
          </w:tcPr>
          <w:p w14:paraId="599A82BC" w14:textId="77777777" w:rsidR="00C83EE8" w:rsidRPr="00456F5F" w:rsidRDefault="00000000" w:rsidP="00456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F5F">
              <w:rPr>
                <w:rFonts w:ascii="Times New Roman" w:hAnsi="Times New Roman" w:cs="Times New Roman"/>
                <w:sz w:val="24"/>
                <w:szCs w:val="24"/>
              </w:rPr>
              <w:t>Retail influence on AMU</w:t>
            </w:r>
          </w:p>
        </w:tc>
        <w:tc>
          <w:tcPr>
            <w:tcW w:w="2400" w:type="dxa"/>
          </w:tcPr>
          <w:p w14:paraId="17963AE5" w14:textId="77777777" w:rsidR="00C83EE8" w:rsidRPr="00456F5F" w:rsidRDefault="00000000" w:rsidP="00456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F5F">
              <w:rPr>
                <w:rFonts w:ascii="Times New Roman" w:hAnsi="Times New Roman" w:cs="Times New Roman"/>
                <w:sz w:val="24"/>
                <w:szCs w:val="24"/>
              </w:rPr>
              <w:t>Peer and seller advice as decision driver</w:t>
            </w:r>
          </w:p>
        </w:tc>
        <w:tc>
          <w:tcPr>
            <w:tcW w:w="2400" w:type="dxa"/>
          </w:tcPr>
          <w:p w14:paraId="795E1970" w14:textId="77777777" w:rsidR="00C83EE8" w:rsidRPr="00456F5F" w:rsidRDefault="00000000" w:rsidP="00456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F5F">
              <w:rPr>
                <w:rFonts w:ascii="Times New Roman" w:hAnsi="Times New Roman" w:cs="Times New Roman"/>
                <w:sz w:val="24"/>
                <w:szCs w:val="24"/>
              </w:rPr>
              <w:t>FGD_RETAIL_PEER_INFLUENCE</w:t>
            </w:r>
          </w:p>
        </w:tc>
        <w:tc>
          <w:tcPr>
            <w:tcW w:w="2400" w:type="dxa"/>
          </w:tcPr>
          <w:p w14:paraId="2A02CB02" w14:textId="77777777" w:rsidR="00C83EE8" w:rsidRPr="00456F5F" w:rsidRDefault="00000000" w:rsidP="00456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F5F">
              <w:rPr>
                <w:rFonts w:ascii="Times New Roman" w:hAnsi="Times New Roman" w:cs="Times New Roman"/>
                <w:sz w:val="24"/>
                <w:szCs w:val="24"/>
              </w:rPr>
              <w:t>Statements showing that product choice is influenced by other farmers, agrovet sellers, or previous personal experience.</w:t>
            </w:r>
          </w:p>
        </w:tc>
        <w:tc>
          <w:tcPr>
            <w:tcW w:w="2400" w:type="dxa"/>
          </w:tcPr>
          <w:p w14:paraId="4832E62A" w14:textId="77777777" w:rsidR="00C83EE8" w:rsidRPr="00456F5F" w:rsidRDefault="00000000" w:rsidP="00456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F5F">
              <w:rPr>
                <w:rFonts w:ascii="Times New Roman" w:hAnsi="Times New Roman" w:cs="Times New Roman"/>
                <w:sz w:val="24"/>
                <w:szCs w:val="24"/>
              </w:rPr>
              <w:t>Discussants said they often rely on colleagues and sellers rather than consistent professional guidance.</w:t>
            </w:r>
          </w:p>
        </w:tc>
        <w:tc>
          <w:tcPr>
            <w:tcW w:w="2400" w:type="dxa"/>
          </w:tcPr>
          <w:p w14:paraId="63B4BC50" w14:textId="77777777" w:rsidR="00C83EE8" w:rsidRPr="00456F5F" w:rsidRDefault="00000000" w:rsidP="00456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F5F">
              <w:rPr>
                <w:rFonts w:ascii="Times New Roman" w:hAnsi="Times New Roman" w:cs="Times New Roman"/>
                <w:sz w:val="24"/>
                <w:szCs w:val="24"/>
              </w:rPr>
              <w:t>Indicates that lay knowledge networks shape AMU in practice.</w:t>
            </w:r>
          </w:p>
        </w:tc>
      </w:tr>
      <w:tr w:rsidR="00456F5F" w:rsidRPr="00456F5F" w14:paraId="191FE848" w14:textId="77777777" w:rsidTr="00456F5F">
        <w:tc>
          <w:tcPr>
            <w:tcW w:w="2400" w:type="dxa"/>
          </w:tcPr>
          <w:p w14:paraId="1F6A810E" w14:textId="77777777" w:rsidR="00C83EE8" w:rsidRPr="00456F5F" w:rsidRDefault="00000000" w:rsidP="00456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F5F">
              <w:rPr>
                <w:rFonts w:ascii="Times New Roman" w:hAnsi="Times New Roman" w:cs="Times New Roman"/>
                <w:sz w:val="24"/>
                <w:szCs w:val="24"/>
              </w:rPr>
              <w:t>Knowledge and risk perception</w:t>
            </w:r>
          </w:p>
        </w:tc>
        <w:tc>
          <w:tcPr>
            <w:tcW w:w="2400" w:type="dxa"/>
          </w:tcPr>
          <w:p w14:paraId="53E5CC07" w14:textId="77777777" w:rsidR="00C83EE8" w:rsidRPr="00456F5F" w:rsidRDefault="00000000" w:rsidP="00456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F5F">
              <w:rPr>
                <w:rFonts w:ascii="Times New Roman" w:hAnsi="Times New Roman" w:cs="Times New Roman"/>
                <w:sz w:val="24"/>
                <w:szCs w:val="24"/>
              </w:rPr>
              <w:t>Partial understanding of prudent AMU</w:t>
            </w:r>
          </w:p>
        </w:tc>
        <w:tc>
          <w:tcPr>
            <w:tcW w:w="2400" w:type="dxa"/>
          </w:tcPr>
          <w:p w14:paraId="31D10F7F" w14:textId="77777777" w:rsidR="00C83EE8" w:rsidRPr="00456F5F" w:rsidRDefault="00000000" w:rsidP="00456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F5F">
              <w:rPr>
                <w:rFonts w:ascii="Times New Roman" w:hAnsi="Times New Roman" w:cs="Times New Roman"/>
                <w:sz w:val="24"/>
                <w:szCs w:val="24"/>
              </w:rPr>
              <w:t>FGD_PARTIAL_AMU_KNOWLEDGE</w:t>
            </w:r>
          </w:p>
        </w:tc>
        <w:tc>
          <w:tcPr>
            <w:tcW w:w="2400" w:type="dxa"/>
          </w:tcPr>
          <w:p w14:paraId="3C4C44A4" w14:textId="77777777" w:rsidR="00C83EE8" w:rsidRPr="00456F5F" w:rsidRDefault="00000000" w:rsidP="00456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F5F">
              <w:rPr>
                <w:rFonts w:ascii="Times New Roman" w:hAnsi="Times New Roman" w:cs="Times New Roman"/>
                <w:sz w:val="24"/>
                <w:szCs w:val="24"/>
              </w:rPr>
              <w:t>Evidence that farmers recognise some AMU concepts but do not consistently apply them in practice.</w:t>
            </w:r>
          </w:p>
        </w:tc>
        <w:tc>
          <w:tcPr>
            <w:tcW w:w="2400" w:type="dxa"/>
          </w:tcPr>
          <w:p w14:paraId="54F228AF" w14:textId="77777777" w:rsidR="00C83EE8" w:rsidRPr="00456F5F" w:rsidRDefault="00000000" w:rsidP="00456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F5F">
              <w:rPr>
                <w:rFonts w:ascii="Times New Roman" w:hAnsi="Times New Roman" w:cs="Times New Roman"/>
                <w:sz w:val="24"/>
                <w:szCs w:val="24"/>
              </w:rPr>
              <w:t xml:space="preserve">Participants knew of treatment goals and, in some cases, withdrawal periods, but implementation </w:t>
            </w:r>
            <w:r w:rsidRPr="00456F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remained selective.</w:t>
            </w:r>
          </w:p>
        </w:tc>
        <w:tc>
          <w:tcPr>
            <w:tcW w:w="2400" w:type="dxa"/>
          </w:tcPr>
          <w:p w14:paraId="690FAAFF" w14:textId="77777777" w:rsidR="00C83EE8" w:rsidRPr="00456F5F" w:rsidRDefault="00000000" w:rsidP="00456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F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Useful for distinguishing awareness from actual compliance behaviour.</w:t>
            </w:r>
          </w:p>
        </w:tc>
      </w:tr>
      <w:tr w:rsidR="00456F5F" w:rsidRPr="00456F5F" w14:paraId="555487E8" w14:textId="77777777" w:rsidTr="00456F5F">
        <w:tc>
          <w:tcPr>
            <w:tcW w:w="2400" w:type="dxa"/>
          </w:tcPr>
          <w:p w14:paraId="781EDE5B" w14:textId="77777777" w:rsidR="00C83EE8" w:rsidRPr="00456F5F" w:rsidRDefault="00000000" w:rsidP="00456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F5F">
              <w:rPr>
                <w:rFonts w:ascii="Times New Roman" w:hAnsi="Times New Roman" w:cs="Times New Roman"/>
                <w:sz w:val="24"/>
                <w:szCs w:val="24"/>
              </w:rPr>
              <w:t>Economic pressure and compliance</w:t>
            </w:r>
          </w:p>
        </w:tc>
        <w:tc>
          <w:tcPr>
            <w:tcW w:w="2400" w:type="dxa"/>
          </w:tcPr>
          <w:p w14:paraId="53453ED8" w14:textId="77777777" w:rsidR="00C83EE8" w:rsidRPr="00456F5F" w:rsidRDefault="00000000" w:rsidP="00456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F5F">
              <w:rPr>
                <w:rFonts w:ascii="Times New Roman" w:hAnsi="Times New Roman" w:cs="Times New Roman"/>
                <w:sz w:val="24"/>
                <w:szCs w:val="24"/>
              </w:rPr>
              <w:t>Income loss discourages withdrawal compliance</w:t>
            </w:r>
          </w:p>
        </w:tc>
        <w:tc>
          <w:tcPr>
            <w:tcW w:w="2400" w:type="dxa"/>
          </w:tcPr>
          <w:p w14:paraId="2288D2FD" w14:textId="77777777" w:rsidR="00C83EE8" w:rsidRPr="00456F5F" w:rsidRDefault="00000000" w:rsidP="00456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F5F">
              <w:rPr>
                <w:rFonts w:ascii="Times New Roman" w:hAnsi="Times New Roman" w:cs="Times New Roman"/>
                <w:sz w:val="24"/>
                <w:szCs w:val="24"/>
              </w:rPr>
              <w:t>FGD_WITHDRAWAL_ECON</w:t>
            </w:r>
          </w:p>
        </w:tc>
        <w:tc>
          <w:tcPr>
            <w:tcW w:w="2400" w:type="dxa"/>
          </w:tcPr>
          <w:p w14:paraId="76130AAD" w14:textId="77777777" w:rsidR="00C83EE8" w:rsidRPr="00456F5F" w:rsidRDefault="00000000" w:rsidP="00456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F5F">
              <w:rPr>
                <w:rFonts w:ascii="Times New Roman" w:hAnsi="Times New Roman" w:cs="Times New Roman"/>
                <w:sz w:val="24"/>
                <w:szCs w:val="24"/>
              </w:rPr>
              <w:t>Statements showing farmers weigh withdrawal rules against immediate income needs from milk, meat, or eggs.</w:t>
            </w:r>
          </w:p>
        </w:tc>
        <w:tc>
          <w:tcPr>
            <w:tcW w:w="2400" w:type="dxa"/>
          </w:tcPr>
          <w:p w14:paraId="538D75B9" w14:textId="77777777" w:rsidR="00C83EE8" w:rsidRPr="00456F5F" w:rsidRDefault="00000000" w:rsidP="00456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F5F">
              <w:rPr>
                <w:rFonts w:ascii="Times New Roman" w:hAnsi="Times New Roman" w:cs="Times New Roman"/>
                <w:sz w:val="24"/>
                <w:szCs w:val="24"/>
              </w:rPr>
              <w:t>Farmers acknowledged that withholding products during withdrawal periods can be economically difficult.</w:t>
            </w:r>
          </w:p>
        </w:tc>
        <w:tc>
          <w:tcPr>
            <w:tcW w:w="2400" w:type="dxa"/>
          </w:tcPr>
          <w:p w14:paraId="74EA232E" w14:textId="77777777" w:rsidR="00C83EE8" w:rsidRPr="00456F5F" w:rsidRDefault="00000000" w:rsidP="00456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F5F">
              <w:rPr>
                <w:rFonts w:ascii="Times New Roman" w:hAnsi="Times New Roman" w:cs="Times New Roman"/>
                <w:sz w:val="24"/>
                <w:szCs w:val="24"/>
              </w:rPr>
              <w:t>Supports the argument that stewardship measures must address incentives, not only knowledge.</w:t>
            </w:r>
          </w:p>
        </w:tc>
      </w:tr>
      <w:tr w:rsidR="00456F5F" w:rsidRPr="00456F5F" w14:paraId="1BA4D323" w14:textId="77777777" w:rsidTr="00456F5F">
        <w:tc>
          <w:tcPr>
            <w:tcW w:w="2400" w:type="dxa"/>
          </w:tcPr>
          <w:p w14:paraId="26EEB436" w14:textId="77777777" w:rsidR="00C83EE8" w:rsidRPr="00456F5F" w:rsidRDefault="00000000" w:rsidP="00456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F5F">
              <w:rPr>
                <w:rFonts w:ascii="Times New Roman" w:hAnsi="Times New Roman" w:cs="Times New Roman"/>
                <w:sz w:val="24"/>
                <w:szCs w:val="24"/>
              </w:rPr>
              <w:t>Waste and environmental practices</w:t>
            </w:r>
          </w:p>
        </w:tc>
        <w:tc>
          <w:tcPr>
            <w:tcW w:w="2400" w:type="dxa"/>
          </w:tcPr>
          <w:p w14:paraId="2E8448CB" w14:textId="77777777" w:rsidR="00C83EE8" w:rsidRPr="00456F5F" w:rsidRDefault="00000000" w:rsidP="00456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F5F">
              <w:rPr>
                <w:rFonts w:ascii="Times New Roman" w:hAnsi="Times New Roman" w:cs="Times New Roman"/>
                <w:sz w:val="24"/>
                <w:szCs w:val="24"/>
              </w:rPr>
              <w:t>Improper disposal of antimicrobials or containers</w:t>
            </w:r>
          </w:p>
        </w:tc>
        <w:tc>
          <w:tcPr>
            <w:tcW w:w="2400" w:type="dxa"/>
          </w:tcPr>
          <w:p w14:paraId="23E97109" w14:textId="77777777" w:rsidR="00C83EE8" w:rsidRPr="00456F5F" w:rsidRDefault="00000000" w:rsidP="00456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F5F">
              <w:rPr>
                <w:rFonts w:ascii="Times New Roman" w:hAnsi="Times New Roman" w:cs="Times New Roman"/>
                <w:sz w:val="24"/>
                <w:szCs w:val="24"/>
              </w:rPr>
              <w:t>FGD_WASTE_HOUSEHOLD</w:t>
            </w:r>
          </w:p>
        </w:tc>
        <w:tc>
          <w:tcPr>
            <w:tcW w:w="2400" w:type="dxa"/>
          </w:tcPr>
          <w:p w14:paraId="4DA21F37" w14:textId="77777777" w:rsidR="00C83EE8" w:rsidRPr="00456F5F" w:rsidRDefault="00000000" w:rsidP="00456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F5F">
              <w:rPr>
                <w:rFonts w:ascii="Times New Roman" w:hAnsi="Times New Roman" w:cs="Times New Roman"/>
                <w:sz w:val="24"/>
                <w:szCs w:val="24"/>
              </w:rPr>
              <w:t>Farmer practices involving disposal through household waste, open dumping, or uncontrolled routes.</w:t>
            </w:r>
          </w:p>
        </w:tc>
        <w:tc>
          <w:tcPr>
            <w:tcW w:w="2400" w:type="dxa"/>
          </w:tcPr>
          <w:p w14:paraId="5F945C9E" w14:textId="77777777" w:rsidR="00C83EE8" w:rsidRPr="00456F5F" w:rsidRDefault="00000000" w:rsidP="00456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F5F">
              <w:rPr>
                <w:rFonts w:ascii="Times New Roman" w:hAnsi="Times New Roman" w:cs="Times New Roman"/>
                <w:sz w:val="24"/>
                <w:szCs w:val="24"/>
              </w:rPr>
              <w:t>Participants reported that unused medicines and containers are often discarded through ordinary household waste streams.</w:t>
            </w:r>
          </w:p>
        </w:tc>
        <w:tc>
          <w:tcPr>
            <w:tcW w:w="2400" w:type="dxa"/>
          </w:tcPr>
          <w:p w14:paraId="59B1F8DB" w14:textId="77777777" w:rsidR="00C83EE8" w:rsidRPr="00456F5F" w:rsidRDefault="00000000" w:rsidP="00456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F5F">
              <w:rPr>
                <w:rFonts w:ascii="Times New Roman" w:hAnsi="Times New Roman" w:cs="Times New Roman"/>
                <w:sz w:val="24"/>
                <w:szCs w:val="24"/>
              </w:rPr>
              <w:t>Links household practice to environmental AMR risk within the One Health framework.</w:t>
            </w:r>
          </w:p>
        </w:tc>
      </w:tr>
      <w:tr w:rsidR="00456F5F" w:rsidRPr="00456F5F" w14:paraId="19352908" w14:textId="77777777" w:rsidTr="00456F5F">
        <w:tc>
          <w:tcPr>
            <w:tcW w:w="2400" w:type="dxa"/>
          </w:tcPr>
          <w:p w14:paraId="1D449692" w14:textId="77777777" w:rsidR="00C83EE8" w:rsidRPr="00456F5F" w:rsidRDefault="00000000" w:rsidP="00456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F5F">
              <w:rPr>
                <w:rFonts w:ascii="Times New Roman" w:hAnsi="Times New Roman" w:cs="Times New Roman"/>
                <w:sz w:val="24"/>
                <w:szCs w:val="24"/>
              </w:rPr>
              <w:t>Agricultural reuse pathways</w:t>
            </w:r>
          </w:p>
        </w:tc>
        <w:tc>
          <w:tcPr>
            <w:tcW w:w="2400" w:type="dxa"/>
          </w:tcPr>
          <w:p w14:paraId="6B5122FF" w14:textId="77777777" w:rsidR="00C83EE8" w:rsidRPr="00456F5F" w:rsidRDefault="00000000" w:rsidP="00456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F5F">
              <w:rPr>
                <w:rFonts w:ascii="Times New Roman" w:hAnsi="Times New Roman" w:cs="Times New Roman"/>
                <w:sz w:val="24"/>
                <w:szCs w:val="24"/>
              </w:rPr>
              <w:t>Manure application despite residue risk</w:t>
            </w:r>
          </w:p>
        </w:tc>
        <w:tc>
          <w:tcPr>
            <w:tcW w:w="2400" w:type="dxa"/>
          </w:tcPr>
          <w:p w14:paraId="22B8872D" w14:textId="77777777" w:rsidR="00C83EE8" w:rsidRPr="00456F5F" w:rsidRDefault="00000000" w:rsidP="00456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F5F">
              <w:rPr>
                <w:rFonts w:ascii="Times New Roman" w:hAnsi="Times New Roman" w:cs="Times New Roman"/>
                <w:sz w:val="24"/>
                <w:szCs w:val="24"/>
              </w:rPr>
              <w:t>FGD_MANURE_REUSE</w:t>
            </w:r>
          </w:p>
        </w:tc>
        <w:tc>
          <w:tcPr>
            <w:tcW w:w="2400" w:type="dxa"/>
          </w:tcPr>
          <w:p w14:paraId="1C268A9D" w14:textId="77777777" w:rsidR="00C83EE8" w:rsidRPr="00456F5F" w:rsidRDefault="00000000" w:rsidP="00456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F5F">
              <w:rPr>
                <w:rFonts w:ascii="Times New Roman" w:hAnsi="Times New Roman" w:cs="Times New Roman"/>
                <w:sz w:val="24"/>
                <w:szCs w:val="24"/>
              </w:rPr>
              <w:t>Use of manure or farm waste in crop fields without systematic attention to antimicrobial residue implications.</w:t>
            </w:r>
          </w:p>
        </w:tc>
        <w:tc>
          <w:tcPr>
            <w:tcW w:w="2400" w:type="dxa"/>
          </w:tcPr>
          <w:p w14:paraId="0DA06488" w14:textId="77777777" w:rsidR="00C83EE8" w:rsidRPr="00456F5F" w:rsidRDefault="00000000" w:rsidP="00456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F5F">
              <w:rPr>
                <w:rFonts w:ascii="Times New Roman" w:hAnsi="Times New Roman" w:cs="Times New Roman"/>
                <w:sz w:val="24"/>
                <w:szCs w:val="24"/>
              </w:rPr>
              <w:t>FGDs showed manure is commonly applied to fields, even where awareness of residue risk is limited.</w:t>
            </w:r>
          </w:p>
        </w:tc>
        <w:tc>
          <w:tcPr>
            <w:tcW w:w="2400" w:type="dxa"/>
          </w:tcPr>
          <w:p w14:paraId="5D3D716C" w14:textId="77777777" w:rsidR="00C83EE8" w:rsidRPr="00456F5F" w:rsidRDefault="00000000" w:rsidP="00456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F5F">
              <w:rPr>
                <w:rFonts w:ascii="Times New Roman" w:hAnsi="Times New Roman" w:cs="Times New Roman"/>
                <w:sz w:val="24"/>
                <w:szCs w:val="24"/>
              </w:rPr>
              <w:t>Important for tracking environmental spillover pathways from livestock systems to crops and water.</w:t>
            </w:r>
          </w:p>
        </w:tc>
      </w:tr>
      <w:tr w:rsidR="00456F5F" w:rsidRPr="00456F5F" w14:paraId="1018BF83" w14:textId="77777777" w:rsidTr="00456F5F">
        <w:tc>
          <w:tcPr>
            <w:tcW w:w="2400" w:type="dxa"/>
          </w:tcPr>
          <w:p w14:paraId="2773E7DB" w14:textId="77777777" w:rsidR="00C83EE8" w:rsidRPr="00456F5F" w:rsidRDefault="00000000" w:rsidP="00456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F5F">
              <w:rPr>
                <w:rFonts w:ascii="Times New Roman" w:hAnsi="Times New Roman" w:cs="Times New Roman"/>
                <w:sz w:val="24"/>
                <w:szCs w:val="24"/>
              </w:rPr>
              <w:t>Non-therapeutic AMU rationale</w:t>
            </w:r>
          </w:p>
        </w:tc>
        <w:tc>
          <w:tcPr>
            <w:tcW w:w="2400" w:type="dxa"/>
          </w:tcPr>
          <w:p w14:paraId="24928F22" w14:textId="77777777" w:rsidR="00C83EE8" w:rsidRPr="00456F5F" w:rsidRDefault="00000000" w:rsidP="00456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F5F">
              <w:rPr>
                <w:rFonts w:ascii="Times New Roman" w:hAnsi="Times New Roman" w:cs="Times New Roman"/>
                <w:sz w:val="24"/>
                <w:szCs w:val="24"/>
              </w:rPr>
              <w:t>Use for prevention or performance maintenance</w:t>
            </w:r>
          </w:p>
        </w:tc>
        <w:tc>
          <w:tcPr>
            <w:tcW w:w="2400" w:type="dxa"/>
          </w:tcPr>
          <w:p w14:paraId="2589C546" w14:textId="77777777" w:rsidR="00C83EE8" w:rsidRPr="00456F5F" w:rsidRDefault="00000000" w:rsidP="00456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F5F">
              <w:rPr>
                <w:rFonts w:ascii="Times New Roman" w:hAnsi="Times New Roman" w:cs="Times New Roman"/>
                <w:sz w:val="24"/>
                <w:szCs w:val="24"/>
              </w:rPr>
              <w:t>FGD_NONTHER_USE</w:t>
            </w:r>
          </w:p>
        </w:tc>
        <w:tc>
          <w:tcPr>
            <w:tcW w:w="2400" w:type="dxa"/>
          </w:tcPr>
          <w:p w14:paraId="3161D191" w14:textId="77777777" w:rsidR="00C83EE8" w:rsidRPr="00456F5F" w:rsidRDefault="00000000" w:rsidP="00456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F5F">
              <w:rPr>
                <w:rFonts w:ascii="Times New Roman" w:hAnsi="Times New Roman" w:cs="Times New Roman"/>
                <w:sz w:val="24"/>
                <w:szCs w:val="24"/>
              </w:rPr>
              <w:t>References to using antimicrobials for anticipated disease prevention, stress reduction, or productivity enhancement.</w:t>
            </w:r>
          </w:p>
        </w:tc>
        <w:tc>
          <w:tcPr>
            <w:tcW w:w="2400" w:type="dxa"/>
          </w:tcPr>
          <w:p w14:paraId="10B177ED" w14:textId="77777777" w:rsidR="00C83EE8" w:rsidRPr="00456F5F" w:rsidRDefault="00000000" w:rsidP="00456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F5F">
              <w:rPr>
                <w:rFonts w:ascii="Times New Roman" w:hAnsi="Times New Roman" w:cs="Times New Roman"/>
                <w:sz w:val="24"/>
                <w:szCs w:val="24"/>
              </w:rPr>
              <w:t xml:space="preserve">Discussions suggested that farmers may use antimicrobials not only for treatment but also to sustain production or </w:t>
            </w:r>
            <w:r w:rsidRPr="00456F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reduce perceived future risk.</w:t>
            </w:r>
          </w:p>
        </w:tc>
        <w:tc>
          <w:tcPr>
            <w:tcW w:w="2400" w:type="dxa"/>
          </w:tcPr>
          <w:p w14:paraId="0352872F" w14:textId="77777777" w:rsidR="00C83EE8" w:rsidRPr="00456F5F" w:rsidRDefault="00000000" w:rsidP="00456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F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Supports the study concern about non-therapeutic use and substitution for good husbandry.</w:t>
            </w:r>
          </w:p>
        </w:tc>
      </w:tr>
      <w:tr w:rsidR="00456F5F" w:rsidRPr="00456F5F" w14:paraId="3618F18E" w14:textId="77777777" w:rsidTr="00456F5F">
        <w:tc>
          <w:tcPr>
            <w:tcW w:w="2400" w:type="dxa"/>
          </w:tcPr>
          <w:p w14:paraId="2077C93B" w14:textId="77777777" w:rsidR="00C83EE8" w:rsidRPr="00456F5F" w:rsidRDefault="00000000" w:rsidP="00456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F5F">
              <w:rPr>
                <w:rFonts w:ascii="Times New Roman" w:hAnsi="Times New Roman" w:cs="Times New Roman"/>
                <w:sz w:val="24"/>
                <w:szCs w:val="24"/>
              </w:rPr>
              <w:t>Structural husbandry constraints</w:t>
            </w:r>
          </w:p>
        </w:tc>
        <w:tc>
          <w:tcPr>
            <w:tcW w:w="2400" w:type="dxa"/>
          </w:tcPr>
          <w:p w14:paraId="2E6F8F3D" w14:textId="77777777" w:rsidR="00C83EE8" w:rsidRPr="00456F5F" w:rsidRDefault="00000000" w:rsidP="00456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F5F">
              <w:rPr>
                <w:rFonts w:ascii="Times New Roman" w:hAnsi="Times New Roman" w:cs="Times New Roman"/>
                <w:sz w:val="24"/>
                <w:szCs w:val="24"/>
              </w:rPr>
              <w:t>Antimicrobials as substitute for weak husbandry</w:t>
            </w:r>
          </w:p>
        </w:tc>
        <w:tc>
          <w:tcPr>
            <w:tcW w:w="2400" w:type="dxa"/>
          </w:tcPr>
          <w:p w14:paraId="08D6D07C" w14:textId="77777777" w:rsidR="00C83EE8" w:rsidRPr="00456F5F" w:rsidRDefault="00000000" w:rsidP="00456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F5F">
              <w:rPr>
                <w:rFonts w:ascii="Times New Roman" w:hAnsi="Times New Roman" w:cs="Times New Roman"/>
                <w:sz w:val="24"/>
                <w:szCs w:val="24"/>
              </w:rPr>
              <w:t>FGD_HUSBANDRY_SUBSTITUTE</w:t>
            </w:r>
          </w:p>
        </w:tc>
        <w:tc>
          <w:tcPr>
            <w:tcW w:w="2400" w:type="dxa"/>
          </w:tcPr>
          <w:p w14:paraId="3408D6CD" w14:textId="77777777" w:rsidR="00C83EE8" w:rsidRPr="00456F5F" w:rsidRDefault="00000000" w:rsidP="00456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F5F">
              <w:rPr>
                <w:rFonts w:ascii="Times New Roman" w:hAnsi="Times New Roman" w:cs="Times New Roman"/>
                <w:sz w:val="24"/>
                <w:szCs w:val="24"/>
              </w:rPr>
              <w:t>Evidence that poor sanitation, crowding, weak biosecurity, or inadequate prevention practices increase reliance on antimicrobials.</w:t>
            </w:r>
          </w:p>
        </w:tc>
        <w:tc>
          <w:tcPr>
            <w:tcW w:w="2400" w:type="dxa"/>
          </w:tcPr>
          <w:p w14:paraId="52254153" w14:textId="77777777" w:rsidR="00C83EE8" w:rsidRPr="00456F5F" w:rsidRDefault="00000000" w:rsidP="00456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F5F">
              <w:rPr>
                <w:rFonts w:ascii="Times New Roman" w:hAnsi="Times New Roman" w:cs="Times New Roman"/>
                <w:sz w:val="24"/>
                <w:szCs w:val="24"/>
              </w:rPr>
              <w:t>The narrative indicates farmers may turn to antimicrobials where management conditions remain sub-optimal.</w:t>
            </w:r>
          </w:p>
        </w:tc>
        <w:tc>
          <w:tcPr>
            <w:tcW w:w="2400" w:type="dxa"/>
          </w:tcPr>
          <w:p w14:paraId="7A47F899" w14:textId="77777777" w:rsidR="00C83EE8" w:rsidRPr="00456F5F" w:rsidRDefault="00000000" w:rsidP="00456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F5F">
              <w:rPr>
                <w:rFonts w:ascii="Times New Roman" w:hAnsi="Times New Roman" w:cs="Times New Roman"/>
                <w:sz w:val="24"/>
                <w:szCs w:val="24"/>
              </w:rPr>
              <w:t>This code helps separate immediate AMU behaviour from underlying structural drivers.</w:t>
            </w:r>
          </w:p>
        </w:tc>
      </w:tr>
      <w:tr w:rsidR="00456F5F" w:rsidRPr="00456F5F" w14:paraId="68D30CCF" w14:textId="77777777" w:rsidTr="00456F5F">
        <w:tc>
          <w:tcPr>
            <w:tcW w:w="2400" w:type="dxa"/>
          </w:tcPr>
          <w:p w14:paraId="75F7A4AE" w14:textId="77777777" w:rsidR="00C83EE8" w:rsidRPr="00456F5F" w:rsidRDefault="00000000" w:rsidP="00456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F5F">
              <w:rPr>
                <w:rFonts w:ascii="Times New Roman" w:hAnsi="Times New Roman" w:cs="Times New Roman"/>
                <w:sz w:val="24"/>
                <w:szCs w:val="24"/>
              </w:rPr>
              <w:t>Trust and technical authority</w:t>
            </w:r>
          </w:p>
        </w:tc>
        <w:tc>
          <w:tcPr>
            <w:tcW w:w="2400" w:type="dxa"/>
          </w:tcPr>
          <w:p w14:paraId="3875AE15" w14:textId="77777777" w:rsidR="00C83EE8" w:rsidRPr="00456F5F" w:rsidRDefault="00000000" w:rsidP="00456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F5F">
              <w:rPr>
                <w:rFonts w:ascii="Times New Roman" w:hAnsi="Times New Roman" w:cs="Times New Roman"/>
                <w:sz w:val="24"/>
                <w:szCs w:val="24"/>
              </w:rPr>
              <w:t>Low routine consultation with professionals</w:t>
            </w:r>
          </w:p>
        </w:tc>
        <w:tc>
          <w:tcPr>
            <w:tcW w:w="2400" w:type="dxa"/>
          </w:tcPr>
          <w:p w14:paraId="15A433AC" w14:textId="77777777" w:rsidR="00C83EE8" w:rsidRPr="00456F5F" w:rsidRDefault="00000000" w:rsidP="00456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F5F">
              <w:rPr>
                <w:rFonts w:ascii="Times New Roman" w:hAnsi="Times New Roman" w:cs="Times New Roman"/>
                <w:sz w:val="24"/>
                <w:szCs w:val="24"/>
              </w:rPr>
              <w:t>FGD_LOW_PROF_CONSULT</w:t>
            </w:r>
          </w:p>
        </w:tc>
        <w:tc>
          <w:tcPr>
            <w:tcW w:w="2400" w:type="dxa"/>
          </w:tcPr>
          <w:p w14:paraId="575F115E" w14:textId="77777777" w:rsidR="00C83EE8" w:rsidRPr="00456F5F" w:rsidRDefault="00000000" w:rsidP="00456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F5F">
              <w:rPr>
                <w:rFonts w:ascii="Times New Roman" w:hAnsi="Times New Roman" w:cs="Times New Roman"/>
                <w:sz w:val="24"/>
                <w:szCs w:val="24"/>
              </w:rPr>
              <w:t>Farmer accounts showing infrequent contact with veterinarians or limited dependence on professional advice.</w:t>
            </w:r>
          </w:p>
        </w:tc>
        <w:tc>
          <w:tcPr>
            <w:tcW w:w="2400" w:type="dxa"/>
          </w:tcPr>
          <w:p w14:paraId="752A32B7" w14:textId="77777777" w:rsidR="00C83EE8" w:rsidRPr="00456F5F" w:rsidRDefault="00000000" w:rsidP="00456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F5F">
              <w:rPr>
                <w:rFonts w:ascii="Times New Roman" w:hAnsi="Times New Roman" w:cs="Times New Roman"/>
                <w:sz w:val="24"/>
                <w:szCs w:val="24"/>
              </w:rPr>
              <w:t>Professional advice was reported to be less frequent than peer or seller advice during routine decision-making.</w:t>
            </w:r>
          </w:p>
        </w:tc>
        <w:tc>
          <w:tcPr>
            <w:tcW w:w="2400" w:type="dxa"/>
          </w:tcPr>
          <w:p w14:paraId="6EE88213" w14:textId="77777777" w:rsidR="00C83EE8" w:rsidRPr="00456F5F" w:rsidRDefault="00000000" w:rsidP="00456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F5F">
              <w:rPr>
                <w:rFonts w:ascii="Times New Roman" w:hAnsi="Times New Roman" w:cs="Times New Roman"/>
                <w:sz w:val="24"/>
                <w:szCs w:val="24"/>
              </w:rPr>
              <w:t>Useful for analysing why policy messages do not always shape day-to-day behaviour.</w:t>
            </w:r>
          </w:p>
        </w:tc>
      </w:tr>
    </w:tbl>
    <w:p w14:paraId="11B69D22" w14:textId="04744F33" w:rsidR="00C83EE8" w:rsidRPr="00456F5F" w:rsidRDefault="00456F5F" w:rsidP="00456F5F">
      <w:pPr>
        <w:rPr>
          <w:rFonts w:ascii="Times New Roman" w:hAnsi="Times New Roman" w:cs="Times New Roman"/>
          <w:sz w:val="24"/>
          <w:szCs w:val="24"/>
        </w:rPr>
      </w:pPr>
      <w:r w:rsidRPr="00456F5F">
        <w:rPr>
          <w:rFonts w:ascii="Times New Roman" w:hAnsi="Times New Roman" w:cs="Times New Roman"/>
          <w:sz w:val="24"/>
          <w:szCs w:val="24"/>
        </w:rPr>
        <w:br w:type="textWrapping" w:clear="all"/>
      </w:r>
      <w:r w:rsidR="00000000" w:rsidRPr="00456F5F">
        <w:rPr>
          <w:rFonts w:ascii="Times New Roman" w:hAnsi="Times New Roman" w:cs="Times New Roman"/>
          <w:sz w:val="24"/>
          <w:szCs w:val="24"/>
        </w:rPr>
        <w:t>C. Suggested cross-cutting synthesis codes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531"/>
        <w:gridCol w:w="9859"/>
      </w:tblGrid>
      <w:tr w:rsidR="00456F5F" w:rsidRPr="00456F5F" w14:paraId="07395C3C" w14:textId="77777777" w:rsidTr="00456F5F">
        <w:trPr>
          <w:tblHeader/>
          <w:jc w:val="center"/>
        </w:trPr>
        <w:tc>
          <w:tcPr>
            <w:tcW w:w="4531" w:type="dxa"/>
            <w:shd w:val="clear" w:color="auto" w:fill="C6D9F1" w:themeFill="text2" w:themeFillTint="33"/>
            <w:vAlign w:val="center"/>
          </w:tcPr>
          <w:p w14:paraId="25B6CBFD" w14:textId="77777777" w:rsidR="00C83EE8" w:rsidRPr="00456F5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F5F">
              <w:rPr>
                <w:rFonts w:ascii="Times New Roman" w:hAnsi="Times New Roman" w:cs="Times New Roman"/>
                <w:b/>
                <w:sz w:val="24"/>
                <w:szCs w:val="24"/>
              </w:rPr>
              <w:t>Synthesis code</w:t>
            </w:r>
          </w:p>
        </w:tc>
        <w:tc>
          <w:tcPr>
            <w:tcW w:w="9859" w:type="dxa"/>
            <w:shd w:val="clear" w:color="auto" w:fill="C6D9F1" w:themeFill="text2" w:themeFillTint="33"/>
            <w:vAlign w:val="center"/>
          </w:tcPr>
          <w:p w14:paraId="70BC69F2" w14:textId="42BC0DD7" w:rsidR="00C83EE8" w:rsidRPr="00456F5F" w:rsidRDefault="00456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Application</w:t>
            </w:r>
          </w:p>
        </w:tc>
      </w:tr>
      <w:tr w:rsidR="00456F5F" w:rsidRPr="00456F5F" w14:paraId="17264034" w14:textId="77777777" w:rsidTr="00456F5F">
        <w:trPr>
          <w:jc w:val="center"/>
        </w:trPr>
        <w:tc>
          <w:tcPr>
            <w:tcW w:w="4531" w:type="dxa"/>
          </w:tcPr>
          <w:p w14:paraId="3E940BE4" w14:textId="77777777" w:rsidR="00C83EE8" w:rsidRPr="00456F5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F5F">
              <w:rPr>
                <w:rFonts w:ascii="Times New Roman" w:hAnsi="Times New Roman" w:cs="Times New Roman"/>
                <w:sz w:val="24"/>
                <w:szCs w:val="24"/>
              </w:rPr>
              <w:t>Policy-practice divergence</w:t>
            </w:r>
          </w:p>
        </w:tc>
        <w:tc>
          <w:tcPr>
            <w:tcW w:w="9859" w:type="dxa"/>
          </w:tcPr>
          <w:p w14:paraId="5098F61B" w14:textId="77777777" w:rsidR="00C83EE8" w:rsidRPr="00456F5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F5F">
              <w:rPr>
                <w:rFonts w:ascii="Times New Roman" w:hAnsi="Times New Roman" w:cs="Times New Roman"/>
                <w:sz w:val="24"/>
                <w:szCs w:val="24"/>
              </w:rPr>
              <w:t>Use when formal institutional intent differs from observed field behaviour.</w:t>
            </w:r>
          </w:p>
        </w:tc>
      </w:tr>
      <w:tr w:rsidR="00456F5F" w:rsidRPr="00456F5F" w14:paraId="20E1D484" w14:textId="77777777" w:rsidTr="00456F5F">
        <w:trPr>
          <w:jc w:val="center"/>
        </w:trPr>
        <w:tc>
          <w:tcPr>
            <w:tcW w:w="4531" w:type="dxa"/>
          </w:tcPr>
          <w:p w14:paraId="3179CEED" w14:textId="77777777" w:rsidR="00C83EE8" w:rsidRPr="00456F5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F5F">
              <w:rPr>
                <w:rFonts w:ascii="Times New Roman" w:hAnsi="Times New Roman" w:cs="Times New Roman"/>
                <w:sz w:val="24"/>
                <w:szCs w:val="24"/>
              </w:rPr>
              <w:t>Service-access constraint</w:t>
            </w:r>
          </w:p>
        </w:tc>
        <w:tc>
          <w:tcPr>
            <w:tcW w:w="9859" w:type="dxa"/>
          </w:tcPr>
          <w:p w14:paraId="2904313E" w14:textId="77777777" w:rsidR="00C83EE8" w:rsidRPr="00456F5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F5F">
              <w:rPr>
                <w:rFonts w:ascii="Times New Roman" w:hAnsi="Times New Roman" w:cs="Times New Roman"/>
                <w:sz w:val="24"/>
                <w:szCs w:val="24"/>
              </w:rPr>
              <w:t>Use where limited professional reach, cost, distance, or infrastructure shapes AMU choices.</w:t>
            </w:r>
          </w:p>
        </w:tc>
      </w:tr>
      <w:tr w:rsidR="00456F5F" w:rsidRPr="00456F5F" w14:paraId="5509FC5A" w14:textId="77777777" w:rsidTr="00456F5F">
        <w:trPr>
          <w:jc w:val="center"/>
        </w:trPr>
        <w:tc>
          <w:tcPr>
            <w:tcW w:w="4531" w:type="dxa"/>
          </w:tcPr>
          <w:p w14:paraId="12A2A040" w14:textId="77777777" w:rsidR="00C83EE8" w:rsidRPr="00456F5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F5F">
              <w:rPr>
                <w:rFonts w:ascii="Times New Roman" w:hAnsi="Times New Roman" w:cs="Times New Roman"/>
                <w:sz w:val="24"/>
                <w:szCs w:val="24"/>
              </w:rPr>
              <w:t>Retail gatekeeping</w:t>
            </w:r>
          </w:p>
        </w:tc>
        <w:tc>
          <w:tcPr>
            <w:tcW w:w="9859" w:type="dxa"/>
          </w:tcPr>
          <w:p w14:paraId="03EA77FE" w14:textId="77777777" w:rsidR="00C83EE8" w:rsidRPr="00456F5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F5F">
              <w:rPr>
                <w:rFonts w:ascii="Times New Roman" w:hAnsi="Times New Roman" w:cs="Times New Roman"/>
                <w:sz w:val="24"/>
                <w:szCs w:val="24"/>
              </w:rPr>
              <w:t>Use where agrovet outlets or sellers influence access, advice, or product choice.</w:t>
            </w:r>
          </w:p>
        </w:tc>
      </w:tr>
      <w:tr w:rsidR="00456F5F" w:rsidRPr="00456F5F" w14:paraId="5D1B2EEF" w14:textId="77777777" w:rsidTr="00456F5F">
        <w:trPr>
          <w:jc w:val="center"/>
        </w:trPr>
        <w:tc>
          <w:tcPr>
            <w:tcW w:w="4531" w:type="dxa"/>
          </w:tcPr>
          <w:p w14:paraId="7B22E18F" w14:textId="77777777" w:rsidR="00C83EE8" w:rsidRPr="00456F5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F5F">
              <w:rPr>
                <w:rFonts w:ascii="Times New Roman" w:hAnsi="Times New Roman" w:cs="Times New Roman"/>
                <w:sz w:val="24"/>
                <w:szCs w:val="24"/>
              </w:rPr>
              <w:t>Economic trade-off</w:t>
            </w:r>
          </w:p>
        </w:tc>
        <w:tc>
          <w:tcPr>
            <w:tcW w:w="9859" w:type="dxa"/>
          </w:tcPr>
          <w:p w14:paraId="04341520" w14:textId="77777777" w:rsidR="00C83EE8" w:rsidRPr="00456F5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F5F">
              <w:rPr>
                <w:rFonts w:ascii="Times New Roman" w:hAnsi="Times New Roman" w:cs="Times New Roman"/>
                <w:sz w:val="24"/>
                <w:szCs w:val="24"/>
              </w:rPr>
              <w:t>Use where farmers balance prudent AMU against cash-flow, productivity, or market pressure.</w:t>
            </w:r>
          </w:p>
        </w:tc>
      </w:tr>
      <w:tr w:rsidR="00456F5F" w:rsidRPr="00456F5F" w14:paraId="133D3455" w14:textId="77777777" w:rsidTr="00456F5F">
        <w:trPr>
          <w:jc w:val="center"/>
        </w:trPr>
        <w:tc>
          <w:tcPr>
            <w:tcW w:w="4531" w:type="dxa"/>
          </w:tcPr>
          <w:p w14:paraId="76E47D82" w14:textId="77777777" w:rsidR="00C83EE8" w:rsidRPr="00456F5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F5F">
              <w:rPr>
                <w:rFonts w:ascii="Times New Roman" w:hAnsi="Times New Roman" w:cs="Times New Roman"/>
                <w:sz w:val="24"/>
                <w:szCs w:val="24"/>
              </w:rPr>
              <w:t>One Health exposure pathway</w:t>
            </w:r>
          </w:p>
        </w:tc>
        <w:tc>
          <w:tcPr>
            <w:tcW w:w="9859" w:type="dxa"/>
          </w:tcPr>
          <w:p w14:paraId="36AFD9A4" w14:textId="77777777" w:rsidR="00C83EE8" w:rsidRPr="00456F5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F5F">
              <w:rPr>
                <w:rFonts w:ascii="Times New Roman" w:hAnsi="Times New Roman" w:cs="Times New Roman"/>
                <w:sz w:val="24"/>
                <w:szCs w:val="24"/>
              </w:rPr>
              <w:t xml:space="preserve">Use </w:t>
            </w:r>
            <w:proofErr w:type="gramStart"/>
            <w:r w:rsidRPr="00456F5F">
              <w:rPr>
                <w:rFonts w:ascii="Times New Roman" w:hAnsi="Times New Roman" w:cs="Times New Roman"/>
                <w:sz w:val="24"/>
                <w:szCs w:val="24"/>
              </w:rPr>
              <w:t>where</w:t>
            </w:r>
            <w:proofErr w:type="gramEnd"/>
            <w:r w:rsidRPr="00456F5F">
              <w:rPr>
                <w:rFonts w:ascii="Times New Roman" w:hAnsi="Times New Roman" w:cs="Times New Roman"/>
                <w:sz w:val="24"/>
                <w:szCs w:val="24"/>
              </w:rPr>
              <w:t xml:space="preserve"> animal, human, food, or environmental AMR risks overlap.</w:t>
            </w:r>
          </w:p>
        </w:tc>
      </w:tr>
    </w:tbl>
    <w:p w14:paraId="2E0D6CDC" w14:textId="77777777" w:rsidR="00C83EE8" w:rsidRPr="00456F5F" w:rsidRDefault="00C83EE8">
      <w:pPr>
        <w:rPr>
          <w:rFonts w:ascii="Times New Roman" w:hAnsi="Times New Roman" w:cs="Times New Roman"/>
          <w:sz w:val="24"/>
          <w:szCs w:val="24"/>
        </w:rPr>
      </w:pPr>
    </w:p>
    <w:sectPr w:rsidR="00C83EE8" w:rsidRPr="00456F5F" w:rsidSect="00034616">
      <w:pgSz w:w="15840" w:h="12240" w:orient="landscape"/>
      <w:pgMar w:top="864" w:right="720" w:bottom="864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76236373">
    <w:abstractNumId w:val="8"/>
  </w:num>
  <w:num w:numId="2" w16cid:durableId="1868834983">
    <w:abstractNumId w:val="6"/>
  </w:num>
  <w:num w:numId="3" w16cid:durableId="1055927157">
    <w:abstractNumId w:val="5"/>
  </w:num>
  <w:num w:numId="4" w16cid:durableId="793444813">
    <w:abstractNumId w:val="4"/>
  </w:num>
  <w:num w:numId="5" w16cid:durableId="2049835685">
    <w:abstractNumId w:val="7"/>
  </w:num>
  <w:num w:numId="6" w16cid:durableId="882867224">
    <w:abstractNumId w:val="3"/>
  </w:num>
  <w:num w:numId="7" w16cid:durableId="1372151013">
    <w:abstractNumId w:val="2"/>
  </w:num>
  <w:num w:numId="8" w16cid:durableId="771779056">
    <w:abstractNumId w:val="1"/>
  </w:num>
  <w:num w:numId="9" w16cid:durableId="14960744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86191"/>
    <w:rsid w:val="0015074B"/>
    <w:rsid w:val="0029639D"/>
    <w:rsid w:val="00326F90"/>
    <w:rsid w:val="00456F5F"/>
    <w:rsid w:val="004855D5"/>
    <w:rsid w:val="00AA1D8D"/>
    <w:rsid w:val="00B47730"/>
    <w:rsid w:val="00C83EE8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51F57A8"/>
  <w14:defaultImageDpi w14:val="300"/>
  <w15:docId w15:val="{B30E857D-05F6-4ABF-8452-FDF433AC0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19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6</Pages>
  <Words>1456</Words>
  <Characters>8014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9452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lazaro kapella</cp:lastModifiedBy>
  <cp:revision>3</cp:revision>
  <dcterms:created xsi:type="dcterms:W3CDTF">2026-04-16T11:49:00Z</dcterms:created>
  <dcterms:modified xsi:type="dcterms:W3CDTF">2026-04-16T11:54:00Z</dcterms:modified>
  <cp:category/>
</cp:coreProperties>
</file>