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80" w:lineRule="auto"/>
        <w:jc w:val="both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Supplementary </w:t>
      </w:r>
      <w:r w:rsidDel="00000000" w:rsidR="00000000" w:rsidRPr="00000000">
        <w:rPr>
          <w:b w:val="1"/>
          <w:bCs w:val="1"/>
          <w:rtl w:val="0"/>
        </w:rPr>
        <w:t xml:space="preserve">Figures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0115" cy="5854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85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48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1z9e3uew6u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Supplementary Fig.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Comparative sperm motility percentage reports across individual bulls using AV and SMT software. The analysis includes semen samples of varying quality (Bull 1 to 4). The dotted line represents an arbitrary motility threshold for classification. The dots in the box plot represent individual data points.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Motility.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Progressive Motility.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Rapid Progressive Motility.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indicates a statistically significant difference between the two CASA systems</w:t>
      </w:r>
    </w:p>
    <w:p w:rsidR="00000000" w:rsidDel="00000000" w:rsidP="00000000" w:rsidRDefault="00000000" w:rsidRPr="00000000" w14:paraId="00000005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d2zz9bbpyv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ggpf780ua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940115" cy="1841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184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Supplementary Fig.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Comparative sperm concentration reports between AV and SMT software. The analysis includes semen samples from four different bulls (n=16 videos). The dots in the box plot represent individual data points.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indicates a statistically significant difference between the two CASA systems</w:t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dU3qfy1XNS8T3bc9z/0bMxaPA==">CgMxLjAyDmgueTF6OWUzdWV3NnVxMg5oLjhkMnp6OWJicHl2NTINaC5qZ2dwZjc4MHVhYTgAciExSTllYVRTVWk1T2lzYmphR0FCTGJEQU5ycFpZRWdjbmo=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