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DF291" w14:textId="77777777" w:rsidR="005C3DCA" w:rsidRDefault="00000000">
      <w:pPr>
        <w:spacing w:after="200"/>
      </w:pPr>
      <w:r>
        <w:rPr>
          <w:rFonts w:eastAsia="Arial"/>
          <w:b/>
          <w:bCs/>
          <w:sz w:val="24"/>
          <w:szCs w:val="24"/>
        </w:rPr>
        <w:t>Supplementary Table 1. Baseline clinicopathological characteristics of all study cohorts</w:t>
      </w:r>
    </w:p>
    <w:tbl>
      <w:tblPr>
        <w:tblW w:w="8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1560"/>
        <w:gridCol w:w="1560"/>
        <w:gridCol w:w="1560"/>
        <w:gridCol w:w="1560"/>
      </w:tblGrid>
      <w:tr w:rsidR="005C3DCA" w14:paraId="0EA9AF11" w14:textId="77777777">
        <w:trPr>
          <w:tblHeader/>
        </w:trPr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8F5E98" w14:textId="77777777" w:rsidR="005C3DCA" w:rsidRDefault="00000000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Characteristic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2CD6B8" w14:textId="77777777" w:rsidR="005C3DCA" w:rsidRDefault="00000000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TCGA-STAD (n = 332)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362118" w14:textId="77777777" w:rsidR="005C3DCA" w:rsidRDefault="00000000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GSE62254 (n = 300)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A05DCE" w14:textId="77777777" w:rsidR="005C3DCA" w:rsidRDefault="00000000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GSE84437 (n = 483)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3B5145" w14:textId="77777777" w:rsidR="005C3DCA" w:rsidRDefault="00000000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Real-world (n = 17)</w:t>
            </w:r>
          </w:p>
        </w:tc>
      </w:tr>
      <w:tr w:rsidR="005C3DCA" w14:paraId="0FAA88FF" w14:textId="77777777">
        <w:tc>
          <w:tcPr>
            <w:tcW w:w="8840" w:type="dxa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ADE157" w14:textId="77777777" w:rsidR="005C3DCA" w:rsidRDefault="00000000">
            <w:r>
              <w:rPr>
                <w:rFonts w:eastAsia="Arial"/>
                <w:b/>
                <w:bCs/>
              </w:rPr>
              <w:t>Demographics</w:t>
            </w:r>
          </w:p>
        </w:tc>
      </w:tr>
      <w:tr w:rsidR="005C3DCA" w14:paraId="0CBA22DA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C564F91" w14:textId="77777777" w:rsidR="005C3DCA" w:rsidRDefault="00000000">
            <w:r>
              <w:rPr>
                <w:rFonts w:eastAsia="Arial"/>
              </w:rPr>
              <w:t>Age, median (IQR), years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637389B" w14:textId="77777777" w:rsidR="005C3DCA" w:rsidRDefault="00000000">
            <w:pPr>
              <w:jc w:val="center"/>
            </w:pPr>
            <w:r>
              <w:rPr>
                <w:rFonts w:eastAsia="Arial"/>
              </w:rPr>
              <w:t>67 (58–72)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835E5B" w14:textId="75AE6E16" w:rsidR="005C3DCA" w:rsidRPr="00F63044" w:rsidRDefault="00000000">
            <w:pPr>
              <w:jc w:val="center"/>
            </w:pPr>
            <w:r>
              <w:rPr>
                <w:rFonts w:eastAsia="Arial"/>
              </w:rPr>
              <w:t>58 (</w:t>
            </w:r>
            <w:r w:rsidR="00936671" w:rsidRPr="00936671">
              <w:rPr>
                <w:rFonts w:eastAsia="Arial"/>
              </w:rPr>
              <w:t>23–82</w:t>
            </w:r>
            <w:r>
              <w:rPr>
                <w:rFonts w:eastAsia="Arial"/>
              </w:rPr>
              <w:t>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DC7D745" w14:textId="77777777" w:rsidR="005C3DCA" w:rsidRDefault="00000000">
            <w:pPr>
              <w:jc w:val="center"/>
            </w:pPr>
            <w:r>
              <w:rPr>
                <w:rFonts w:eastAsia="Arial"/>
              </w:rPr>
              <w:t>62 (53–68)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69A68FB" w14:textId="77777777" w:rsidR="005C3DCA" w:rsidRDefault="00000000">
            <w:pPr>
              <w:jc w:val="center"/>
            </w:pPr>
            <w:r>
              <w:rPr>
                <w:rFonts w:eastAsia="Arial"/>
              </w:rPr>
              <w:t>64 (58–67)</w:t>
            </w:r>
          </w:p>
        </w:tc>
      </w:tr>
      <w:tr w:rsidR="005C3DCA" w14:paraId="7E9961B5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BD7CB7A" w14:textId="77777777" w:rsidR="005C3DCA" w:rsidRDefault="00000000">
            <w:r>
              <w:rPr>
                <w:rFonts w:eastAsia="Arial"/>
              </w:rPr>
              <w:t>Age &gt; 60 years,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A5EFB3" w14:textId="77777777" w:rsidR="005C3DCA" w:rsidRDefault="00000000">
            <w:pPr>
              <w:jc w:val="center"/>
            </w:pPr>
            <w:r>
              <w:rPr>
                <w:rFonts w:eastAsia="Arial"/>
              </w:rPr>
              <w:t>221 (66.6%)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E95A79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0D9DB" w14:textId="77777777" w:rsidR="005C3DCA" w:rsidRDefault="00000000">
            <w:pPr>
              <w:jc w:val="center"/>
            </w:pPr>
            <w:r>
              <w:rPr>
                <w:rFonts w:eastAsia="Arial"/>
              </w:rPr>
              <w:t>237 (55.0%)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F27C59" w14:textId="77777777" w:rsidR="005C3DCA" w:rsidRDefault="00000000">
            <w:pPr>
              <w:jc w:val="center"/>
            </w:pPr>
            <w:r>
              <w:rPr>
                <w:rFonts w:eastAsia="Arial"/>
              </w:rPr>
              <w:t>10 (58.8%)</w:t>
            </w:r>
          </w:p>
        </w:tc>
      </w:tr>
      <w:tr w:rsidR="005C3DCA" w14:paraId="1F536114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4654DD" w14:textId="77777777" w:rsidR="005C3DCA" w:rsidRDefault="00000000">
            <w:r>
              <w:rPr>
                <w:rFonts w:eastAsia="Arial"/>
              </w:rPr>
              <w:t>Male sex,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3282B7" w14:textId="77777777" w:rsidR="005C3DCA" w:rsidRDefault="00000000">
            <w:pPr>
              <w:jc w:val="center"/>
            </w:pPr>
            <w:r>
              <w:rPr>
                <w:rFonts w:eastAsia="Arial"/>
              </w:rPr>
              <w:t>217 (65.4%)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2CD9DEB" w14:textId="77777777" w:rsidR="005C3DCA" w:rsidRDefault="00000000">
            <w:pPr>
              <w:jc w:val="center"/>
            </w:pPr>
            <w:r>
              <w:rPr>
                <w:rFonts w:eastAsia="Arial"/>
              </w:rPr>
              <w:t>186 (62.0%)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5300887" w14:textId="77777777" w:rsidR="005C3DCA" w:rsidRDefault="00000000">
            <w:pPr>
              <w:jc w:val="center"/>
            </w:pPr>
            <w:r>
              <w:rPr>
                <w:rFonts w:eastAsia="Arial"/>
              </w:rPr>
              <w:t>294 (68.2%)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C3F9CF" w14:textId="77777777" w:rsidR="005C3DCA" w:rsidRDefault="00000000">
            <w:pPr>
              <w:jc w:val="center"/>
            </w:pPr>
            <w:r>
              <w:rPr>
                <w:rFonts w:eastAsia="Arial"/>
              </w:rPr>
              <w:t>10 (58.8%)</w:t>
            </w:r>
          </w:p>
        </w:tc>
      </w:tr>
      <w:tr w:rsidR="005C3DCA" w14:paraId="4C9EE3B3" w14:textId="77777777">
        <w:tc>
          <w:tcPr>
            <w:tcW w:w="8840" w:type="dxa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BFFECD" w14:textId="77777777" w:rsidR="005C3DCA" w:rsidRDefault="00000000">
            <w:r>
              <w:rPr>
                <w:rFonts w:eastAsia="Arial"/>
                <w:b/>
                <w:bCs/>
              </w:rPr>
              <w:t>Pathological Stage</w:t>
            </w:r>
          </w:p>
        </w:tc>
      </w:tr>
      <w:tr w:rsidR="005C3DCA" w14:paraId="6CFC1F67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923315" w14:textId="77777777" w:rsidR="005C3DCA" w:rsidRDefault="00000000">
            <w:r>
              <w:rPr>
                <w:rFonts w:eastAsia="Arial"/>
              </w:rPr>
              <w:t>Stage I/II,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BE5311" w14:textId="77777777" w:rsidR="005C3DCA" w:rsidRDefault="00000000">
            <w:pPr>
              <w:jc w:val="center"/>
            </w:pPr>
            <w:r>
              <w:rPr>
                <w:rFonts w:eastAsia="Arial"/>
              </w:rPr>
              <w:t>150 (45.2%)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D8593FB" w14:textId="77777777" w:rsidR="005C3DCA" w:rsidRDefault="00000000">
            <w:pPr>
              <w:jc w:val="center"/>
            </w:pPr>
            <w:r>
              <w:rPr>
                <w:rFonts w:eastAsia="Arial"/>
              </w:rPr>
              <w:t>125 (41.7%)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8AF819" w14:textId="77777777" w:rsidR="005C3DCA" w:rsidRDefault="00000000">
            <w:pPr>
              <w:jc w:val="center"/>
            </w:pPr>
            <w:r>
              <w:rPr>
                <w:rFonts w:eastAsia="Arial"/>
              </w:rPr>
              <w:t>109 (25.3%)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65CB0EC" w14:textId="77777777" w:rsidR="005C3DCA" w:rsidRDefault="00000000">
            <w:pPr>
              <w:jc w:val="center"/>
            </w:pPr>
            <w:r>
              <w:rPr>
                <w:rFonts w:eastAsia="Arial"/>
              </w:rPr>
              <w:t>3 (17.6%)</w:t>
            </w:r>
          </w:p>
        </w:tc>
      </w:tr>
      <w:tr w:rsidR="005C3DCA" w14:paraId="0636D46F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F4DB22C" w14:textId="77777777" w:rsidR="005C3DCA" w:rsidRDefault="00000000">
            <w:r>
              <w:rPr>
                <w:rFonts w:eastAsia="Arial"/>
              </w:rPr>
              <w:t>Stage III/IV,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B9104A" w14:textId="77777777" w:rsidR="005C3DCA" w:rsidRDefault="00000000">
            <w:pPr>
              <w:jc w:val="center"/>
            </w:pPr>
            <w:r>
              <w:rPr>
                <w:rFonts w:eastAsia="Arial"/>
              </w:rPr>
              <w:t>182 (54.8%)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B2933E" w14:textId="77777777" w:rsidR="005C3DCA" w:rsidRDefault="00000000">
            <w:pPr>
              <w:jc w:val="center"/>
            </w:pPr>
            <w:r>
              <w:rPr>
                <w:rFonts w:eastAsia="Arial"/>
              </w:rPr>
              <w:t>175 (58.3%)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DC77962" w14:textId="77777777" w:rsidR="005C3DCA" w:rsidRDefault="00000000">
            <w:pPr>
              <w:jc w:val="center"/>
            </w:pPr>
            <w:r>
              <w:rPr>
                <w:rFonts w:eastAsia="Arial"/>
              </w:rPr>
              <w:t>322 (74.7%)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888767F" w14:textId="77777777" w:rsidR="005C3DCA" w:rsidRDefault="00000000">
            <w:pPr>
              <w:jc w:val="center"/>
            </w:pPr>
            <w:r>
              <w:rPr>
                <w:rFonts w:eastAsia="Arial"/>
              </w:rPr>
              <w:t>14 (82.4%)</w:t>
            </w:r>
          </w:p>
        </w:tc>
      </w:tr>
      <w:tr w:rsidR="005C3DCA" w14:paraId="5929C650" w14:textId="77777777">
        <w:tc>
          <w:tcPr>
            <w:tcW w:w="8840" w:type="dxa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806831" w14:textId="77777777" w:rsidR="005C3DCA" w:rsidRDefault="00000000">
            <w:r>
              <w:rPr>
                <w:rFonts w:eastAsia="Arial"/>
                <w:b/>
                <w:bCs/>
              </w:rPr>
              <w:t>Molecular Subtypes</w:t>
            </w:r>
          </w:p>
        </w:tc>
      </w:tr>
      <w:tr w:rsidR="005C3DCA" w14:paraId="7D9316C8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2A9D2D7" w14:textId="77777777" w:rsidR="005C3DCA" w:rsidRDefault="00000000">
            <w:r>
              <w:rPr>
                <w:rFonts w:eastAsia="Arial"/>
              </w:rPr>
              <w:t>TCGA: CIN,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0A5700" w14:textId="77777777" w:rsidR="005C3DCA" w:rsidRDefault="00000000">
            <w:pPr>
              <w:jc w:val="center"/>
            </w:pPr>
            <w:r>
              <w:rPr>
                <w:rFonts w:eastAsia="Arial"/>
              </w:rPr>
              <w:t>215 (64.8%)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B86D1E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3F1B19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CFF6A05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</w:tr>
      <w:tr w:rsidR="005C3DCA" w14:paraId="7A4D48FA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DDF61D" w14:textId="77777777" w:rsidR="005C3DCA" w:rsidRDefault="00000000">
            <w:r>
              <w:rPr>
                <w:rFonts w:eastAsia="Arial"/>
              </w:rPr>
              <w:t>TCGA: MSI,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43768F6" w14:textId="77777777" w:rsidR="005C3DCA" w:rsidRDefault="00000000">
            <w:pPr>
              <w:jc w:val="center"/>
            </w:pPr>
            <w:r>
              <w:rPr>
                <w:rFonts w:eastAsia="Arial"/>
              </w:rPr>
              <w:t>61 (18.4%)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CC28893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FE35C3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6142D2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</w:tr>
      <w:tr w:rsidR="005C3DCA" w14:paraId="5168BD6A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F5A519" w14:textId="77777777" w:rsidR="005C3DCA" w:rsidRDefault="00000000">
            <w:r>
              <w:rPr>
                <w:rFonts w:eastAsia="Arial"/>
              </w:rPr>
              <w:t>TCGA: GS,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CB5060" w14:textId="77777777" w:rsidR="005C3DCA" w:rsidRDefault="00000000">
            <w:pPr>
              <w:jc w:val="center"/>
            </w:pPr>
            <w:r>
              <w:rPr>
                <w:rFonts w:eastAsia="Arial"/>
              </w:rPr>
              <w:t>41 (12.3%)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D757BB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4D7E25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CED29C9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</w:tr>
      <w:tr w:rsidR="005C3DCA" w14:paraId="26CFB99D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376A98" w14:textId="77777777" w:rsidR="005C3DCA" w:rsidRDefault="00000000">
            <w:r>
              <w:rPr>
                <w:rFonts w:eastAsia="Arial"/>
              </w:rPr>
              <w:t>TCGA: EBV-like,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010FF3" w14:textId="77777777" w:rsidR="005C3DCA" w:rsidRDefault="00000000">
            <w:pPr>
              <w:jc w:val="center"/>
            </w:pPr>
            <w:r>
              <w:rPr>
                <w:rFonts w:eastAsia="Arial"/>
              </w:rPr>
              <w:t>15 (4.5%)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2CDC919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BA8AC9B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F29F21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</w:tr>
      <w:tr w:rsidR="005C3DCA" w14:paraId="565D58F5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1082FF" w14:textId="77777777" w:rsidR="005C3DCA" w:rsidRDefault="00000000">
            <w:r>
              <w:rPr>
                <w:rFonts w:eastAsia="Arial"/>
              </w:rPr>
              <w:t>ACRG: MSI,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67E24A3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05D4E" w14:textId="77777777" w:rsidR="005C3DCA" w:rsidRDefault="00000000">
            <w:pPr>
              <w:jc w:val="center"/>
            </w:pPr>
            <w:r>
              <w:rPr>
                <w:rFonts w:eastAsia="Arial"/>
              </w:rPr>
              <w:t>68 (22.7%)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61835E1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D7C996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</w:tr>
      <w:tr w:rsidR="005C3DCA" w14:paraId="31471F29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2A8432" w14:textId="77777777" w:rsidR="005C3DCA" w:rsidRDefault="00000000">
            <w:r>
              <w:rPr>
                <w:rFonts w:eastAsia="Arial"/>
              </w:rPr>
              <w:t>ACRG: MSS/EMT,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1E6029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5BD140" w14:textId="77777777" w:rsidR="005C3DCA" w:rsidRDefault="00000000">
            <w:pPr>
              <w:jc w:val="center"/>
            </w:pPr>
            <w:r>
              <w:rPr>
                <w:rFonts w:eastAsia="Arial"/>
              </w:rPr>
              <w:t>46 (15.3%)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773B3F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28C62A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</w:tr>
      <w:tr w:rsidR="005C3DCA" w14:paraId="7B520E8D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8342F0" w14:textId="77777777" w:rsidR="005C3DCA" w:rsidRDefault="00000000">
            <w:r>
              <w:rPr>
                <w:rFonts w:eastAsia="Arial"/>
              </w:rPr>
              <w:t>ACRG: MSS/TP53+,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AB98E7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1593BC" w14:textId="77777777" w:rsidR="005C3DCA" w:rsidRDefault="00000000">
            <w:pPr>
              <w:jc w:val="center"/>
            </w:pPr>
            <w:r>
              <w:rPr>
                <w:rFonts w:eastAsia="Arial"/>
              </w:rPr>
              <w:t>79 (26.3%)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D16784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7D1317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</w:tr>
      <w:tr w:rsidR="005C3DCA" w14:paraId="5D6A73F7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053614" w14:textId="77777777" w:rsidR="005C3DCA" w:rsidRDefault="00000000">
            <w:r>
              <w:rPr>
                <w:rFonts w:eastAsia="Arial"/>
              </w:rPr>
              <w:t>ACRG: MSS/TP53–,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0F864AC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3AF84C" w14:textId="77777777" w:rsidR="005C3DCA" w:rsidRDefault="00000000">
            <w:pPr>
              <w:jc w:val="center"/>
            </w:pPr>
            <w:r>
              <w:rPr>
                <w:rFonts w:eastAsia="Arial"/>
              </w:rPr>
              <w:t>107 (35.7%)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5543EF8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C009540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</w:tr>
      <w:tr w:rsidR="005C3DCA" w14:paraId="23F2F3E3" w14:textId="77777777">
        <w:tc>
          <w:tcPr>
            <w:tcW w:w="8840" w:type="dxa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EFC204" w14:textId="77777777" w:rsidR="005C3DCA" w:rsidRDefault="00000000">
            <w:r>
              <w:rPr>
                <w:rFonts w:eastAsia="Arial"/>
                <w:b/>
                <w:bCs/>
              </w:rPr>
              <w:t>Lauren Classification</w:t>
            </w:r>
          </w:p>
        </w:tc>
      </w:tr>
      <w:tr w:rsidR="005C3DCA" w14:paraId="6A723229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831C8A" w14:textId="77777777" w:rsidR="005C3DCA" w:rsidRDefault="00000000">
            <w:r>
              <w:rPr>
                <w:rFonts w:eastAsia="Arial"/>
              </w:rPr>
              <w:t>Intestinal,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2EAA223" w14:textId="77777777" w:rsidR="005C3DCA" w:rsidRDefault="00000000">
            <w:pPr>
              <w:jc w:val="center"/>
            </w:pPr>
            <w:r>
              <w:rPr>
                <w:rFonts w:eastAsia="Arial"/>
              </w:rPr>
              <w:t>135 (40.7%)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5B07E9" w14:textId="77777777" w:rsidR="005C3DCA" w:rsidRDefault="00000000">
            <w:pPr>
              <w:jc w:val="center"/>
            </w:pPr>
            <w:r>
              <w:rPr>
                <w:rFonts w:eastAsia="Arial"/>
              </w:rPr>
              <w:t>150 (50.0%)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54B3E66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A5B735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</w:tr>
      <w:tr w:rsidR="005C3DCA" w14:paraId="6D648B48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FB3ACB" w14:textId="77777777" w:rsidR="005C3DCA" w:rsidRDefault="00000000">
            <w:r>
              <w:rPr>
                <w:rFonts w:eastAsia="Arial"/>
              </w:rPr>
              <w:t>Diffuse,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0B46CC" w14:textId="77777777" w:rsidR="005C3DCA" w:rsidRDefault="00000000">
            <w:pPr>
              <w:jc w:val="center"/>
            </w:pPr>
            <w:r>
              <w:rPr>
                <w:rFonts w:eastAsia="Arial"/>
              </w:rPr>
              <w:t>69 (20.8%)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A80422" w14:textId="77777777" w:rsidR="005C3DCA" w:rsidRDefault="00000000">
            <w:pPr>
              <w:jc w:val="center"/>
            </w:pPr>
            <w:r>
              <w:rPr>
                <w:rFonts w:eastAsia="Arial"/>
              </w:rPr>
              <w:t>142 (47.3%)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DB3684A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B4B3DA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</w:tr>
      <w:tr w:rsidR="005C3DCA" w14:paraId="2A498395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540483C" w14:textId="77777777" w:rsidR="005C3DCA" w:rsidRDefault="00000000">
            <w:r>
              <w:rPr>
                <w:rFonts w:eastAsia="Arial"/>
              </w:rPr>
              <w:t>Mixed/Other,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200208" w14:textId="77777777" w:rsidR="005C3DCA" w:rsidRDefault="00000000">
            <w:pPr>
              <w:jc w:val="center"/>
            </w:pPr>
            <w:r>
              <w:rPr>
                <w:rFonts w:eastAsia="Arial"/>
              </w:rPr>
              <w:t>132 (38.5%)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FADDC0" w14:textId="77777777" w:rsidR="005C3DCA" w:rsidRDefault="00000000">
            <w:pPr>
              <w:jc w:val="center"/>
            </w:pPr>
            <w:r>
              <w:rPr>
                <w:rFonts w:eastAsia="Arial"/>
              </w:rPr>
              <w:t>8 (2.7%)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19D75A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679846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</w:tr>
      <w:tr w:rsidR="005C3DCA" w14:paraId="62EE741B" w14:textId="77777777">
        <w:tc>
          <w:tcPr>
            <w:tcW w:w="8840" w:type="dxa"/>
            <w:gridSpan w:val="5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49AFE9" w14:textId="77777777" w:rsidR="005C3DCA" w:rsidRDefault="00000000">
            <w:r>
              <w:rPr>
                <w:rFonts w:eastAsia="Arial"/>
                <w:b/>
                <w:bCs/>
              </w:rPr>
              <w:t>Survival</w:t>
            </w:r>
          </w:p>
        </w:tc>
      </w:tr>
      <w:tr w:rsidR="005C3DCA" w14:paraId="6BDD5EA2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E91050" w14:textId="77777777" w:rsidR="005C3DCA" w:rsidRDefault="00000000">
            <w:r>
              <w:rPr>
                <w:rFonts w:eastAsia="Arial"/>
              </w:rPr>
              <w:t>Events (death), n (%)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23CB78" w14:textId="77777777" w:rsidR="005C3DCA" w:rsidRDefault="00000000">
            <w:pPr>
              <w:jc w:val="center"/>
            </w:pPr>
            <w:r>
              <w:rPr>
                <w:rFonts w:eastAsia="Arial"/>
              </w:rPr>
              <w:t>135 (40.7%)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417E8E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A0DDC2" w14:textId="77777777" w:rsidR="005C3DCA" w:rsidRDefault="00000000">
            <w:pPr>
              <w:jc w:val="center"/>
            </w:pPr>
            <w:r>
              <w:rPr>
                <w:rFonts w:eastAsia="Arial"/>
              </w:rPr>
              <w:t>207 (48.0%)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6842F3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</w:tr>
      <w:tr w:rsidR="005C3DCA" w14:paraId="4DAD1C14" w14:textId="77777777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6845E72" w14:textId="77777777" w:rsidR="005C3DCA" w:rsidRDefault="00000000">
            <w:r>
              <w:rPr>
                <w:rFonts w:eastAsia="Arial"/>
              </w:rPr>
              <w:t>Median OS, months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27FCFA" w14:textId="77777777" w:rsidR="005C3DCA" w:rsidRDefault="00000000">
            <w:pPr>
              <w:jc w:val="center"/>
            </w:pPr>
            <w:r>
              <w:rPr>
                <w:rFonts w:eastAsia="Arial"/>
              </w:rPr>
              <w:t>15.6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20DA2F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35F3556" w14:textId="77777777" w:rsidR="005C3DCA" w:rsidRDefault="00000000">
            <w:pPr>
              <w:jc w:val="center"/>
            </w:pPr>
            <w:r>
              <w:rPr>
                <w:rFonts w:eastAsia="Arial"/>
              </w:rPr>
              <w:t>70.0</w:t>
            </w:r>
          </w:p>
        </w:tc>
        <w:tc>
          <w:tcPr>
            <w:tcW w:w="156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68DEC40" w14:textId="77777777" w:rsidR="005C3DCA" w:rsidRDefault="00000000">
            <w:pPr>
              <w:jc w:val="center"/>
            </w:pPr>
            <w:r>
              <w:rPr>
                <w:rFonts w:eastAsia="Arial"/>
              </w:rPr>
              <w:t>—</w:t>
            </w:r>
          </w:p>
        </w:tc>
      </w:tr>
    </w:tbl>
    <w:p w14:paraId="38F84E3A" w14:textId="628BA201" w:rsidR="000E676B" w:rsidRPr="000E676B" w:rsidRDefault="00000000" w:rsidP="000E676B">
      <w:pPr>
        <w:spacing w:before="120"/>
        <w:rPr>
          <w:rFonts w:eastAsia="Arial"/>
          <w:i/>
          <w:iCs/>
          <w:color w:val="555555"/>
          <w:sz w:val="16"/>
          <w:szCs w:val="16"/>
        </w:rPr>
      </w:pPr>
      <w:r>
        <w:rPr>
          <w:rFonts w:eastAsia="Arial"/>
          <w:i/>
          <w:iCs/>
          <w:color w:val="555555"/>
          <w:sz w:val="16"/>
          <w:szCs w:val="16"/>
        </w:rPr>
        <w:t xml:space="preserve">IQR, interquartile range; OS, overall survival; —, data not available or not applicable for this cohort. TCGA molecular subtypes: CIN, chromosomal instability; MSI, microsatellite instability; GS, genomically stable; </w:t>
      </w:r>
      <w:r w:rsidR="000E676B" w:rsidRPr="000E676B">
        <w:rPr>
          <w:rFonts w:eastAsia="Arial"/>
          <w:i/>
          <w:iCs/>
          <w:color w:val="555555"/>
          <w:sz w:val="16"/>
          <w:szCs w:val="16"/>
        </w:rPr>
        <w:t>EBV-like, Epstein–Barr virus-like.</w:t>
      </w:r>
      <w:r>
        <w:rPr>
          <w:rFonts w:eastAsia="Arial"/>
          <w:i/>
          <w:iCs/>
          <w:color w:val="555555"/>
          <w:sz w:val="16"/>
          <w:szCs w:val="16"/>
        </w:rPr>
        <w:t xml:space="preserve"> ACRG molecular subtypes: MSS, microsatellite stable; EMT, epithelial-to-mesenchymal transition; TP53, tumour protein 53. GSE62254 age </w:t>
      </w:r>
      <w:r>
        <w:rPr>
          <w:rFonts w:eastAsia="Arial"/>
          <w:i/>
          <w:iCs/>
          <w:color w:val="555555"/>
          <w:sz w:val="16"/>
          <w:szCs w:val="16"/>
        </w:rPr>
        <w:lastRenderedPageBreak/>
        <w:t>IQR not available from public metadata (median 58 years, range 23–82, per Cristescu et al. 2015). GSE84437 total cohort n = 483; 52 samples with OS = 0 were excluded from survival analysis (n = 431 for survival endpoints). GSE84437 does not include Lauren classification or molecular subtype annotations. Real-world cohort: single-centre retrospective series; OS and molecular subtype data not available.</w:t>
      </w:r>
      <w:r w:rsidR="000E676B" w:rsidRPr="000E676B">
        <w:t xml:space="preserve"> </w:t>
      </w:r>
      <w:r w:rsidR="000E676B" w:rsidRPr="000E676B">
        <w:rPr>
          <w:rFonts w:eastAsia="Arial"/>
          <w:i/>
          <w:iCs/>
          <w:color w:val="555555"/>
          <w:sz w:val="16"/>
          <w:szCs w:val="16"/>
        </w:rPr>
        <w:t>TCGA-STAD clinical characteristics are reported for n = 332 patients with complete clinicopathological data; the full modelling cohort comprises n = 344 patients, with 12 additional samples included based on availability of paired RNA-seq and WSI data despite incomplete clinical annotation.</w:t>
      </w:r>
    </w:p>
    <w:p w14:paraId="051B1A63" w14:textId="28DDDD9D" w:rsidR="005C3DCA" w:rsidRDefault="005C3DCA">
      <w:pPr>
        <w:spacing w:before="120"/>
        <w:rPr>
          <w:i/>
          <w:iCs/>
          <w:color w:val="555555"/>
          <w:sz w:val="16"/>
          <w:szCs w:val="16"/>
        </w:rPr>
      </w:pPr>
    </w:p>
    <w:p w14:paraId="709B9D69" w14:textId="77777777" w:rsidR="008164F7" w:rsidRDefault="008164F7">
      <w:pPr>
        <w:spacing w:before="120"/>
        <w:rPr>
          <w:i/>
          <w:iCs/>
          <w:color w:val="555555"/>
          <w:sz w:val="16"/>
          <w:szCs w:val="16"/>
        </w:rPr>
      </w:pPr>
    </w:p>
    <w:p w14:paraId="79695463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5671CEF9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0784F830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7EB51AB4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7DE2D94F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5C44A37D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60F13B89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281925E5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1EED1B42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495A24D8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30C30949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78E9896F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6C24AFC5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55898FB3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446BFC8E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7B5DF5DD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589354D0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7FBFA3A1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5FE45676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49E68918" w14:textId="45D8D021" w:rsidR="008164F7" w:rsidRDefault="008164F7" w:rsidP="008164F7">
      <w:pPr>
        <w:spacing w:after="200"/>
      </w:pPr>
      <w:r>
        <w:rPr>
          <w:rFonts w:eastAsia="Arial"/>
          <w:b/>
          <w:bCs/>
          <w:sz w:val="22"/>
          <w:szCs w:val="22"/>
        </w:rPr>
        <w:lastRenderedPageBreak/>
        <w:t>Supplementary Table 2. Cluster-level C-index comparison across sampling strategies and TCGA molecular subtypes (mean ± SD, 5-fold cross-validation)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1300"/>
        <w:gridCol w:w="1300"/>
        <w:gridCol w:w="1300"/>
        <w:gridCol w:w="1300"/>
        <w:gridCol w:w="1500"/>
      </w:tblGrid>
      <w:tr w:rsidR="008164F7" w14:paraId="4766ADDC" w14:textId="77777777" w:rsidTr="00841C6A">
        <w:trPr>
          <w:tblHeader/>
        </w:trPr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264B57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Sampling Method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25187A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Cluster 0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8F24A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Cluster 1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E3BEEC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Cluster 2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204CDD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Cluster 3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3167C5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Overall</w:t>
            </w:r>
          </w:p>
        </w:tc>
      </w:tr>
      <w:tr w:rsidR="008164F7" w14:paraId="3936C479" w14:textId="77777777" w:rsidTr="00841C6A">
        <w:tc>
          <w:tcPr>
            <w:tcW w:w="9300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55" w:type="dxa"/>
              <w:left w:w="140" w:type="dxa"/>
              <w:bottom w:w="55" w:type="dxa"/>
              <w:right w:w="100" w:type="dxa"/>
            </w:tcMar>
          </w:tcPr>
          <w:p w14:paraId="4928B1B8" w14:textId="77777777" w:rsidR="008164F7" w:rsidRDefault="008164F7" w:rsidP="00841C6A">
            <w:r>
              <w:rPr>
                <w:rFonts w:asciiTheme="minorEastAsia" w:hAnsiTheme="minorEastAsia" w:hint="eastAsia"/>
                <w:b/>
                <w:bCs/>
              </w:rPr>
              <w:t>m</w:t>
            </w:r>
            <w:r>
              <w:rPr>
                <w:rFonts w:eastAsia="Arial"/>
                <w:b/>
                <w:bCs/>
              </w:rPr>
              <w:t>ACE (proposed method)</w:t>
            </w:r>
          </w:p>
        </w:tc>
      </w:tr>
      <w:tr w:rsidR="008164F7" w14:paraId="060BAEB1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51C2DA1" w14:textId="77777777" w:rsidR="008164F7" w:rsidRDefault="008164F7" w:rsidP="00841C6A">
            <w:r>
              <w:rPr>
                <w:rFonts w:eastAsia="Arial"/>
                <w:b/>
                <w:bCs/>
                <w:color w:val="000000"/>
              </w:rPr>
              <w:t>Single run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B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50F1A89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0.7912 ± 0.0954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B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F79B137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0.7359 ± 0.0378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B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A9074B5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0.7778 ± 0.0633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B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2DA028B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0.7727 ± 0.1346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8F5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0A07093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000000"/>
              </w:rPr>
              <w:t>0.7694 ± 0.0237</w:t>
            </w:r>
          </w:p>
        </w:tc>
      </w:tr>
      <w:tr w:rsidR="008164F7" w14:paraId="7C7EEB95" w14:textId="77777777" w:rsidTr="00841C6A">
        <w:tc>
          <w:tcPr>
            <w:tcW w:w="9300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55" w:type="dxa"/>
              <w:left w:w="140" w:type="dxa"/>
              <w:bottom w:w="55" w:type="dxa"/>
              <w:right w:w="100" w:type="dxa"/>
            </w:tcMar>
          </w:tcPr>
          <w:p w14:paraId="09397660" w14:textId="77777777" w:rsidR="008164F7" w:rsidRDefault="008164F7" w:rsidP="00841C6A">
            <w:r>
              <w:rPr>
                <w:rFonts w:eastAsia="Arial"/>
                <w:b/>
                <w:bCs/>
              </w:rPr>
              <w:t>Stratified Sampling</w:t>
            </w:r>
          </w:p>
        </w:tc>
      </w:tr>
      <w:tr w:rsidR="008164F7" w14:paraId="4EFE39B1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C20A180" w14:textId="77777777" w:rsidR="008164F7" w:rsidRDefault="008164F7" w:rsidP="00841C6A">
            <w:r>
              <w:rPr>
                <w:rFonts w:eastAsia="Arial"/>
                <w:color w:val="000000"/>
              </w:rPr>
              <w:t xml:space="preserve">     Repetition 1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AE07467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0.6692 ± 0.0485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FDE8982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0.6686 ± 0.0466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74DFDE4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0.7322 ± 0.1590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612007A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0.7171 ± 0.0964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BA90A54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0.6968 ± 0.0328</w:t>
            </w:r>
          </w:p>
        </w:tc>
      </w:tr>
      <w:tr w:rsidR="008164F7" w14:paraId="6C1A445E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9F81AD7" w14:textId="77777777" w:rsidR="008164F7" w:rsidRDefault="008164F7" w:rsidP="00841C6A">
            <w:r>
              <w:rPr>
                <w:rFonts w:eastAsia="Arial"/>
                <w:color w:val="000000"/>
              </w:rPr>
              <w:t xml:space="preserve">     Repetition 2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E2A4DED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0.7082 ± 0.0520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7FC29D5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0.6996 ± 0.0724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FDD94B6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0.6553 ± 0.1582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29EFD22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0.6679 ± 0.0376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861D44C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0.6827 ± 0.0252</w:t>
            </w:r>
          </w:p>
        </w:tc>
      </w:tr>
      <w:tr w:rsidR="008164F7" w14:paraId="2E93A3D3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6BDC568" w14:textId="77777777" w:rsidR="008164F7" w:rsidRDefault="008164F7" w:rsidP="00841C6A">
            <w:r>
              <w:rPr>
                <w:rFonts w:eastAsia="Arial"/>
                <w:color w:val="000000"/>
              </w:rPr>
              <w:t xml:space="preserve">     Repetition 3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94AF8F9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0.7139 ± 0.0484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C3E72A0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0.7048 ± 0.1067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2C03BDE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0.7076 ± 0.1417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3C58205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0.7078 ± 0.0768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B19F9DE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0.7085 ± 0.0038</w:t>
            </w:r>
          </w:p>
        </w:tc>
      </w:tr>
      <w:tr w:rsidR="008164F7" w14:paraId="607CDB0D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10097F6" w14:textId="77777777" w:rsidR="008164F7" w:rsidRDefault="008164F7" w:rsidP="00841C6A">
            <w:r>
              <w:rPr>
                <w:rFonts w:eastAsia="Arial"/>
                <w:b/>
                <w:bCs/>
                <w:color w:val="000000"/>
              </w:rPr>
              <w:t>Average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ED2AF0E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0.6971 ± 0.0243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3927B23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0.6910 ± 0.0196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58AB965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0.6984 ± 0.0393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5F71CB4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0.6976 ± 0.0261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414E407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000000"/>
              </w:rPr>
              <w:t>0.6960 ± 0.0243</w:t>
            </w:r>
          </w:p>
        </w:tc>
      </w:tr>
      <w:tr w:rsidR="008164F7" w14:paraId="766A7604" w14:textId="77777777" w:rsidTr="00841C6A">
        <w:tc>
          <w:tcPr>
            <w:tcW w:w="9300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55" w:type="dxa"/>
              <w:left w:w="140" w:type="dxa"/>
              <w:bottom w:w="55" w:type="dxa"/>
              <w:right w:w="100" w:type="dxa"/>
            </w:tcMar>
          </w:tcPr>
          <w:p w14:paraId="30EC5AF7" w14:textId="77777777" w:rsidR="008164F7" w:rsidRDefault="008164F7" w:rsidP="00841C6A">
            <w:r>
              <w:rPr>
                <w:rFonts w:eastAsia="Arial"/>
                <w:b/>
                <w:bCs/>
              </w:rPr>
              <w:t>Random Sampling</w:t>
            </w:r>
          </w:p>
        </w:tc>
      </w:tr>
      <w:tr w:rsidR="008164F7" w14:paraId="7121C5E0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D3E71CF" w14:textId="77777777" w:rsidR="008164F7" w:rsidRDefault="008164F7" w:rsidP="00841C6A">
            <w:r>
              <w:rPr>
                <w:rFonts w:eastAsia="Arial"/>
                <w:color w:val="000000"/>
              </w:rPr>
              <w:t xml:space="preserve">     Repetition 1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FA103DE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0.6899 ± 0.0746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F1E2441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0.6484 ± 0.1090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261ABD4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0.7172 ± 0.0422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809B22A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0.6989 ± 0.0372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704E067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0.6886 ± 0.0291</w:t>
            </w:r>
          </w:p>
        </w:tc>
      </w:tr>
      <w:tr w:rsidR="008164F7" w14:paraId="39527672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7B1293F" w14:textId="77777777" w:rsidR="008164F7" w:rsidRDefault="008164F7" w:rsidP="00841C6A">
            <w:r>
              <w:rPr>
                <w:rFonts w:eastAsia="Arial"/>
                <w:color w:val="000000"/>
              </w:rPr>
              <w:t xml:space="preserve">     Repetition 2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2882DEE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0.6983 ± 0.0682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D56C758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0.6530 ± 0.0885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52A6A89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0.6857 ± 0.0242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745F55E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0.6902 ± 0.0937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1E2EAB2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0.6818 ± 0.0199</w:t>
            </w:r>
          </w:p>
        </w:tc>
      </w:tr>
      <w:tr w:rsidR="008164F7" w14:paraId="45936485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B96CDB4" w14:textId="77777777" w:rsidR="008164F7" w:rsidRDefault="008164F7" w:rsidP="00841C6A">
            <w:r>
              <w:rPr>
                <w:rFonts w:eastAsia="Arial"/>
                <w:color w:val="000000"/>
              </w:rPr>
              <w:t xml:space="preserve">     Repetition 3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35E4782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0.6536 ± 0.0344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2EA2D40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0.6949 ± 0.0547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CD6E716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0.6400 ± 0.0939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B6C13FA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0.7286 ± 0.0649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C47479F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0.6793 ± 0.0403</w:t>
            </w:r>
          </w:p>
        </w:tc>
      </w:tr>
      <w:tr w:rsidR="008164F7" w14:paraId="73D790A5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2842047" w14:textId="77777777" w:rsidR="008164F7" w:rsidRDefault="008164F7" w:rsidP="00841C6A">
            <w:r>
              <w:rPr>
                <w:rFonts w:eastAsia="Arial"/>
                <w:b/>
                <w:bCs/>
                <w:color w:val="000000"/>
              </w:rPr>
              <w:t>Average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1D71517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0.6806 ± 0.0238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350F045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0.6654 ± 0.0256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31E4389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0.6810 ± 0.0388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B11A8A6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0.7059 ± 0.0201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F7FC5E4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000000"/>
              </w:rPr>
              <w:t>0.6832 ± 0.0283</w:t>
            </w:r>
          </w:p>
        </w:tc>
      </w:tr>
      <w:tr w:rsidR="008164F7" w14:paraId="18BF988A" w14:textId="77777777" w:rsidTr="00841C6A">
        <w:tc>
          <w:tcPr>
            <w:tcW w:w="9300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55" w:type="dxa"/>
              <w:left w:w="140" w:type="dxa"/>
              <w:bottom w:w="55" w:type="dxa"/>
              <w:right w:w="100" w:type="dxa"/>
            </w:tcMar>
          </w:tcPr>
          <w:p w14:paraId="2FD4FB76" w14:textId="77777777" w:rsidR="008164F7" w:rsidRDefault="008164F7" w:rsidP="00841C6A">
            <w:r>
              <w:rPr>
                <w:rFonts w:eastAsia="Arial"/>
                <w:b/>
                <w:bCs/>
              </w:rPr>
              <w:t>Random Partitioning</w:t>
            </w:r>
          </w:p>
        </w:tc>
      </w:tr>
      <w:tr w:rsidR="008164F7" w14:paraId="6967D9FB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94BA23B" w14:textId="77777777" w:rsidR="008164F7" w:rsidRDefault="008164F7" w:rsidP="00841C6A">
            <w:r>
              <w:rPr>
                <w:rFonts w:eastAsia="Arial"/>
                <w:color w:val="000000"/>
              </w:rPr>
              <w:t xml:space="preserve">     Repetition 1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59B5879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0.6922 ± 0.0433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39DE5C9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0.6519 ± 0.0466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B8522F6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0.7538 ± 0.1220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D9B3A7E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0.7423 ± 0.1232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71FC8D2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0.7101 ± 0.0471</w:t>
            </w:r>
          </w:p>
        </w:tc>
      </w:tr>
      <w:tr w:rsidR="008164F7" w14:paraId="25E3191A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0226D24" w14:textId="77777777" w:rsidR="008164F7" w:rsidRDefault="008164F7" w:rsidP="00841C6A">
            <w:r>
              <w:rPr>
                <w:rFonts w:eastAsia="Arial"/>
                <w:color w:val="000000"/>
              </w:rPr>
              <w:t xml:space="preserve">     Repetition 2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3C1DAB0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0.6563 ± 0.0554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EEF7F42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0.6503 ± 0.0446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4F1E157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0.7526 ± 0.0936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E5EA2B1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0.7086 ± 0.0975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F944334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0.6920 ± 0.0482</w:t>
            </w:r>
          </w:p>
        </w:tc>
      </w:tr>
      <w:tr w:rsidR="008164F7" w14:paraId="401F62F6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446D3FD" w14:textId="77777777" w:rsidR="008164F7" w:rsidRDefault="008164F7" w:rsidP="00841C6A">
            <w:r>
              <w:rPr>
                <w:rFonts w:eastAsia="Arial"/>
                <w:color w:val="000000"/>
              </w:rPr>
              <w:t xml:space="preserve">     Repetition 3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C3F46B5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0.7326 ± 0.0340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28877A1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0.7264 ± 0.1087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862284A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0.7255 ± 0.1440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8B07FB1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0.7807 ± 0.1201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61F76DA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0.7413 ± 0.0265</w:t>
            </w:r>
          </w:p>
        </w:tc>
      </w:tr>
      <w:tr w:rsidR="008164F7" w14:paraId="79CFB76C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F244213" w14:textId="77777777" w:rsidR="008164F7" w:rsidRDefault="008164F7" w:rsidP="00841C6A">
            <w:r>
              <w:rPr>
                <w:rFonts w:eastAsia="Arial"/>
                <w:b/>
                <w:bCs/>
                <w:color w:val="000000"/>
              </w:rPr>
              <w:t>Average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D078A0C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0.6937 ± 0.0382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547E293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0.6762 ± 0.0435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1CBF0C0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0.7440 ± 0.0160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7DFDD4E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0.7439 ± 0.0361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239ADDD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000000"/>
              </w:rPr>
              <w:t>0.7144 ± 0.0434</w:t>
            </w:r>
          </w:p>
        </w:tc>
      </w:tr>
      <w:tr w:rsidR="008164F7" w14:paraId="4DEC9581" w14:textId="77777777" w:rsidTr="00841C6A">
        <w:tc>
          <w:tcPr>
            <w:tcW w:w="9300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55" w:type="dxa"/>
              <w:left w:w="140" w:type="dxa"/>
              <w:bottom w:w="55" w:type="dxa"/>
              <w:right w:w="100" w:type="dxa"/>
            </w:tcMar>
          </w:tcPr>
          <w:p w14:paraId="30BC96A9" w14:textId="77777777" w:rsidR="008164F7" w:rsidRDefault="008164F7" w:rsidP="00841C6A">
            <w:r>
              <w:rPr>
                <w:rFonts w:eastAsia="Arial"/>
                <w:b/>
                <w:bCs/>
              </w:rPr>
              <w:lastRenderedPageBreak/>
              <w:t>No Clustering (whole-sample baseline)</w:t>
            </w:r>
          </w:p>
        </w:tc>
      </w:tr>
      <w:tr w:rsidR="008164F7" w14:paraId="67B64384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83053FA" w14:textId="77777777" w:rsidR="008164F7" w:rsidRDefault="008164F7" w:rsidP="00841C6A">
            <w:r>
              <w:rPr>
                <w:rFonts w:eastAsia="Arial"/>
                <w:b/>
                <w:bCs/>
                <w:color w:val="000000"/>
              </w:rPr>
              <w:t>C-index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11256B1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79498F7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ABD45AD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A26C0C2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BBDB42E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000000"/>
              </w:rPr>
              <w:t>0.6138 ± 0.0350</w:t>
            </w:r>
          </w:p>
        </w:tc>
      </w:tr>
      <w:tr w:rsidR="008164F7" w14:paraId="4C93A658" w14:textId="77777777" w:rsidTr="00841C6A">
        <w:tc>
          <w:tcPr>
            <w:tcW w:w="9300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F0E8"/>
            <w:tcMar>
              <w:top w:w="55" w:type="dxa"/>
              <w:left w:w="140" w:type="dxa"/>
              <w:bottom w:w="55" w:type="dxa"/>
              <w:right w:w="100" w:type="dxa"/>
            </w:tcMar>
          </w:tcPr>
          <w:p w14:paraId="56491411" w14:textId="77777777" w:rsidR="008164F7" w:rsidRDefault="008164F7" w:rsidP="00841C6A">
            <w:r>
              <w:rPr>
                <w:rFonts w:eastAsia="Arial"/>
                <w:b/>
                <w:bCs/>
              </w:rPr>
              <w:t>TCGA Molecular Subtypes (benchmark)ᴀ</w:t>
            </w:r>
          </w:p>
        </w:tc>
      </w:tr>
      <w:tr w:rsidR="008164F7" w14:paraId="7B87225F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7615376" w14:textId="77777777" w:rsidR="008164F7" w:rsidRDefault="008164F7" w:rsidP="00841C6A">
            <w:r>
              <w:rPr>
                <w:rFonts w:eastAsia="Arial"/>
                <w:color w:val="000000"/>
              </w:rPr>
              <w:t xml:space="preserve">     MSI (Microsatellite Instability)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BCBB95F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19353BE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C007EE1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A107C4A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0F5F0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57D1B25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0.7600 ± 0.0753</w:t>
            </w:r>
          </w:p>
        </w:tc>
      </w:tr>
      <w:tr w:rsidR="008164F7" w14:paraId="15ED819A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A3E7EBE" w14:textId="77777777" w:rsidR="008164F7" w:rsidRDefault="008164F7" w:rsidP="00841C6A">
            <w:r>
              <w:rPr>
                <w:rFonts w:eastAsia="Arial"/>
                <w:color w:val="000000"/>
              </w:rPr>
              <w:t xml:space="preserve">     GS (Genomically Stable)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A90E59D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3C5806A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ADC4E2F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0B01539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0F5F0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E2B15BB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0.7428 ± 0.1014</w:t>
            </w:r>
          </w:p>
        </w:tc>
      </w:tr>
      <w:tr w:rsidR="008164F7" w14:paraId="43D545CD" w14:textId="77777777" w:rsidTr="00841C6A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3919C2E" w14:textId="77777777" w:rsidR="008164F7" w:rsidRDefault="008164F7" w:rsidP="00841C6A">
            <w:r>
              <w:rPr>
                <w:rFonts w:eastAsia="Arial"/>
                <w:color w:val="000000"/>
              </w:rPr>
              <w:t xml:space="preserve">     CIN (Chromosomal Instability)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4216323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FE4E1B2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AB35B67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DC67447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999999"/>
              </w:rPr>
              <w:t>—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0F5F0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167BD48" w14:textId="77777777" w:rsidR="008164F7" w:rsidRDefault="008164F7" w:rsidP="00841C6A">
            <w:pPr>
              <w:jc w:val="center"/>
            </w:pPr>
            <w:r>
              <w:rPr>
                <w:rFonts w:eastAsia="Arial"/>
                <w:color w:val="000000"/>
              </w:rPr>
              <w:t>0.6657 ± 0.0517</w:t>
            </w:r>
          </w:p>
        </w:tc>
      </w:tr>
    </w:tbl>
    <w:p w14:paraId="67E3B0B9" w14:textId="0BE523CC" w:rsidR="008164F7" w:rsidRDefault="008164F7" w:rsidP="008164F7">
      <w:pPr>
        <w:spacing w:before="120"/>
      </w:pPr>
      <w:r>
        <w:rPr>
          <w:rFonts w:eastAsia="Arial"/>
          <w:i/>
          <w:iCs/>
          <w:color w:val="555555"/>
          <w:sz w:val="16"/>
          <w:szCs w:val="16"/>
        </w:rPr>
        <w:t xml:space="preserve">Values are presented as mean C-index ± SD from 5-fold cross-validation. </w:t>
      </w:r>
      <w:r>
        <w:rPr>
          <w:rFonts w:hint="eastAsia"/>
          <w:i/>
          <w:iCs/>
          <w:color w:val="555555"/>
          <w:sz w:val="16"/>
          <w:szCs w:val="16"/>
        </w:rPr>
        <w:t>m</w:t>
      </w:r>
      <w:r>
        <w:rPr>
          <w:rFonts w:eastAsia="Arial"/>
          <w:i/>
          <w:iCs/>
          <w:color w:val="555555"/>
          <w:sz w:val="16"/>
          <w:szCs w:val="16"/>
        </w:rPr>
        <w:t>ACE, Multimodal Attention Clustering Expert (single run on full TCGA-STAD dataset, n = 344). Stratified sampling, random sampling, and random partitioning were each repeated three times independently. Per-repetition SD is computed across 4 clusters; Average row SD is computed across 3 repetitions. Overall column reports mean ± SD across all 4 clusters per row. No clustering baseline: whole-sample C-index without cluster stratification. ᴀ TCGA molecular subtype C-indices represent within-subtype survival prediction performance (</w:t>
      </w:r>
      <w:r w:rsidR="000E676B" w:rsidRPr="000E676B">
        <w:rPr>
          <w:rFonts w:eastAsia="Arial"/>
          <w:i/>
          <w:iCs/>
          <w:color w:val="555555"/>
          <w:sz w:val="16"/>
          <w:szCs w:val="16"/>
        </w:rPr>
        <w:t>EBV-like</w:t>
      </w:r>
      <w:r>
        <w:rPr>
          <w:rFonts w:eastAsia="Arial"/>
          <w:i/>
          <w:iCs/>
          <w:color w:val="555555"/>
          <w:sz w:val="16"/>
          <w:szCs w:val="16"/>
        </w:rPr>
        <w:t xml:space="preserve"> excluded due to insufficient sample size for stable estimation); Overall column reports the subtype-specific C-index. Highlighted rows (blue) indicate </w:t>
      </w:r>
      <w:r>
        <w:rPr>
          <w:rFonts w:hint="eastAsia"/>
          <w:i/>
          <w:iCs/>
          <w:color w:val="555555"/>
          <w:sz w:val="16"/>
          <w:szCs w:val="16"/>
        </w:rPr>
        <w:t>m</w:t>
      </w:r>
      <w:r>
        <w:rPr>
          <w:rFonts w:eastAsia="Arial"/>
          <w:i/>
          <w:iCs/>
          <w:color w:val="555555"/>
          <w:sz w:val="16"/>
          <w:szCs w:val="16"/>
        </w:rPr>
        <w:t xml:space="preserve">ACE. </w:t>
      </w:r>
    </w:p>
    <w:p w14:paraId="4C5F03E8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68375A30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43870BD8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1B398330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7A81F642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0620E23C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60F256B1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058598AC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0D57DAE1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5AE29719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3935C7DA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508BA834" w14:textId="77777777" w:rsidR="008164F7" w:rsidRDefault="008164F7" w:rsidP="008164F7">
      <w:pPr>
        <w:spacing w:after="200"/>
        <w:rPr>
          <w:b/>
          <w:bCs/>
          <w:sz w:val="22"/>
          <w:szCs w:val="22"/>
        </w:rPr>
      </w:pPr>
    </w:p>
    <w:p w14:paraId="1427064D" w14:textId="5F40B5CF" w:rsidR="008164F7" w:rsidRDefault="008164F7" w:rsidP="008164F7">
      <w:pPr>
        <w:spacing w:after="200"/>
      </w:pPr>
      <w:r>
        <w:rPr>
          <w:rFonts w:eastAsia="Arial"/>
          <w:b/>
          <w:bCs/>
          <w:sz w:val="22"/>
          <w:szCs w:val="22"/>
        </w:rPr>
        <w:lastRenderedPageBreak/>
        <w:t>Supplementary Table 3. Univariate and multivariate Cox proportional hazards regression analysis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900"/>
        <w:gridCol w:w="1500"/>
        <w:gridCol w:w="900"/>
        <w:gridCol w:w="900"/>
        <w:gridCol w:w="1500"/>
        <w:gridCol w:w="900"/>
      </w:tblGrid>
      <w:tr w:rsidR="008164F7" w14:paraId="61BE2F42" w14:textId="77777777" w:rsidTr="00841C6A">
        <w:trPr>
          <w:tblHeader/>
        </w:trPr>
        <w:tc>
          <w:tcPr>
            <w:tcW w:w="2500" w:type="dxa"/>
            <w:vMerge w:val="restart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29666E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Variable</w:t>
            </w:r>
          </w:p>
        </w:tc>
        <w:tc>
          <w:tcPr>
            <w:tcW w:w="330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4B551E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Univariate Analysis</w:t>
            </w:r>
          </w:p>
        </w:tc>
        <w:tc>
          <w:tcPr>
            <w:tcW w:w="330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0D1A7F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Multivariate Analysis</w:t>
            </w:r>
          </w:p>
        </w:tc>
      </w:tr>
      <w:tr w:rsidR="008164F7" w14:paraId="53B2ABB7" w14:textId="77777777" w:rsidTr="00841C6A">
        <w:trPr>
          <w:tblHeader/>
        </w:trPr>
        <w:tc>
          <w:tcPr>
            <w:tcW w:w="0" w:type="auto"/>
            <w:vMerge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</w:tcPr>
          <w:p w14:paraId="5827EEDC" w14:textId="77777777" w:rsidR="008164F7" w:rsidRDefault="008164F7" w:rsidP="00841C6A"/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035FBE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HR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7CAC21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95% CI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E438FE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P value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6B3B4C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HR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CE8FFA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95% CI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763A97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  <w:color w:val="FFFFFF"/>
              </w:rPr>
              <w:t>P value</w:t>
            </w:r>
          </w:p>
        </w:tc>
      </w:tr>
      <w:tr w:rsidR="008164F7" w14:paraId="27948D3D" w14:textId="77777777" w:rsidTr="00841C6A">
        <w:tc>
          <w:tcPr>
            <w:tcW w:w="9100" w:type="dxa"/>
            <w:gridSpan w:val="7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55" w:type="dxa"/>
              <w:left w:w="140" w:type="dxa"/>
              <w:bottom w:w="55" w:type="dxa"/>
              <w:right w:w="100" w:type="dxa"/>
            </w:tcMar>
          </w:tcPr>
          <w:p w14:paraId="087264E0" w14:textId="77777777" w:rsidR="008164F7" w:rsidRDefault="008164F7" w:rsidP="00841C6A">
            <w:r>
              <w:rPr>
                <w:rFonts w:asciiTheme="minorEastAsia" w:hAnsiTheme="minorEastAsia" w:hint="eastAsia"/>
                <w:b/>
                <w:bCs/>
                <w:i/>
                <w:iCs/>
              </w:rPr>
              <w:t>m</w:t>
            </w:r>
            <w:r>
              <w:rPr>
                <w:rFonts w:eastAsia="Arial"/>
                <w:b/>
                <w:bCs/>
                <w:i/>
                <w:iCs/>
              </w:rPr>
              <w:t>ACE Risk Score</w:t>
            </w:r>
          </w:p>
        </w:tc>
      </w:tr>
      <w:tr w:rsidR="008164F7" w14:paraId="7D01B2DC" w14:textId="77777777" w:rsidTr="00841C6A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8FB28EB" w14:textId="77777777" w:rsidR="008164F7" w:rsidRPr="00E142BC" w:rsidRDefault="008164F7" w:rsidP="00841C6A">
            <w:r>
              <w:rPr>
                <w:rFonts w:hint="eastAsia"/>
                <w:b/>
                <w:bCs/>
              </w:rPr>
              <w:t>m</w:t>
            </w:r>
            <w:r>
              <w:rPr>
                <w:rFonts w:eastAsia="Arial"/>
                <w:b/>
                <w:bCs/>
              </w:rPr>
              <w:t>ACE high-risk score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B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65D64FD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</w:rPr>
              <w:t>2.77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B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7F7F86D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1.96–3.92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B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F02687B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</w:rPr>
              <w:t>&lt; 0.001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B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A6F0C55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</w:rPr>
              <w:t>2.77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B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138BD98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1.96–3.92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BF3FB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8CE4A35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</w:rPr>
              <w:t>&lt; 0.001</w:t>
            </w:r>
          </w:p>
        </w:tc>
      </w:tr>
      <w:tr w:rsidR="008164F7" w14:paraId="01060661" w14:textId="77777777" w:rsidTr="00841C6A">
        <w:tc>
          <w:tcPr>
            <w:tcW w:w="9100" w:type="dxa"/>
            <w:gridSpan w:val="7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55" w:type="dxa"/>
              <w:left w:w="140" w:type="dxa"/>
              <w:bottom w:w="55" w:type="dxa"/>
              <w:right w:w="100" w:type="dxa"/>
            </w:tcMar>
          </w:tcPr>
          <w:p w14:paraId="4537996F" w14:textId="77777777" w:rsidR="008164F7" w:rsidRDefault="008164F7" w:rsidP="00841C6A">
            <w:r>
              <w:rPr>
                <w:rFonts w:eastAsia="Arial"/>
                <w:b/>
                <w:bCs/>
                <w:i/>
                <w:iCs/>
              </w:rPr>
              <w:t>Clinical Variables</w:t>
            </w:r>
          </w:p>
        </w:tc>
      </w:tr>
      <w:tr w:rsidR="008164F7" w14:paraId="4FCDB9A3" w14:textId="77777777" w:rsidTr="00841C6A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F2F5C8D" w14:textId="77777777" w:rsidR="008164F7" w:rsidRDefault="008164F7" w:rsidP="00841C6A">
            <w:r>
              <w:rPr>
                <w:rFonts w:eastAsia="Arial"/>
              </w:rPr>
              <w:t>Age &gt; 60 years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6FE7899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</w:rPr>
              <w:t>1.54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B654FAF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1.04–2.28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8AEDF10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</w:rPr>
              <w:t>= 0.031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7B057A2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</w:rPr>
              <w:t>1.89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31EAE21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1.25–2.84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B0AFE61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</w:rPr>
              <w:t>= 0.002</w:t>
            </w:r>
          </w:p>
        </w:tc>
      </w:tr>
      <w:tr w:rsidR="008164F7" w14:paraId="61315B52" w14:textId="77777777" w:rsidTr="00841C6A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257795C" w14:textId="77777777" w:rsidR="008164F7" w:rsidRDefault="008164F7" w:rsidP="00841C6A">
            <w:r>
              <w:rPr>
                <w:rFonts w:eastAsia="Arial"/>
              </w:rPr>
              <w:t>Male sex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0D77B6B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1.28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5A665CE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0.88–1.85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B9C5093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= 0.200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6CBEED8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1.26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896AD56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0.86–1.84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784800D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= 0.242</w:t>
            </w:r>
          </w:p>
        </w:tc>
      </w:tr>
      <w:tr w:rsidR="008164F7" w14:paraId="7432413B" w14:textId="77777777" w:rsidTr="00841C6A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D894882" w14:textId="77777777" w:rsidR="008164F7" w:rsidRDefault="008164F7" w:rsidP="00841C6A">
            <w:r>
              <w:rPr>
                <w:rFonts w:eastAsia="Arial"/>
              </w:rPr>
              <w:t>Stage III/IV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6AF7665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</w:rPr>
              <w:t>1.45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45DF25C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1.01–2.09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3277BF4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</w:rPr>
              <w:t>= 0.047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CCB12E2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</w:rPr>
              <w:t>1.58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5A060BC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1.08–2.30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4ABF712" w14:textId="77777777" w:rsidR="008164F7" w:rsidRDefault="008164F7" w:rsidP="00841C6A">
            <w:pPr>
              <w:jc w:val="center"/>
            </w:pPr>
            <w:r>
              <w:rPr>
                <w:rFonts w:eastAsia="Arial"/>
                <w:b/>
                <w:bCs/>
              </w:rPr>
              <w:t>= 0.017</w:t>
            </w:r>
          </w:p>
        </w:tc>
      </w:tr>
      <w:tr w:rsidR="008164F7" w14:paraId="03D24A01" w14:textId="77777777" w:rsidTr="00841C6A">
        <w:tc>
          <w:tcPr>
            <w:tcW w:w="9100" w:type="dxa"/>
            <w:gridSpan w:val="7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55" w:type="dxa"/>
              <w:left w:w="140" w:type="dxa"/>
              <w:bottom w:w="55" w:type="dxa"/>
              <w:right w:w="100" w:type="dxa"/>
            </w:tcMar>
          </w:tcPr>
          <w:p w14:paraId="46FD7084" w14:textId="77777777" w:rsidR="008164F7" w:rsidRPr="00E142BC" w:rsidRDefault="008164F7" w:rsidP="00841C6A">
            <w:r>
              <w:rPr>
                <w:rFonts w:eastAsia="Arial"/>
                <w:b/>
                <w:bCs/>
                <w:i/>
                <w:iCs/>
              </w:rPr>
              <w:t>TCGA Molecular Subtypes</w:t>
            </w:r>
          </w:p>
        </w:tc>
      </w:tr>
      <w:tr w:rsidR="008164F7" w14:paraId="6929221E" w14:textId="77777777" w:rsidTr="00841C6A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56DB7DE" w14:textId="77777777" w:rsidR="008164F7" w:rsidRDefault="008164F7" w:rsidP="00841C6A">
            <w:r>
              <w:rPr>
                <w:rFonts w:eastAsia="Arial"/>
              </w:rPr>
              <w:t xml:space="preserve">     MSI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D339FA2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0.74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07FD77A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0.47–1.18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37A440D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= 0.205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49193AC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1.11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FDAE502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0.37–3.34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B90480D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= 0.852</w:t>
            </w:r>
          </w:p>
        </w:tc>
      </w:tr>
      <w:tr w:rsidR="008164F7" w14:paraId="3CE784FE" w14:textId="77777777" w:rsidTr="00841C6A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A0EBB6D" w14:textId="77777777" w:rsidR="008164F7" w:rsidRDefault="008164F7" w:rsidP="00841C6A">
            <w:r>
              <w:rPr>
                <w:rFonts w:eastAsia="Arial"/>
              </w:rPr>
              <w:t xml:space="preserve">     GS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2393F54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1.22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93F6795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0.75–1.99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075B8D1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= 0.426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F3FDCCE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0.64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0068B20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0.24–1.72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6141E9F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= 0.381</w:t>
            </w:r>
          </w:p>
        </w:tc>
      </w:tr>
      <w:tr w:rsidR="008164F7" w14:paraId="07FF7DC7" w14:textId="77777777" w:rsidTr="00841C6A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8E5C5D7" w14:textId="77777777" w:rsidR="008164F7" w:rsidRDefault="008164F7" w:rsidP="00841C6A">
            <w:r>
              <w:rPr>
                <w:rFonts w:eastAsia="Arial"/>
              </w:rPr>
              <w:t xml:space="preserve">     CIN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1E37A1C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1.01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ED05611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0.71–1.43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982B879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= 0.970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6EBBBD2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0.79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C91342A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0.36–1.74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98B1709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= 0.553</w:t>
            </w:r>
          </w:p>
        </w:tc>
      </w:tr>
      <w:tr w:rsidR="008164F7" w14:paraId="7453A0B1" w14:textId="77777777" w:rsidTr="00841C6A">
        <w:tc>
          <w:tcPr>
            <w:tcW w:w="9100" w:type="dxa"/>
            <w:gridSpan w:val="7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55" w:type="dxa"/>
              <w:left w:w="140" w:type="dxa"/>
              <w:bottom w:w="55" w:type="dxa"/>
              <w:right w:w="100" w:type="dxa"/>
            </w:tcMar>
          </w:tcPr>
          <w:p w14:paraId="6F88F609" w14:textId="77777777" w:rsidR="008164F7" w:rsidRDefault="008164F7" w:rsidP="00841C6A">
            <w:r>
              <w:rPr>
                <w:rFonts w:eastAsia="Arial"/>
                <w:b/>
                <w:bCs/>
                <w:i/>
                <w:iCs/>
              </w:rPr>
              <w:t>Histology</w:t>
            </w:r>
          </w:p>
        </w:tc>
      </w:tr>
      <w:tr w:rsidR="008164F7" w14:paraId="04B01A57" w14:textId="77777777" w:rsidTr="00841C6A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7489605" w14:textId="77777777" w:rsidR="008164F7" w:rsidRDefault="008164F7" w:rsidP="00841C6A">
            <w:r>
              <w:rPr>
                <w:rFonts w:eastAsia="Arial"/>
              </w:rPr>
              <w:t>Lauren diffuse type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6B01110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1.23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B8B6515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0.82–1.85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DB1C166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= 0.315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755601E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1.53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1550E40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0.79–2.97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710A5A8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= 0.211</w:t>
            </w:r>
          </w:p>
        </w:tc>
      </w:tr>
      <w:tr w:rsidR="008164F7" w14:paraId="5EE513AB" w14:textId="77777777" w:rsidTr="00841C6A">
        <w:tc>
          <w:tcPr>
            <w:tcW w:w="9100" w:type="dxa"/>
            <w:gridSpan w:val="7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6E4F0"/>
            <w:tcMar>
              <w:top w:w="55" w:type="dxa"/>
              <w:left w:w="140" w:type="dxa"/>
              <w:bottom w:w="55" w:type="dxa"/>
              <w:right w:w="100" w:type="dxa"/>
            </w:tcMar>
          </w:tcPr>
          <w:p w14:paraId="72EF3C31" w14:textId="77777777" w:rsidR="008164F7" w:rsidRDefault="008164F7" w:rsidP="00841C6A">
            <w:r>
              <w:rPr>
                <w:rFonts w:eastAsia="Arial"/>
                <w:b/>
                <w:bCs/>
                <w:i/>
                <w:iCs/>
              </w:rPr>
              <w:t>Biomarkers (continuous, per log₂ unit)</w:t>
            </w:r>
          </w:p>
        </w:tc>
      </w:tr>
      <w:tr w:rsidR="008164F7" w14:paraId="2875156C" w14:textId="77777777" w:rsidTr="00841C6A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530684E" w14:textId="77777777" w:rsidR="008164F7" w:rsidRDefault="008164F7" w:rsidP="00841C6A">
            <w:r>
              <w:rPr>
                <w:rFonts w:eastAsia="Arial"/>
              </w:rPr>
              <w:t>TMB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D1E425D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0.89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CE4D550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0.78–1.01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1D8045A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= 0.077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72BC392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0.82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4FA6779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0.65–1.03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5603F9D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= 0.091</w:t>
            </w:r>
          </w:p>
        </w:tc>
      </w:tr>
      <w:tr w:rsidR="008164F7" w14:paraId="08F2E9A6" w14:textId="77777777" w:rsidTr="00841C6A">
        <w:tc>
          <w:tcPr>
            <w:tcW w:w="2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EC38A3B" w14:textId="77777777" w:rsidR="008164F7" w:rsidRDefault="008164F7" w:rsidP="00841C6A">
            <w:r>
              <w:rPr>
                <w:rFonts w:eastAsia="Arial"/>
              </w:rPr>
              <w:t>PD-L1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E9AC38A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0.92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24C5143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0.82–1.04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4D63FCC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= 0.175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A5A4164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0.88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38B495C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0.77–1.02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18A1274" w14:textId="77777777" w:rsidR="008164F7" w:rsidRDefault="008164F7" w:rsidP="00841C6A">
            <w:pPr>
              <w:jc w:val="center"/>
            </w:pPr>
            <w:r>
              <w:rPr>
                <w:rFonts w:eastAsia="Arial"/>
              </w:rPr>
              <w:t>= 0.081</w:t>
            </w:r>
          </w:p>
        </w:tc>
      </w:tr>
    </w:tbl>
    <w:p w14:paraId="69FA424B" w14:textId="4C6855DB" w:rsidR="008164F7" w:rsidRDefault="008164F7" w:rsidP="008164F7">
      <w:pPr>
        <w:spacing w:before="120"/>
      </w:pPr>
      <w:r>
        <w:rPr>
          <w:rFonts w:eastAsia="Arial"/>
          <w:i/>
          <w:iCs/>
          <w:color w:val="555555"/>
          <w:sz w:val="16"/>
          <w:szCs w:val="16"/>
        </w:rPr>
        <w:t xml:space="preserve">HR, hazard ratio; CI, confidence interval; </w:t>
      </w:r>
      <w:r>
        <w:rPr>
          <w:rFonts w:hint="eastAsia"/>
          <w:i/>
          <w:iCs/>
          <w:color w:val="555555"/>
          <w:sz w:val="16"/>
          <w:szCs w:val="16"/>
        </w:rPr>
        <w:t>m</w:t>
      </w:r>
      <w:r>
        <w:rPr>
          <w:rFonts w:eastAsia="Arial"/>
          <w:i/>
          <w:iCs/>
          <w:color w:val="555555"/>
          <w:sz w:val="16"/>
          <w:szCs w:val="16"/>
        </w:rPr>
        <w:t xml:space="preserve">ACE, Multimodal Attention Clustering Expert. Univariate and multivariate Cox proportional hazards regression analyses. TCGA molecular subtypes: </w:t>
      </w:r>
      <w:r w:rsidR="000E676B" w:rsidRPr="000E676B">
        <w:rPr>
          <w:rFonts w:eastAsia="Arial"/>
          <w:i/>
          <w:iCs/>
          <w:color w:val="555555"/>
          <w:sz w:val="16"/>
          <w:szCs w:val="16"/>
        </w:rPr>
        <w:t>EBV-like</w:t>
      </w:r>
      <w:r>
        <w:rPr>
          <w:rFonts w:eastAsia="Arial"/>
          <w:i/>
          <w:iCs/>
          <w:color w:val="555555"/>
          <w:sz w:val="16"/>
          <w:szCs w:val="16"/>
        </w:rPr>
        <w:t xml:space="preserve"> subtype excluded due to insufficient sample size for stable estimation; MSI, microsatellite instability; GS, genomically stable; CIN, chromosomal instability. Lauren diffuse type includes ICD-O codes 8145 (carcinoma diffuse type) and 8490 (signet ring cell carcinoma). TMB and PD-L1 were log₂-transformed prior to analysis. Bold values indicate P &lt; 0.05. Highlighted rows (blue) indicate MACE risk score.</w:t>
      </w:r>
    </w:p>
    <w:p w14:paraId="25B279E0" w14:textId="77777777" w:rsidR="008164F7" w:rsidRPr="008164F7" w:rsidRDefault="008164F7">
      <w:pPr>
        <w:spacing w:before="120"/>
      </w:pPr>
    </w:p>
    <w:sectPr w:rsidR="008164F7" w:rsidRPr="008164F7">
      <w:pgSz w:w="15840" w:h="122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6E501" w14:textId="77777777" w:rsidR="008375B5" w:rsidRDefault="008375B5" w:rsidP="000E676B">
      <w:r>
        <w:separator/>
      </w:r>
    </w:p>
  </w:endnote>
  <w:endnote w:type="continuationSeparator" w:id="0">
    <w:p w14:paraId="47DA149D" w14:textId="77777777" w:rsidR="008375B5" w:rsidRDefault="008375B5" w:rsidP="000E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9B40F" w14:textId="77777777" w:rsidR="008375B5" w:rsidRDefault="008375B5" w:rsidP="000E676B">
      <w:r>
        <w:separator/>
      </w:r>
    </w:p>
  </w:footnote>
  <w:footnote w:type="continuationSeparator" w:id="0">
    <w:p w14:paraId="2E6A3F02" w14:textId="77777777" w:rsidR="008375B5" w:rsidRDefault="008375B5" w:rsidP="000E6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C712C"/>
    <w:multiLevelType w:val="hybridMultilevel"/>
    <w:tmpl w:val="1DCEEEB8"/>
    <w:lvl w:ilvl="0" w:tplc="8F0640C0">
      <w:start w:val="1"/>
      <w:numFmt w:val="bullet"/>
      <w:lvlText w:val="●"/>
      <w:lvlJc w:val="left"/>
      <w:pPr>
        <w:ind w:left="720" w:hanging="360"/>
      </w:pPr>
    </w:lvl>
    <w:lvl w:ilvl="1" w:tplc="7918E8DA">
      <w:start w:val="1"/>
      <w:numFmt w:val="bullet"/>
      <w:lvlText w:val="○"/>
      <w:lvlJc w:val="left"/>
      <w:pPr>
        <w:ind w:left="1440" w:hanging="360"/>
      </w:pPr>
    </w:lvl>
    <w:lvl w:ilvl="2" w:tplc="A25040C6">
      <w:start w:val="1"/>
      <w:numFmt w:val="bullet"/>
      <w:lvlText w:val="■"/>
      <w:lvlJc w:val="left"/>
      <w:pPr>
        <w:ind w:left="2160" w:hanging="360"/>
      </w:pPr>
    </w:lvl>
    <w:lvl w:ilvl="3" w:tplc="417C8CFC">
      <w:start w:val="1"/>
      <w:numFmt w:val="bullet"/>
      <w:lvlText w:val="●"/>
      <w:lvlJc w:val="left"/>
      <w:pPr>
        <w:ind w:left="2880" w:hanging="360"/>
      </w:pPr>
    </w:lvl>
    <w:lvl w:ilvl="4" w:tplc="265ACBEE">
      <w:start w:val="1"/>
      <w:numFmt w:val="bullet"/>
      <w:lvlText w:val="○"/>
      <w:lvlJc w:val="left"/>
      <w:pPr>
        <w:ind w:left="3600" w:hanging="360"/>
      </w:pPr>
    </w:lvl>
    <w:lvl w:ilvl="5" w:tplc="00B0BEC6">
      <w:start w:val="1"/>
      <w:numFmt w:val="bullet"/>
      <w:lvlText w:val="■"/>
      <w:lvlJc w:val="left"/>
      <w:pPr>
        <w:ind w:left="4320" w:hanging="360"/>
      </w:pPr>
    </w:lvl>
    <w:lvl w:ilvl="6" w:tplc="216467A8">
      <w:start w:val="1"/>
      <w:numFmt w:val="bullet"/>
      <w:lvlText w:val="●"/>
      <w:lvlJc w:val="left"/>
      <w:pPr>
        <w:ind w:left="5040" w:hanging="360"/>
      </w:pPr>
    </w:lvl>
    <w:lvl w:ilvl="7" w:tplc="F624571E">
      <w:start w:val="1"/>
      <w:numFmt w:val="bullet"/>
      <w:lvlText w:val="●"/>
      <w:lvlJc w:val="left"/>
      <w:pPr>
        <w:ind w:left="5760" w:hanging="360"/>
      </w:pPr>
    </w:lvl>
    <w:lvl w:ilvl="8" w:tplc="8D92A552">
      <w:start w:val="1"/>
      <w:numFmt w:val="bullet"/>
      <w:lvlText w:val="●"/>
      <w:lvlJc w:val="left"/>
      <w:pPr>
        <w:ind w:left="6480" w:hanging="360"/>
      </w:pPr>
    </w:lvl>
  </w:abstractNum>
  <w:num w:numId="1" w16cid:durableId="17023946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DCA"/>
    <w:rsid w:val="000E676B"/>
    <w:rsid w:val="001A53EF"/>
    <w:rsid w:val="004E4E83"/>
    <w:rsid w:val="005C3DCA"/>
    <w:rsid w:val="008164F7"/>
    <w:rsid w:val="008375B5"/>
    <w:rsid w:val="00936671"/>
    <w:rsid w:val="00F6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8BEB5B"/>
  <w15:docId w15:val="{0CE5A5EA-D454-4E8C-9D98-919C2DCB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0E67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0E676B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0E676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0E67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1000</Words>
  <Characters>5325</Characters>
  <Application>Microsoft Office Word</Application>
  <DocSecurity>0</DocSecurity>
  <Lines>484</Lines>
  <Paragraphs>316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czfysc@163.com</cp:lastModifiedBy>
  <cp:revision>5</cp:revision>
  <dcterms:created xsi:type="dcterms:W3CDTF">2026-03-04T03:10:00Z</dcterms:created>
  <dcterms:modified xsi:type="dcterms:W3CDTF">2026-03-26T03:15:00Z</dcterms:modified>
</cp:coreProperties>
</file>