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06607" w:rsidRPr="001A6B05" w:rsidRDefault="001A6B05" w:rsidP="00786237">
      <w:pPr>
        <w:ind w:right="14"/>
        <w:rPr>
          <w:sz w:val="44"/>
          <w:szCs w:val="48"/>
        </w:rPr>
        <w:sectPr w:rsidR="00906607" w:rsidRPr="001A6B05">
          <w:pgSz w:w="12240" w:h="15840"/>
          <w:pgMar w:top="1080" w:right="893" w:bottom="1440" w:left="893" w:header="720" w:footer="720" w:gutter="0"/>
          <w:cols w:space="720"/>
          <w:docGrid w:linePitch="360"/>
        </w:sectPr>
      </w:pPr>
      <w:r w:rsidRPr="001A6B05">
        <w:rPr>
          <w:sz w:val="44"/>
          <w:szCs w:val="48"/>
        </w:rPr>
        <w:t xml:space="preserve">Comparative Validation of GAN Based Cyber Threat Detection </w:t>
      </w:r>
      <w:r w:rsidR="00230C29">
        <w:rPr>
          <w:sz w:val="44"/>
          <w:szCs w:val="48"/>
        </w:rPr>
        <w:t xml:space="preserve">and Mitigation </w:t>
      </w:r>
      <w:r w:rsidRPr="001A6B05">
        <w:rPr>
          <w:sz w:val="44"/>
          <w:szCs w:val="48"/>
        </w:rPr>
        <w:t>Model using CNN LSTM and SVM for TCP UDP and ICMP Attack Analysis</w:t>
      </w:r>
      <w:r w:rsidR="00786237" w:rsidRPr="001A6B05">
        <w:rPr>
          <w:sz w:val="44"/>
          <w:szCs w:val="48"/>
        </w:rPr>
        <w:t>.</w:t>
      </w:r>
    </w:p>
    <w:p w:rsidR="001067AA" w:rsidRDefault="001067AA" w:rsidP="001067AA">
      <w:pPr>
        <w:pStyle w:val="Author"/>
        <w:spacing w:before="0" w:after="0"/>
        <w:rPr>
          <w:iCs/>
        </w:rPr>
      </w:pPr>
    </w:p>
    <w:p w:rsidR="001067AA" w:rsidRDefault="001067AA" w:rsidP="001067AA">
      <w:pPr>
        <w:pStyle w:val="Author"/>
        <w:spacing w:before="0" w:after="0"/>
        <w:rPr>
          <w:iCs/>
        </w:rPr>
      </w:pPr>
      <w:r w:rsidRPr="00CE1436">
        <w:rPr>
          <w:iCs/>
        </w:rPr>
        <w:t>Vandna</w:t>
      </w:r>
    </w:p>
    <w:p w:rsidR="001067AA" w:rsidRDefault="001067AA" w:rsidP="001067AA">
      <w:pPr>
        <w:pStyle w:val="Author"/>
        <w:spacing w:before="0" w:after="0"/>
        <w:rPr>
          <w:iCs/>
        </w:rPr>
      </w:pPr>
      <w:r>
        <w:rPr>
          <w:iCs/>
        </w:rPr>
        <w:t>Research Scholar, IKGPTU Jalandhar</w:t>
      </w:r>
    </w:p>
    <w:p w:rsidR="001067AA" w:rsidRDefault="001067AA" w:rsidP="001067AA">
      <w:pPr>
        <w:pStyle w:val="Affiliation"/>
        <w:rPr>
          <w:rFonts w:eastAsia="Times New Roman"/>
        </w:rPr>
      </w:pPr>
      <w:r>
        <w:rPr>
          <w:rFonts w:eastAsia="Times New Roman"/>
        </w:rPr>
        <w:t xml:space="preserve">Assistant Professor, </w:t>
      </w:r>
      <w:r w:rsidRPr="00CE1436">
        <w:rPr>
          <w:rFonts w:eastAsia="Times New Roman"/>
        </w:rPr>
        <w:t>CSE Dept.,</w:t>
      </w:r>
      <w:r>
        <w:rPr>
          <w:rFonts w:eastAsia="Times New Roman"/>
        </w:rPr>
        <w:t xml:space="preserve"> CGC College of Engineering</w:t>
      </w:r>
    </w:p>
    <w:p w:rsidR="001067AA" w:rsidRPr="00CE1436" w:rsidRDefault="001067AA" w:rsidP="001067AA">
      <w:pPr>
        <w:pStyle w:val="Affiliation"/>
        <w:rPr>
          <w:rFonts w:eastAsia="Times New Roman"/>
        </w:rPr>
      </w:pPr>
      <w:r w:rsidRPr="00CE1436">
        <w:rPr>
          <w:rFonts w:eastAsia="Times New Roman"/>
        </w:rPr>
        <w:t xml:space="preserve"> Chandigarh Group of Colleges, Landran, </w:t>
      </w:r>
      <w:r>
        <w:rPr>
          <w:rFonts w:eastAsia="Times New Roman"/>
        </w:rPr>
        <w:t>Mohali,</w:t>
      </w:r>
      <w:r w:rsidRPr="00CE1436">
        <w:rPr>
          <w:rFonts w:eastAsia="Times New Roman"/>
        </w:rPr>
        <w:t>Punjab, India</w:t>
      </w:r>
    </w:p>
    <w:p w:rsidR="001067AA" w:rsidRDefault="00C149FA" w:rsidP="001067AA">
      <w:pPr>
        <w:pStyle w:val="Affiliation"/>
      </w:pPr>
      <w:hyperlink r:id="rId8" w:history="1">
        <w:r w:rsidR="001067AA" w:rsidRPr="003121B8">
          <w:rPr>
            <w:rStyle w:val="Hyperlink"/>
            <w:i/>
          </w:rPr>
          <w:t>vandana.mehandiratta@gmail.com</w:t>
        </w:r>
      </w:hyperlink>
    </w:p>
    <w:p w:rsidR="001067AA" w:rsidRPr="00CE1436" w:rsidRDefault="001067AA" w:rsidP="001067AA">
      <w:pPr>
        <w:pStyle w:val="Affiliation"/>
        <w:rPr>
          <w:i/>
        </w:rPr>
      </w:pPr>
    </w:p>
    <w:p w:rsidR="001067AA" w:rsidRPr="00CE1436" w:rsidRDefault="001067AA" w:rsidP="001067AA">
      <w:pPr>
        <w:pStyle w:val="Author"/>
        <w:rPr>
          <w:rFonts w:eastAsia="Times New Roman"/>
        </w:rPr>
      </w:pPr>
      <w:r w:rsidRPr="00CE1436">
        <w:lastRenderedPageBreak/>
        <w:t xml:space="preserve"> Anuj Kumar Gupta</w:t>
      </w:r>
    </w:p>
    <w:p w:rsidR="001067AA" w:rsidRDefault="001067AA" w:rsidP="001067AA">
      <w:pPr>
        <w:pStyle w:val="Affiliation"/>
        <w:rPr>
          <w:rFonts w:eastAsia="Times New Roman"/>
        </w:rPr>
      </w:pPr>
      <w:r>
        <w:rPr>
          <w:rFonts w:eastAsia="Times New Roman"/>
        </w:rPr>
        <w:t xml:space="preserve">Professor, </w:t>
      </w:r>
      <w:r w:rsidRPr="00CE1436">
        <w:rPr>
          <w:rFonts w:eastAsia="Times New Roman"/>
        </w:rPr>
        <w:t>CSE Dept.,</w:t>
      </w:r>
      <w:r>
        <w:rPr>
          <w:rFonts w:eastAsia="Times New Roman"/>
        </w:rPr>
        <w:t xml:space="preserve"> CGC College of Engineering</w:t>
      </w:r>
    </w:p>
    <w:p w:rsidR="001067AA" w:rsidRDefault="001067AA" w:rsidP="001067AA">
      <w:pPr>
        <w:pStyle w:val="Affiliation"/>
        <w:rPr>
          <w:rFonts w:eastAsia="Times New Roman"/>
        </w:rPr>
      </w:pPr>
      <w:r w:rsidRPr="00CE1436">
        <w:rPr>
          <w:rFonts w:eastAsia="Times New Roman"/>
        </w:rPr>
        <w:t xml:space="preserve"> Chandigarh Group of Colleges, Landran, </w:t>
      </w:r>
      <w:r>
        <w:rPr>
          <w:rFonts w:eastAsia="Times New Roman"/>
        </w:rPr>
        <w:t>Mohali,</w:t>
      </w:r>
    </w:p>
    <w:p w:rsidR="001067AA" w:rsidRPr="00CE1436" w:rsidRDefault="001067AA" w:rsidP="001067AA">
      <w:pPr>
        <w:pStyle w:val="Affiliation"/>
      </w:pPr>
      <w:r w:rsidRPr="00CE1436">
        <w:rPr>
          <w:rFonts w:eastAsia="Times New Roman"/>
        </w:rPr>
        <w:t>Punjab, India</w:t>
      </w:r>
    </w:p>
    <w:p w:rsidR="001067AA" w:rsidRDefault="00C149FA" w:rsidP="001067AA">
      <w:pPr>
        <w:pStyle w:val="Affiliation"/>
        <w:rPr>
          <w:i/>
        </w:rPr>
      </w:pPr>
      <w:hyperlink r:id="rId9" w:history="1">
        <w:r w:rsidR="001A69A6" w:rsidRPr="00296FAA">
          <w:rPr>
            <w:rStyle w:val="Hyperlink"/>
            <w:i/>
          </w:rPr>
          <w:t>anuj21@hotmail.com</w:t>
        </w:r>
      </w:hyperlink>
    </w:p>
    <w:p w:rsidR="001A69A6" w:rsidRPr="00CE1436" w:rsidRDefault="001A69A6" w:rsidP="001067AA">
      <w:pPr>
        <w:pStyle w:val="Affiliation"/>
        <w:rPr>
          <w:i/>
        </w:rPr>
      </w:pPr>
    </w:p>
    <w:p w:rsidR="00906607" w:rsidRDefault="00906607">
      <w:pPr>
        <w:pStyle w:val="Author"/>
        <w:rPr>
          <w:rFonts w:eastAsia="Times New Roman"/>
        </w:rPr>
      </w:pPr>
    </w:p>
    <w:p w:rsidR="00906607" w:rsidRDefault="00906607">
      <w:pPr>
        <w:pStyle w:val="Affiliation"/>
        <w:sectPr w:rsidR="00906607">
          <w:type w:val="continuous"/>
          <w:pgSz w:w="12240" w:h="15840"/>
          <w:pgMar w:top="1080" w:right="893" w:bottom="1440" w:left="893" w:header="720" w:footer="720" w:gutter="0"/>
          <w:cols w:num="2" w:space="566" w:equalWidth="0">
            <w:col w:w="4855" w:space="566"/>
            <w:col w:w="5033"/>
          </w:cols>
          <w:docGrid w:linePitch="360"/>
        </w:sectPr>
      </w:pPr>
    </w:p>
    <w:p w:rsidR="00906607" w:rsidRPr="002759C3" w:rsidRDefault="00906607" w:rsidP="00114431">
      <w:pPr>
        <w:widowControl w:val="0"/>
        <w:autoSpaceDE w:val="0"/>
        <w:autoSpaceDN w:val="0"/>
        <w:adjustRightInd w:val="0"/>
        <w:jc w:val="both"/>
        <w:rPr>
          <w:color w:val="2B3942"/>
          <w:sz w:val="18"/>
          <w:szCs w:val="18"/>
        </w:rPr>
      </w:pPr>
    </w:p>
    <w:p w:rsidR="00075EA3" w:rsidRDefault="00075EA3" w:rsidP="002345A0">
      <w:pPr>
        <w:pStyle w:val="BodyText"/>
        <w:ind w:firstLine="0"/>
        <w:rPr>
          <w:b/>
          <w:color w:val="2B3942"/>
          <w:sz w:val="22"/>
          <w:szCs w:val="22"/>
        </w:rPr>
      </w:pPr>
      <w:r>
        <w:rPr>
          <w:b/>
          <w:color w:val="2B3942"/>
          <w:sz w:val="22"/>
          <w:szCs w:val="22"/>
        </w:rPr>
        <w:t xml:space="preserve">                                 Result analysis </w:t>
      </w:r>
    </w:p>
    <w:p w:rsidR="00075EA3" w:rsidRDefault="00075EA3" w:rsidP="002345A0">
      <w:pPr>
        <w:pStyle w:val="BodyText"/>
        <w:ind w:firstLine="0"/>
        <w:rPr>
          <w:b/>
          <w:color w:val="2B3942"/>
          <w:sz w:val="22"/>
          <w:szCs w:val="22"/>
        </w:rPr>
      </w:pPr>
    </w:p>
    <w:p w:rsidR="00075EA3" w:rsidRPr="00075EA3" w:rsidRDefault="00075EA3" w:rsidP="00075EA3">
      <w:pPr>
        <w:pStyle w:val="BodyText"/>
        <w:jc w:val="center"/>
        <w:rPr>
          <w:b/>
          <w:szCs w:val="22"/>
        </w:rPr>
      </w:pPr>
      <w:r w:rsidRPr="00075EA3">
        <w:rPr>
          <w:b/>
          <w:szCs w:val="22"/>
        </w:rPr>
        <w:t>TCP/IP Attack Detection Results</w:t>
      </w:r>
    </w:p>
    <w:p w:rsidR="00075EA3" w:rsidRPr="00075EA3" w:rsidRDefault="00075EA3" w:rsidP="00075EA3">
      <w:pPr>
        <w:pStyle w:val="BodyText"/>
        <w:rPr>
          <w:szCs w:val="22"/>
        </w:rPr>
      </w:pPr>
    </w:p>
    <w:p w:rsidR="00075EA3" w:rsidRPr="00075EA3" w:rsidRDefault="00075EA3" w:rsidP="00075EA3">
      <w:pPr>
        <w:pStyle w:val="BodyText"/>
        <w:rPr>
          <w:szCs w:val="22"/>
        </w:rPr>
      </w:pPr>
      <w:r w:rsidRPr="00075EA3">
        <w:rPr>
          <w:szCs w:val="22"/>
        </w:rPr>
        <w:t>The model evaluated four scenarios to detect TCP/IP attacks, achieving exceptional accuracy rates ranging from 99.945% to 99.982%. The Confusion Matrices and Reports reveal valuable insights:</w:t>
      </w:r>
    </w:p>
    <w:p w:rsidR="00075EA3" w:rsidRPr="00075EA3" w:rsidRDefault="00075EA3" w:rsidP="00075EA3">
      <w:pPr>
        <w:pStyle w:val="BodyText"/>
        <w:rPr>
          <w:szCs w:val="22"/>
        </w:rPr>
      </w:pPr>
    </w:p>
    <w:p w:rsidR="00075EA3" w:rsidRPr="00075EA3" w:rsidRDefault="00075EA3" w:rsidP="00075EA3">
      <w:pPr>
        <w:pStyle w:val="BodyText"/>
        <w:rPr>
          <w:szCs w:val="22"/>
        </w:rPr>
      </w:pPr>
      <w:r w:rsidRPr="00075EA3">
        <w:rPr>
          <w:szCs w:val="22"/>
        </w:rPr>
        <w:t>Model 1 and 3 Results</w:t>
      </w:r>
    </w:p>
    <w:p w:rsidR="00075EA3" w:rsidRPr="00075EA3" w:rsidRDefault="00075EA3" w:rsidP="00075EA3">
      <w:pPr>
        <w:pStyle w:val="BodyText"/>
        <w:rPr>
          <w:szCs w:val="22"/>
        </w:rPr>
      </w:pPr>
    </w:p>
    <w:p w:rsidR="00075EA3" w:rsidRPr="00075EA3" w:rsidRDefault="00075EA3" w:rsidP="00075EA3">
      <w:pPr>
        <w:pStyle w:val="BodyText"/>
        <w:rPr>
          <w:szCs w:val="22"/>
        </w:rPr>
      </w:pPr>
      <w:r w:rsidRPr="00075EA3">
        <w:rPr>
          <w:szCs w:val="22"/>
        </w:rPr>
        <w:t>These models demonstrated 99.945% accuracy, with Confusion Matrices showing 3 false positives and 0 false negatives. However, the precision, recall, and F1-score for class 0 were 0.00, indicating poor performance in detecting attacks. Class 1 showed perfect precision, recall, and F1-score.</w:t>
      </w:r>
    </w:p>
    <w:p w:rsidR="00075EA3" w:rsidRPr="00075EA3" w:rsidRDefault="00075EA3" w:rsidP="00075EA3">
      <w:pPr>
        <w:pStyle w:val="BodyText"/>
        <w:rPr>
          <w:szCs w:val="22"/>
        </w:rPr>
      </w:pPr>
    </w:p>
    <w:p w:rsidR="00075EA3" w:rsidRPr="00075EA3" w:rsidRDefault="00075EA3" w:rsidP="00075EA3">
      <w:pPr>
        <w:pStyle w:val="BodyText"/>
        <w:rPr>
          <w:szCs w:val="22"/>
        </w:rPr>
      </w:pPr>
      <w:r w:rsidRPr="00075EA3">
        <w:rPr>
          <w:szCs w:val="22"/>
        </w:rPr>
        <w:t>Model 2 and 4 Results</w:t>
      </w:r>
    </w:p>
    <w:p w:rsidR="00075EA3" w:rsidRPr="00075EA3" w:rsidRDefault="00075EA3" w:rsidP="00075EA3">
      <w:pPr>
        <w:pStyle w:val="BodyText"/>
        <w:rPr>
          <w:szCs w:val="22"/>
        </w:rPr>
      </w:pPr>
    </w:p>
    <w:p w:rsidR="00075EA3" w:rsidRPr="00075EA3" w:rsidRDefault="00075EA3" w:rsidP="00075EA3">
      <w:pPr>
        <w:pStyle w:val="BodyText"/>
        <w:rPr>
          <w:szCs w:val="22"/>
        </w:rPr>
      </w:pPr>
      <w:r w:rsidRPr="00075EA3">
        <w:rPr>
          <w:szCs w:val="22"/>
        </w:rPr>
        <w:t>These models achieved 99.982% accuracy, with Confusion Matrices displaying 2 false positives and 1 false negative. Precision, recall, and F1-score for class 0 were 1.00, 0.67, and 0.80, respectively. Class 1 demonstrated perfect precision, recall, and F1-score.</w:t>
      </w:r>
      <w:r w:rsidR="004E17E2">
        <w:rPr>
          <w:szCs w:val="22"/>
        </w:rPr>
        <w:t>[</w:t>
      </w:r>
      <w:r w:rsidR="003E650E">
        <w:rPr>
          <w:szCs w:val="22"/>
        </w:rPr>
        <w:t>34</w:t>
      </w:r>
      <w:r w:rsidR="004E17E2">
        <w:rPr>
          <w:szCs w:val="22"/>
        </w:rPr>
        <w:t>]</w:t>
      </w:r>
    </w:p>
    <w:p w:rsidR="00075EA3" w:rsidRPr="00075EA3" w:rsidRDefault="00075EA3" w:rsidP="00075EA3">
      <w:pPr>
        <w:pStyle w:val="BodyText"/>
        <w:rPr>
          <w:szCs w:val="22"/>
        </w:rPr>
      </w:pPr>
    </w:p>
    <w:p w:rsidR="00075EA3" w:rsidRPr="00075EA3" w:rsidRDefault="00075EA3" w:rsidP="00075EA3">
      <w:pPr>
        <w:pStyle w:val="BodyText"/>
        <w:rPr>
          <w:szCs w:val="22"/>
        </w:rPr>
      </w:pPr>
    </w:p>
    <w:p w:rsidR="00075EA3" w:rsidRPr="00075EA3" w:rsidRDefault="00075EA3" w:rsidP="00075EA3">
      <w:pPr>
        <w:pStyle w:val="BodyText"/>
        <w:rPr>
          <w:szCs w:val="22"/>
        </w:rPr>
      </w:pPr>
      <w:r w:rsidRPr="00075EA3">
        <w:rPr>
          <w:szCs w:val="22"/>
        </w:rPr>
        <w:t>- Models 2 and 4 performed better than Models 1 and 3.</w:t>
      </w:r>
    </w:p>
    <w:p w:rsidR="00075EA3" w:rsidRPr="00075EA3" w:rsidRDefault="00075EA3" w:rsidP="00075EA3">
      <w:pPr>
        <w:pStyle w:val="BodyText"/>
        <w:rPr>
          <w:szCs w:val="22"/>
        </w:rPr>
      </w:pPr>
      <w:r w:rsidRPr="00075EA3">
        <w:rPr>
          <w:szCs w:val="22"/>
        </w:rPr>
        <w:t>- Class 0 detection requires improvement.</w:t>
      </w:r>
    </w:p>
    <w:p w:rsidR="00075EA3" w:rsidRPr="00075EA3" w:rsidRDefault="00075EA3" w:rsidP="00075EA3">
      <w:pPr>
        <w:pStyle w:val="BodyText"/>
        <w:rPr>
          <w:szCs w:val="22"/>
        </w:rPr>
      </w:pPr>
      <w:r w:rsidRPr="00075EA3">
        <w:rPr>
          <w:szCs w:val="22"/>
        </w:rPr>
        <w:t>- The models excelled in detecting normal traffic (Class 1).</w:t>
      </w:r>
    </w:p>
    <w:p w:rsidR="00075EA3" w:rsidRPr="00075EA3" w:rsidRDefault="00075EA3" w:rsidP="00075EA3">
      <w:pPr>
        <w:pStyle w:val="BodyText"/>
        <w:rPr>
          <w:szCs w:val="22"/>
        </w:rPr>
      </w:pPr>
    </w:p>
    <w:p w:rsidR="00075EA3" w:rsidRPr="00075EA3" w:rsidRDefault="00075EA3" w:rsidP="00075EA3">
      <w:pPr>
        <w:pStyle w:val="BodyText"/>
        <w:rPr>
          <w:szCs w:val="22"/>
        </w:rPr>
      </w:pPr>
      <w:r w:rsidRPr="00075EA3">
        <w:rPr>
          <w:szCs w:val="22"/>
        </w:rPr>
        <w:t>TCP/IP Attack Detection Insights</w:t>
      </w:r>
    </w:p>
    <w:p w:rsidR="00075EA3" w:rsidRPr="00075EA3" w:rsidRDefault="00075EA3" w:rsidP="00075EA3">
      <w:pPr>
        <w:pStyle w:val="BodyText"/>
        <w:rPr>
          <w:szCs w:val="22"/>
        </w:rPr>
      </w:pPr>
    </w:p>
    <w:p w:rsidR="00075EA3" w:rsidRPr="00075EA3" w:rsidRDefault="00075EA3" w:rsidP="00075EA3">
      <w:pPr>
        <w:pStyle w:val="BodyText"/>
        <w:rPr>
          <w:szCs w:val="22"/>
        </w:rPr>
      </w:pPr>
      <w:r w:rsidRPr="00075EA3">
        <w:rPr>
          <w:szCs w:val="22"/>
        </w:rPr>
        <w:t>- The results suggest effective detection of TCP/IP attacks, except for a few false positives and negatives.</w:t>
      </w:r>
    </w:p>
    <w:p w:rsidR="00075EA3" w:rsidRPr="00075EA3" w:rsidRDefault="00075EA3" w:rsidP="00075EA3">
      <w:pPr>
        <w:pStyle w:val="BodyText"/>
        <w:rPr>
          <w:szCs w:val="22"/>
        </w:rPr>
      </w:pPr>
      <w:r w:rsidRPr="00075EA3">
        <w:rPr>
          <w:szCs w:val="22"/>
        </w:rPr>
        <w:t>- The models can be fine-tuned to improve Class 0 detection.</w:t>
      </w:r>
    </w:p>
    <w:p w:rsidR="00075EA3" w:rsidRDefault="00075EA3" w:rsidP="00075EA3">
      <w:pPr>
        <w:pStyle w:val="BodyText"/>
        <w:ind w:firstLine="0"/>
        <w:rPr>
          <w:szCs w:val="22"/>
        </w:rPr>
      </w:pPr>
      <w:r w:rsidRPr="00075EA3">
        <w:rPr>
          <w:szCs w:val="22"/>
        </w:rPr>
        <w:t>- These models can be deployed to detect TCP/IP attacks in real-world scenarios.</w:t>
      </w:r>
    </w:p>
    <w:p w:rsidR="00075EA3" w:rsidRDefault="00075EA3" w:rsidP="00075EA3">
      <w:pPr>
        <w:pStyle w:val="BodyText"/>
        <w:ind w:firstLine="0"/>
        <w:rPr>
          <w:szCs w:val="22"/>
        </w:rPr>
      </w:pPr>
    </w:p>
    <w:p w:rsidR="00075EA3" w:rsidRPr="00075EA3" w:rsidRDefault="00075EA3" w:rsidP="00075EA3">
      <w:pPr>
        <w:pStyle w:val="BodyText"/>
        <w:rPr>
          <w:szCs w:val="22"/>
        </w:rPr>
      </w:pPr>
      <w:r w:rsidRPr="00075EA3">
        <w:rPr>
          <w:szCs w:val="22"/>
        </w:rPr>
        <w:t>Three models were evaluated for their performance in classifying TCP/IP attacks. Model 2 emerged as the top performer with an accuracy of 74.43%, followed closely by Model 3 at 71.23%, and Model 1 at 70.99%.</w:t>
      </w:r>
      <w:r w:rsidR="004E17E2">
        <w:rPr>
          <w:szCs w:val="22"/>
        </w:rPr>
        <w:t>[</w:t>
      </w:r>
      <w:r w:rsidR="003E650E">
        <w:rPr>
          <w:szCs w:val="22"/>
        </w:rPr>
        <w:t>35</w:t>
      </w:r>
      <w:r w:rsidR="004E17E2">
        <w:rPr>
          <w:szCs w:val="22"/>
        </w:rPr>
        <w:t>]</w:t>
      </w:r>
    </w:p>
    <w:p w:rsidR="00075EA3" w:rsidRPr="00075EA3" w:rsidRDefault="00075EA3" w:rsidP="00075EA3">
      <w:pPr>
        <w:pStyle w:val="BodyText"/>
        <w:rPr>
          <w:szCs w:val="22"/>
        </w:rPr>
      </w:pPr>
    </w:p>
    <w:p w:rsidR="00075EA3" w:rsidRPr="00075EA3" w:rsidRDefault="00075EA3" w:rsidP="00075EA3">
      <w:pPr>
        <w:pStyle w:val="BodyText"/>
        <w:jc w:val="center"/>
        <w:rPr>
          <w:b/>
          <w:sz w:val="22"/>
          <w:szCs w:val="22"/>
        </w:rPr>
      </w:pPr>
      <w:r w:rsidRPr="00075EA3">
        <w:rPr>
          <w:b/>
          <w:sz w:val="22"/>
          <w:szCs w:val="22"/>
        </w:rPr>
        <w:t>UDP Attack Detection Results</w:t>
      </w:r>
    </w:p>
    <w:p w:rsidR="00075EA3" w:rsidRPr="00075EA3" w:rsidRDefault="00075EA3" w:rsidP="00075EA3">
      <w:pPr>
        <w:pStyle w:val="BodyText"/>
        <w:rPr>
          <w:b/>
          <w:sz w:val="22"/>
          <w:szCs w:val="22"/>
        </w:rPr>
      </w:pPr>
    </w:p>
    <w:p w:rsidR="00075EA3" w:rsidRPr="00075EA3" w:rsidRDefault="00075EA3" w:rsidP="00075EA3">
      <w:pPr>
        <w:pStyle w:val="BodyText"/>
        <w:ind w:firstLine="0"/>
        <w:rPr>
          <w:szCs w:val="22"/>
        </w:rPr>
      </w:pPr>
      <w:r w:rsidRPr="00075EA3">
        <w:rPr>
          <w:szCs w:val="22"/>
        </w:rPr>
        <w:t>Four models were evaluated to detect UDP attacks, achieving accuracy rates ranging from 70.99% to 77.23%. The Confusion Matrices and Reports reveal valuable insights:</w:t>
      </w:r>
    </w:p>
    <w:p w:rsidR="00075EA3" w:rsidRPr="00075EA3" w:rsidRDefault="00075EA3" w:rsidP="00075EA3">
      <w:pPr>
        <w:pStyle w:val="BodyText"/>
        <w:ind w:firstLine="0"/>
        <w:rPr>
          <w:szCs w:val="22"/>
        </w:rPr>
      </w:pPr>
      <w:r w:rsidRPr="00075EA3">
        <w:rPr>
          <w:szCs w:val="22"/>
        </w:rPr>
        <w:t>Model 1 demonstrated moderate performance with an accuracy of 70.99%. It correctly classified 2852 instances as benign and 2835 as malicious. However, it misclassified 2005 malicious instances as benign and 319 benign instances as malicious.</w:t>
      </w:r>
    </w:p>
    <w:p w:rsidR="00075EA3" w:rsidRPr="00075EA3" w:rsidRDefault="00075EA3" w:rsidP="00075EA3">
      <w:pPr>
        <w:pStyle w:val="BodyText"/>
        <w:rPr>
          <w:szCs w:val="22"/>
        </w:rPr>
      </w:pPr>
    </w:p>
    <w:p w:rsidR="00075EA3" w:rsidRPr="00075EA3" w:rsidRDefault="00075EA3" w:rsidP="00075EA3">
      <w:pPr>
        <w:pStyle w:val="BodyText"/>
        <w:rPr>
          <w:szCs w:val="22"/>
        </w:rPr>
      </w:pPr>
    </w:p>
    <w:p w:rsidR="00075EA3" w:rsidRPr="00075EA3" w:rsidRDefault="00075EA3" w:rsidP="00075EA3">
      <w:pPr>
        <w:pStyle w:val="BodyText"/>
        <w:ind w:firstLine="0"/>
        <w:rPr>
          <w:szCs w:val="22"/>
        </w:rPr>
      </w:pPr>
      <w:r w:rsidRPr="00075EA3">
        <w:rPr>
          <w:szCs w:val="22"/>
        </w:rPr>
        <w:t>Model 2 showed improved performance with an accuracy of 74.43%. It correctly classified 4046 instances as benign and 1917 as malicious, with fewer misclassifications.</w:t>
      </w:r>
    </w:p>
    <w:p w:rsidR="00075EA3" w:rsidRPr="00075EA3" w:rsidRDefault="00075EA3" w:rsidP="00075EA3">
      <w:pPr>
        <w:pStyle w:val="BodyText"/>
        <w:rPr>
          <w:szCs w:val="22"/>
        </w:rPr>
      </w:pPr>
    </w:p>
    <w:p w:rsidR="00075EA3" w:rsidRPr="00075EA3" w:rsidRDefault="00075EA3" w:rsidP="00075EA3">
      <w:pPr>
        <w:pStyle w:val="BodyText"/>
        <w:ind w:firstLine="0"/>
        <w:rPr>
          <w:szCs w:val="22"/>
        </w:rPr>
      </w:pPr>
      <w:r w:rsidRPr="00075EA3">
        <w:rPr>
          <w:szCs w:val="22"/>
        </w:rPr>
        <w:t>Model 3 achieved an accuracy of 71.23%, correctly identifying 4826 benign instances but struggling with malicious instances, misclassifying 2274.</w:t>
      </w:r>
    </w:p>
    <w:p w:rsidR="00075EA3" w:rsidRPr="00075EA3" w:rsidRDefault="00075EA3" w:rsidP="00075EA3">
      <w:pPr>
        <w:pStyle w:val="BodyText"/>
        <w:rPr>
          <w:szCs w:val="22"/>
        </w:rPr>
      </w:pPr>
    </w:p>
    <w:p w:rsidR="00075EA3" w:rsidRPr="00075EA3" w:rsidRDefault="00075EA3" w:rsidP="00075EA3">
      <w:pPr>
        <w:pStyle w:val="BodyText"/>
        <w:ind w:firstLine="0"/>
        <w:rPr>
          <w:szCs w:val="22"/>
        </w:rPr>
      </w:pPr>
      <w:r w:rsidRPr="00075EA3">
        <w:rPr>
          <w:szCs w:val="22"/>
        </w:rPr>
        <w:t>Model 4 performed best with an accuracy of 77.23%, correctly classifying 3834 benign instances and 2353 malicious instances.</w:t>
      </w:r>
    </w:p>
    <w:p w:rsidR="00075EA3" w:rsidRPr="00075EA3" w:rsidRDefault="00075EA3" w:rsidP="00075EA3">
      <w:pPr>
        <w:pStyle w:val="BodyText"/>
        <w:rPr>
          <w:szCs w:val="22"/>
        </w:rPr>
      </w:pPr>
    </w:p>
    <w:p w:rsidR="00075EA3" w:rsidRPr="00075EA3" w:rsidRDefault="00075EA3" w:rsidP="00075EA3">
      <w:pPr>
        <w:pStyle w:val="BodyText"/>
        <w:ind w:firstLine="0"/>
        <w:rPr>
          <w:szCs w:val="22"/>
        </w:rPr>
      </w:pPr>
      <w:r w:rsidRPr="00075EA3">
        <w:rPr>
          <w:szCs w:val="22"/>
        </w:rPr>
        <w:t>- Model 4 demonstrated the highest accuracy.</w:t>
      </w:r>
    </w:p>
    <w:p w:rsidR="00075EA3" w:rsidRPr="00075EA3" w:rsidRDefault="00075EA3" w:rsidP="00075EA3">
      <w:pPr>
        <w:pStyle w:val="BodyText"/>
        <w:rPr>
          <w:szCs w:val="22"/>
        </w:rPr>
      </w:pPr>
      <w:r w:rsidRPr="00075EA3">
        <w:rPr>
          <w:szCs w:val="22"/>
        </w:rPr>
        <w:t>- Model 3 struggled with malicious instance detection.</w:t>
      </w:r>
    </w:p>
    <w:p w:rsidR="00075EA3" w:rsidRPr="00075EA3" w:rsidRDefault="00075EA3" w:rsidP="00075EA3">
      <w:pPr>
        <w:pStyle w:val="BodyText"/>
        <w:rPr>
          <w:szCs w:val="22"/>
        </w:rPr>
      </w:pPr>
      <w:r w:rsidRPr="00075EA3">
        <w:rPr>
          <w:szCs w:val="22"/>
        </w:rPr>
        <w:t>- Models 1 and 2 showed moderate performance.</w:t>
      </w:r>
    </w:p>
    <w:p w:rsidR="00075EA3" w:rsidRPr="00075EA3" w:rsidRDefault="00075EA3" w:rsidP="00075EA3">
      <w:pPr>
        <w:pStyle w:val="BodyText"/>
        <w:rPr>
          <w:szCs w:val="22"/>
        </w:rPr>
      </w:pPr>
    </w:p>
    <w:p w:rsidR="00075EA3" w:rsidRPr="00075EA3" w:rsidRDefault="00075EA3" w:rsidP="00075EA3">
      <w:pPr>
        <w:pStyle w:val="BodyText"/>
        <w:rPr>
          <w:szCs w:val="22"/>
        </w:rPr>
      </w:pPr>
      <w:r w:rsidRPr="00075EA3">
        <w:rPr>
          <w:szCs w:val="22"/>
        </w:rPr>
        <w:t>UDP Attack Detection Insights</w:t>
      </w:r>
    </w:p>
    <w:p w:rsidR="00075EA3" w:rsidRPr="00075EA3" w:rsidRDefault="00075EA3" w:rsidP="00075EA3">
      <w:pPr>
        <w:pStyle w:val="BodyText"/>
        <w:rPr>
          <w:szCs w:val="22"/>
        </w:rPr>
      </w:pPr>
    </w:p>
    <w:p w:rsidR="00075EA3" w:rsidRPr="00075EA3" w:rsidRDefault="00075EA3" w:rsidP="00075EA3">
      <w:pPr>
        <w:pStyle w:val="BodyText"/>
        <w:rPr>
          <w:szCs w:val="22"/>
        </w:rPr>
      </w:pPr>
      <w:r w:rsidRPr="00075EA3">
        <w:rPr>
          <w:szCs w:val="22"/>
        </w:rPr>
        <w:t>- The models effectively detected UDP attacks, but varying levels of accuracy indicate room for improvement.</w:t>
      </w:r>
    </w:p>
    <w:p w:rsidR="00075EA3" w:rsidRPr="00075EA3" w:rsidRDefault="00075EA3" w:rsidP="00075EA3">
      <w:pPr>
        <w:pStyle w:val="BodyText"/>
        <w:rPr>
          <w:szCs w:val="22"/>
        </w:rPr>
      </w:pPr>
      <w:r w:rsidRPr="00075EA3">
        <w:rPr>
          <w:szCs w:val="22"/>
        </w:rPr>
        <w:t>- False positives and negatives were significant in some models.</w:t>
      </w:r>
    </w:p>
    <w:p w:rsidR="00075EA3" w:rsidRPr="00075EA3" w:rsidRDefault="00075EA3" w:rsidP="00075EA3">
      <w:pPr>
        <w:pStyle w:val="BodyText"/>
        <w:rPr>
          <w:b/>
          <w:sz w:val="22"/>
          <w:szCs w:val="22"/>
        </w:rPr>
      </w:pPr>
    </w:p>
    <w:p w:rsidR="00075EA3" w:rsidRPr="00075EA3" w:rsidRDefault="00075EA3" w:rsidP="00075EA3">
      <w:pPr>
        <w:pStyle w:val="BodyText"/>
        <w:jc w:val="center"/>
        <w:rPr>
          <w:b/>
          <w:sz w:val="22"/>
          <w:szCs w:val="22"/>
        </w:rPr>
      </w:pPr>
      <w:r w:rsidRPr="00075EA3">
        <w:rPr>
          <w:b/>
          <w:sz w:val="22"/>
          <w:szCs w:val="22"/>
        </w:rPr>
        <w:t>ICMP Attack Detection Results</w:t>
      </w:r>
    </w:p>
    <w:p w:rsidR="00075EA3" w:rsidRPr="00075EA3" w:rsidRDefault="00075EA3" w:rsidP="00075EA3">
      <w:pPr>
        <w:pStyle w:val="BodyText"/>
        <w:jc w:val="center"/>
        <w:rPr>
          <w:b/>
          <w:sz w:val="22"/>
          <w:szCs w:val="22"/>
        </w:rPr>
      </w:pPr>
    </w:p>
    <w:p w:rsidR="00075EA3" w:rsidRPr="00075EA3" w:rsidRDefault="00075EA3" w:rsidP="00075EA3">
      <w:pPr>
        <w:pStyle w:val="BodyText"/>
        <w:rPr>
          <w:szCs w:val="22"/>
        </w:rPr>
      </w:pPr>
      <w:r w:rsidRPr="00075EA3">
        <w:rPr>
          <w:szCs w:val="22"/>
        </w:rPr>
        <w:t>Four models were evaluated to detect ICMP attacks, achieving exceptionally high accuracy rates ranging from 99.78% to 99.998%. The Confusion Matrices and Reports reveal:</w:t>
      </w:r>
    </w:p>
    <w:p w:rsidR="00075EA3" w:rsidRPr="00075EA3" w:rsidRDefault="00075EA3" w:rsidP="00075EA3">
      <w:pPr>
        <w:pStyle w:val="BodyText"/>
        <w:rPr>
          <w:szCs w:val="22"/>
        </w:rPr>
      </w:pPr>
    </w:p>
    <w:p w:rsidR="00075EA3" w:rsidRPr="00075EA3" w:rsidRDefault="00075EA3" w:rsidP="00075EA3">
      <w:pPr>
        <w:pStyle w:val="BodyText"/>
        <w:rPr>
          <w:szCs w:val="22"/>
        </w:rPr>
      </w:pPr>
      <w:r w:rsidRPr="00075EA3">
        <w:rPr>
          <w:szCs w:val="22"/>
        </w:rPr>
        <w:t>Model 1 demonstrated an accuracy of 99.94%, correctly classifying 81 benign and 49,380 malicious instances. Precision, recall, and F1-score were 0.94, 0.76, and 0.84 for benign instances.</w:t>
      </w:r>
    </w:p>
    <w:p w:rsidR="00075EA3" w:rsidRPr="00075EA3" w:rsidRDefault="00075EA3" w:rsidP="00075EA3">
      <w:pPr>
        <w:pStyle w:val="BodyText"/>
        <w:rPr>
          <w:szCs w:val="22"/>
        </w:rPr>
      </w:pPr>
    </w:p>
    <w:p w:rsidR="00075EA3" w:rsidRPr="00075EA3" w:rsidRDefault="00075EA3" w:rsidP="00075EA3">
      <w:pPr>
        <w:pStyle w:val="BodyText"/>
        <w:rPr>
          <w:szCs w:val="22"/>
        </w:rPr>
      </w:pPr>
      <w:r w:rsidRPr="00075EA3">
        <w:rPr>
          <w:szCs w:val="22"/>
        </w:rPr>
        <w:t>Model 2 achieved an accuracy of 99.99%, misclassifying only 2 benign and 1 malicious instance. Precision, recall, and F1-score were 0.99, 0.98, and 0.99 for benign instances.</w:t>
      </w:r>
    </w:p>
    <w:p w:rsidR="00075EA3" w:rsidRPr="00075EA3" w:rsidRDefault="00075EA3" w:rsidP="00075EA3">
      <w:pPr>
        <w:pStyle w:val="BodyText"/>
        <w:rPr>
          <w:szCs w:val="22"/>
        </w:rPr>
      </w:pPr>
    </w:p>
    <w:p w:rsidR="00075EA3" w:rsidRPr="00075EA3" w:rsidRDefault="00075EA3" w:rsidP="00075EA3">
      <w:pPr>
        <w:pStyle w:val="BodyText"/>
        <w:rPr>
          <w:szCs w:val="22"/>
        </w:rPr>
      </w:pPr>
      <w:r w:rsidRPr="00075EA3">
        <w:rPr>
          <w:szCs w:val="22"/>
        </w:rPr>
        <w:t>Model 3 showed a slightly lower accuracy of 99.78%, misclassifying 75 benign and 34 malicious instances. However, precision, recall, and F1-score were lower for benign instances.</w:t>
      </w:r>
    </w:p>
    <w:p w:rsidR="00075EA3" w:rsidRPr="00075EA3" w:rsidRDefault="00075EA3" w:rsidP="00075EA3">
      <w:pPr>
        <w:pStyle w:val="BodyText"/>
        <w:rPr>
          <w:szCs w:val="22"/>
        </w:rPr>
      </w:pPr>
    </w:p>
    <w:p w:rsidR="00075EA3" w:rsidRPr="00075EA3" w:rsidRDefault="00075EA3" w:rsidP="00075EA3">
      <w:pPr>
        <w:pStyle w:val="BodyText"/>
        <w:rPr>
          <w:szCs w:val="22"/>
        </w:rPr>
      </w:pPr>
      <w:r w:rsidRPr="00075EA3">
        <w:rPr>
          <w:szCs w:val="22"/>
        </w:rPr>
        <w:t>Model 4 performed best with an accuracy of 99.998%, perfectly classifying all 106 benign instances and 49,384 malicious instances</w:t>
      </w:r>
      <w:r w:rsidR="00397A05">
        <w:rPr>
          <w:szCs w:val="22"/>
        </w:rPr>
        <w:t>.</w:t>
      </w:r>
    </w:p>
    <w:p w:rsidR="00075EA3" w:rsidRPr="00075EA3" w:rsidRDefault="00075EA3" w:rsidP="00B74AB0">
      <w:pPr>
        <w:pStyle w:val="BodyText"/>
        <w:ind w:firstLine="0"/>
        <w:rPr>
          <w:szCs w:val="22"/>
        </w:rPr>
      </w:pPr>
    </w:p>
    <w:p w:rsidR="00075EA3" w:rsidRPr="00075EA3" w:rsidRDefault="00075EA3" w:rsidP="00075EA3">
      <w:pPr>
        <w:pStyle w:val="BodyText"/>
        <w:numPr>
          <w:ilvl w:val="0"/>
          <w:numId w:val="32"/>
        </w:numPr>
        <w:rPr>
          <w:szCs w:val="22"/>
        </w:rPr>
      </w:pPr>
      <w:r w:rsidRPr="00075EA3">
        <w:rPr>
          <w:szCs w:val="22"/>
        </w:rPr>
        <w:t>All models demonstrated exceptional accuracy.</w:t>
      </w:r>
    </w:p>
    <w:p w:rsidR="00075EA3" w:rsidRPr="00075EA3" w:rsidRDefault="00075EA3" w:rsidP="00075EA3">
      <w:pPr>
        <w:pStyle w:val="BodyText"/>
        <w:numPr>
          <w:ilvl w:val="0"/>
          <w:numId w:val="32"/>
        </w:numPr>
        <w:rPr>
          <w:szCs w:val="22"/>
        </w:rPr>
      </w:pPr>
      <w:r w:rsidRPr="00075EA3">
        <w:rPr>
          <w:szCs w:val="22"/>
        </w:rPr>
        <w:t>Model 4 achieved perfect classification.</w:t>
      </w:r>
    </w:p>
    <w:p w:rsidR="00075EA3" w:rsidRPr="00075EA3" w:rsidRDefault="00075EA3" w:rsidP="00075EA3">
      <w:pPr>
        <w:pStyle w:val="BodyText"/>
        <w:numPr>
          <w:ilvl w:val="0"/>
          <w:numId w:val="32"/>
        </w:numPr>
        <w:rPr>
          <w:szCs w:val="22"/>
        </w:rPr>
      </w:pPr>
      <w:r w:rsidRPr="00075EA3">
        <w:rPr>
          <w:szCs w:val="22"/>
        </w:rPr>
        <w:t>Models 1 and 2 showed near-perfect classification.</w:t>
      </w:r>
    </w:p>
    <w:p w:rsidR="00075EA3" w:rsidRPr="00075EA3" w:rsidRDefault="00075EA3" w:rsidP="00075EA3">
      <w:pPr>
        <w:pStyle w:val="BodyText"/>
        <w:rPr>
          <w:szCs w:val="22"/>
        </w:rPr>
      </w:pPr>
    </w:p>
    <w:p w:rsidR="00075EA3" w:rsidRPr="00075EA3" w:rsidRDefault="00075EA3" w:rsidP="00B74AB0">
      <w:pPr>
        <w:pStyle w:val="BodyText"/>
        <w:jc w:val="center"/>
        <w:rPr>
          <w:szCs w:val="22"/>
        </w:rPr>
      </w:pPr>
      <w:r w:rsidRPr="00075EA3">
        <w:rPr>
          <w:szCs w:val="22"/>
        </w:rPr>
        <w:t>ICMP Attack Detection Insights</w:t>
      </w:r>
    </w:p>
    <w:p w:rsidR="00075EA3" w:rsidRPr="00075EA3" w:rsidRDefault="00075EA3" w:rsidP="00075EA3">
      <w:pPr>
        <w:pStyle w:val="BodyText"/>
        <w:rPr>
          <w:szCs w:val="22"/>
        </w:rPr>
      </w:pPr>
    </w:p>
    <w:p w:rsidR="00075EA3" w:rsidRPr="00075EA3" w:rsidRDefault="00075EA3" w:rsidP="00075EA3">
      <w:pPr>
        <w:pStyle w:val="BodyText"/>
        <w:rPr>
          <w:szCs w:val="22"/>
        </w:rPr>
      </w:pPr>
      <w:r w:rsidRPr="00075EA3">
        <w:rPr>
          <w:szCs w:val="22"/>
        </w:rPr>
        <w:t>These models effectively detected ICMP attacks with high precision and recall.</w:t>
      </w:r>
    </w:p>
    <w:p w:rsidR="00075EA3" w:rsidRDefault="00075EA3" w:rsidP="00075EA3">
      <w:pPr>
        <w:pStyle w:val="BodyText"/>
        <w:rPr>
          <w:szCs w:val="22"/>
        </w:rPr>
      </w:pPr>
      <w:r w:rsidRPr="00075EA3">
        <w:rPr>
          <w:szCs w:val="22"/>
        </w:rPr>
        <w:t>False positives and negatives were minimal.</w:t>
      </w:r>
    </w:p>
    <w:p w:rsidR="00B74AB0" w:rsidRDefault="00B74AB0" w:rsidP="00075EA3">
      <w:pPr>
        <w:pStyle w:val="BodyText"/>
        <w:rPr>
          <w:szCs w:val="22"/>
        </w:rPr>
      </w:pPr>
    </w:p>
    <w:p w:rsidR="00B74AB0" w:rsidRDefault="00B74AB0" w:rsidP="00075EA3">
      <w:pPr>
        <w:pStyle w:val="BodyText"/>
        <w:rPr>
          <w:szCs w:val="22"/>
        </w:rPr>
      </w:pPr>
      <w:r>
        <w:rPr>
          <w:szCs w:val="22"/>
        </w:rPr>
        <w:t>These are 3 attacks determine by using python code and respectively result determined.</w:t>
      </w:r>
    </w:p>
    <w:p w:rsidR="00B74AB0" w:rsidRPr="00075EA3" w:rsidRDefault="00B74AB0" w:rsidP="00075EA3">
      <w:pPr>
        <w:pStyle w:val="BodyText"/>
        <w:rPr>
          <w:szCs w:val="22"/>
        </w:rPr>
      </w:pPr>
    </w:p>
    <w:p w:rsidR="006D6B4C" w:rsidRPr="00075EA3" w:rsidRDefault="000C74A3" w:rsidP="00075EA3">
      <w:pPr>
        <w:pStyle w:val="NormalWeb"/>
      </w:pPr>
      <w:r>
        <w:rPr>
          <w:noProof/>
        </w:rPr>
        <w:drawing>
          <wp:inline distT="0" distB="0" distL="0" distR="0">
            <wp:extent cx="3376930" cy="25234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76930" cy="2523490"/>
                    </a:xfrm>
                    <a:prstGeom prst="rect">
                      <a:avLst/>
                    </a:prstGeom>
                    <a:noFill/>
                    <a:ln>
                      <a:noFill/>
                    </a:ln>
                  </pic:spPr>
                </pic:pic>
              </a:graphicData>
            </a:graphic>
          </wp:inline>
        </w:drawing>
      </w:r>
    </w:p>
    <w:p w:rsidR="00075EA3" w:rsidRDefault="000C74A3" w:rsidP="000D1EE8">
      <w:pPr>
        <w:pStyle w:val="NormalWeb"/>
        <w:jc w:val="right"/>
      </w:pPr>
      <w:r>
        <w:rPr>
          <w:noProof/>
        </w:rPr>
        <w:lastRenderedPageBreak/>
        <w:drawing>
          <wp:inline distT="0" distB="0" distL="0" distR="0">
            <wp:extent cx="3157855" cy="2523490"/>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57855" cy="2523490"/>
                    </a:xfrm>
                    <a:prstGeom prst="rect">
                      <a:avLst/>
                    </a:prstGeom>
                    <a:noFill/>
                    <a:ln>
                      <a:noFill/>
                    </a:ln>
                  </pic:spPr>
                </pic:pic>
              </a:graphicData>
            </a:graphic>
          </wp:inline>
        </w:drawing>
      </w:r>
    </w:p>
    <w:p w:rsidR="00075EA3" w:rsidRDefault="00075EA3" w:rsidP="006D6B4C">
      <w:pPr>
        <w:pStyle w:val="BodyText"/>
        <w:ind w:left="720" w:firstLine="720"/>
        <w:rPr>
          <w:b/>
          <w:color w:val="2B3942"/>
          <w:sz w:val="22"/>
          <w:szCs w:val="22"/>
        </w:rPr>
      </w:pPr>
    </w:p>
    <w:p w:rsidR="00075EA3" w:rsidRDefault="000C74A3" w:rsidP="00075EA3">
      <w:pPr>
        <w:pStyle w:val="NormalWeb"/>
      </w:pPr>
      <w:r>
        <w:rPr>
          <w:noProof/>
        </w:rPr>
        <w:drawing>
          <wp:inline distT="0" distB="0" distL="0" distR="0">
            <wp:extent cx="3303905" cy="2523490"/>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03905" cy="2523490"/>
                    </a:xfrm>
                    <a:prstGeom prst="rect">
                      <a:avLst/>
                    </a:prstGeom>
                    <a:noFill/>
                    <a:ln>
                      <a:noFill/>
                    </a:ln>
                  </pic:spPr>
                </pic:pic>
              </a:graphicData>
            </a:graphic>
          </wp:inline>
        </w:drawing>
      </w:r>
    </w:p>
    <w:p w:rsidR="00075EA3" w:rsidRPr="00075EA3" w:rsidRDefault="00075EA3" w:rsidP="00075EA3">
      <w:pPr>
        <w:rPr>
          <w:b/>
        </w:rPr>
      </w:pPr>
      <w:r w:rsidRPr="00075EA3">
        <w:rPr>
          <w:b/>
        </w:rPr>
        <w:t xml:space="preserve">Fig </w:t>
      </w:r>
      <w:r w:rsidR="004F01E3" w:rsidRPr="00075EA3">
        <w:rPr>
          <w:b/>
        </w:rPr>
        <w:t>1.</w:t>
      </w:r>
      <w:r w:rsidR="004F01E3">
        <w:rPr>
          <w:b/>
        </w:rPr>
        <w:t xml:space="preserve">5 </w:t>
      </w:r>
      <w:r w:rsidR="004F01E3" w:rsidRPr="00075EA3">
        <w:rPr>
          <w:b/>
        </w:rPr>
        <w:t>TCP</w:t>
      </w:r>
      <w:r w:rsidRPr="00075EA3">
        <w:rPr>
          <w:b/>
        </w:rPr>
        <w:t xml:space="preserve">/IP attacks, UDP attacks, ICMP attacks </w:t>
      </w:r>
    </w:p>
    <w:p w:rsidR="00075EA3" w:rsidRPr="00075EA3" w:rsidRDefault="00075EA3" w:rsidP="00075EA3">
      <w:pPr>
        <w:pStyle w:val="Heading1"/>
        <w:numPr>
          <w:ilvl w:val="0"/>
          <w:numId w:val="33"/>
        </w:numPr>
        <w:jc w:val="both"/>
        <w:rPr>
          <w:smallCaps w:val="0"/>
          <w:lang w:val="en-US" w:eastAsia="zh-CN"/>
        </w:rPr>
      </w:pPr>
      <w:r w:rsidRPr="00075EA3">
        <w:rPr>
          <w:smallCaps w:val="0"/>
          <w:lang w:val="en-US" w:eastAsia="zh-CN"/>
        </w:rPr>
        <w:t>- CMP Attack: Highest accuracy (avg. 99.9%)</w:t>
      </w:r>
    </w:p>
    <w:p w:rsidR="00075EA3" w:rsidRDefault="00075EA3" w:rsidP="00075EA3">
      <w:pPr>
        <w:pStyle w:val="Heading1"/>
        <w:numPr>
          <w:ilvl w:val="0"/>
          <w:numId w:val="33"/>
        </w:numPr>
        <w:jc w:val="both"/>
        <w:rPr>
          <w:smallCaps w:val="0"/>
          <w:lang w:val="en-US" w:eastAsia="zh-CN"/>
        </w:rPr>
      </w:pPr>
      <w:r w:rsidRPr="00075EA3">
        <w:rPr>
          <w:smallCaps w:val="0"/>
          <w:lang w:val="en-US" w:eastAsia="zh-CN"/>
        </w:rPr>
        <w:t>- TCP Sync Attack: High accuracy (avg. 99.95%)</w:t>
      </w:r>
    </w:p>
    <w:p w:rsidR="00075EA3" w:rsidRPr="00075EA3" w:rsidRDefault="00075EA3" w:rsidP="00075EA3">
      <w:pPr>
        <w:pStyle w:val="Heading1"/>
        <w:numPr>
          <w:ilvl w:val="0"/>
          <w:numId w:val="33"/>
        </w:numPr>
        <w:jc w:val="both"/>
        <w:rPr>
          <w:smallCaps w:val="0"/>
          <w:lang w:val="en-US" w:eastAsia="zh-CN"/>
        </w:rPr>
      </w:pPr>
      <w:r w:rsidRPr="00075EA3">
        <w:rPr>
          <w:smallCaps w:val="0"/>
          <w:lang w:val="en-US" w:eastAsia="zh-CN"/>
        </w:rPr>
        <w:t>UDP Attack: Lowest accuracy (avg. 65%)</w:t>
      </w:r>
      <w:r w:rsidR="006D6B4C" w:rsidRPr="00075EA3">
        <w:rPr>
          <w:smallCaps w:val="0"/>
          <w:spacing w:val="-1"/>
          <w:szCs w:val="22"/>
          <w:lang w:val="en-US" w:eastAsia="zh-CN"/>
        </w:rPr>
        <w:tab/>
      </w:r>
    </w:p>
    <w:p w:rsidR="00A20400" w:rsidRPr="00F525B1" w:rsidRDefault="00361054" w:rsidP="00230C29">
      <w:pPr>
        <w:pStyle w:val="Heading1"/>
        <w:tabs>
          <w:tab w:val="clear" w:pos="0"/>
        </w:tabs>
        <w:ind w:firstLine="0"/>
        <w:jc w:val="both"/>
        <w:rPr>
          <w:bCs/>
          <w:smallCaps w:val="0"/>
          <w:lang w:val="en-US" w:eastAsia="zh-CN"/>
        </w:rPr>
      </w:pPr>
      <w:r w:rsidRPr="00361054">
        <w:rPr>
          <w:smallCaps w:val="0"/>
          <w:lang w:val="en-US" w:eastAsia="zh-CN"/>
        </w:rPr>
        <w:t>This indicates that the models performed exceptionally well in detecting ICMP and TCP Sync attacks, but struggled with UDP attacks. Further tuning may be necessary to improve UDP attack detection accuracy.</w:t>
      </w:r>
      <w:r w:rsidR="00F525B1">
        <w:rPr>
          <w:smallCaps w:val="0"/>
          <w:lang w:val="en-US" w:eastAsia="zh-CN"/>
        </w:rPr>
        <w:t xml:space="preserve"> Fig 1.5 shows TCP,ICMP,UDP attacks graphs</w:t>
      </w:r>
    </w:p>
    <w:p w:rsidR="00A20400" w:rsidRDefault="00A20400" w:rsidP="009F09DC">
      <w:pPr>
        <w:jc w:val="both"/>
      </w:pPr>
    </w:p>
    <w:p w:rsidR="00A20400" w:rsidRDefault="00A20400" w:rsidP="009F09DC">
      <w:pPr>
        <w:jc w:val="both"/>
      </w:pPr>
    </w:p>
    <w:p w:rsidR="009F09DC" w:rsidRPr="009F09DC" w:rsidRDefault="009F09DC" w:rsidP="009F09DC">
      <w:pPr>
        <w:jc w:val="both"/>
      </w:pPr>
      <w:r w:rsidRPr="009F09DC">
        <w:t xml:space="preserve">Table </w:t>
      </w:r>
      <w:r>
        <w:t>1</w:t>
      </w:r>
      <w:r w:rsidRPr="009F09DC">
        <w:t xml:space="preserve">: </w:t>
      </w:r>
      <w:r w:rsidRPr="00D24FA2">
        <w:rPr>
          <w:b/>
        </w:rPr>
        <w:t>Detailed Confusion Matrices for All Models</w:t>
      </w:r>
    </w:p>
    <w:p w:rsidR="009F09DC" w:rsidRPr="009F09DC" w:rsidRDefault="009F09DC" w:rsidP="009F09DC">
      <w:pPr>
        <w:jc w:val="both"/>
      </w:pPr>
    </w:p>
    <w:tbl>
      <w:tblPr>
        <w:tblW w:w="0" w:type="auto"/>
        <w:tblCellSpacing w:w="15" w:type="dxa"/>
        <w:tblCellMar>
          <w:top w:w="15" w:type="dxa"/>
          <w:left w:w="15" w:type="dxa"/>
          <w:bottom w:w="15" w:type="dxa"/>
          <w:right w:w="15" w:type="dxa"/>
        </w:tblCellMar>
        <w:tblLook w:val="04A0"/>
      </w:tblPr>
      <w:tblGrid>
        <w:gridCol w:w="1130"/>
        <w:gridCol w:w="956"/>
        <w:gridCol w:w="1033"/>
        <w:gridCol w:w="963"/>
        <w:gridCol w:w="1055"/>
      </w:tblGrid>
      <w:tr w:rsidR="002863C2" w:rsidTr="002863C2">
        <w:trPr>
          <w:tblHeader/>
          <w:tblCellSpacing w:w="15" w:type="dxa"/>
        </w:trPr>
        <w:tc>
          <w:tcPr>
            <w:tcW w:w="0" w:type="auto"/>
            <w:tcBorders>
              <w:top w:val="single" w:sz="4" w:space="0" w:color="auto"/>
              <w:bottom w:val="single" w:sz="4" w:space="0" w:color="auto"/>
            </w:tcBorders>
            <w:shd w:val="clear" w:color="auto" w:fill="BFBFBF"/>
            <w:vAlign w:val="center"/>
            <w:hideMark/>
          </w:tcPr>
          <w:p w:rsidR="002863C2" w:rsidRDefault="002863C2">
            <w:pPr>
              <w:rPr>
                <w:b/>
                <w:bCs/>
                <w:sz w:val="24"/>
                <w:szCs w:val="24"/>
              </w:rPr>
            </w:pPr>
            <w:r>
              <w:rPr>
                <w:b/>
                <w:bCs/>
              </w:rPr>
              <w:lastRenderedPageBreak/>
              <w:t>Model</w:t>
            </w:r>
          </w:p>
        </w:tc>
        <w:tc>
          <w:tcPr>
            <w:tcW w:w="0" w:type="auto"/>
            <w:tcBorders>
              <w:top w:val="single" w:sz="4" w:space="0" w:color="auto"/>
              <w:bottom w:val="single" w:sz="4" w:space="0" w:color="auto"/>
            </w:tcBorders>
            <w:shd w:val="clear" w:color="auto" w:fill="BFBFBF"/>
            <w:vAlign w:val="center"/>
            <w:hideMark/>
          </w:tcPr>
          <w:p w:rsidR="002863C2" w:rsidRDefault="002863C2">
            <w:pPr>
              <w:rPr>
                <w:b/>
                <w:bCs/>
                <w:sz w:val="24"/>
                <w:szCs w:val="24"/>
              </w:rPr>
            </w:pPr>
            <w:r>
              <w:rPr>
                <w:b/>
                <w:bCs/>
              </w:rPr>
              <w:t>True Positives</w:t>
            </w:r>
          </w:p>
        </w:tc>
        <w:tc>
          <w:tcPr>
            <w:tcW w:w="0" w:type="auto"/>
            <w:tcBorders>
              <w:top w:val="single" w:sz="4" w:space="0" w:color="auto"/>
              <w:bottom w:val="single" w:sz="4" w:space="0" w:color="auto"/>
            </w:tcBorders>
            <w:shd w:val="clear" w:color="auto" w:fill="BFBFBF"/>
            <w:vAlign w:val="center"/>
            <w:hideMark/>
          </w:tcPr>
          <w:p w:rsidR="002863C2" w:rsidRDefault="002863C2">
            <w:pPr>
              <w:rPr>
                <w:b/>
                <w:bCs/>
                <w:sz w:val="24"/>
                <w:szCs w:val="24"/>
              </w:rPr>
            </w:pPr>
            <w:r>
              <w:rPr>
                <w:b/>
                <w:bCs/>
              </w:rPr>
              <w:t>True Negatives</w:t>
            </w:r>
          </w:p>
        </w:tc>
        <w:tc>
          <w:tcPr>
            <w:tcW w:w="0" w:type="auto"/>
            <w:tcBorders>
              <w:top w:val="single" w:sz="4" w:space="0" w:color="auto"/>
              <w:bottom w:val="single" w:sz="4" w:space="0" w:color="auto"/>
            </w:tcBorders>
            <w:shd w:val="clear" w:color="auto" w:fill="BFBFBF"/>
            <w:vAlign w:val="center"/>
            <w:hideMark/>
          </w:tcPr>
          <w:p w:rsidR="002863C2" w:rsidRDefault="002863C2">
            <w:pPr>
              <w:rPr>
                <w:b/>
                <w:bCs/>
                <w:sz w:val="24"/>
                <w:szCs w:val="24"/>
              </w:rPr>
            </w:pPr>
            <w:r>
              <w:rPr>
                <w:b/>
                <w:bCs/>
              </w:rPr>
              <w:t>False Positives</w:t>
            </w:r>
          </w:p>
        </w:tc>
        <w:tc>
          <w:tcPr>
            <w:tcW w:w="0" w:type="auto"/>
            <w:tcBorders>
              <w:top w:val="single" w:sz="4" w:space="0" w:color="auto"/>
              <w:bottom w:val="single" w:sz="4" w:space="0" w:color="auto"/>
            </w:tcBorders>
            <w:shd w:val="clear" w:color="auto" w:fill="BFBFBF"/>
            <w:vAlign w:val="center"/>
            <w:hideMark/>
          </w:tcPr>
          <w:p w:rsidR="002863C2" w:rsidRDefault="002863C2">
            <w:pPr>
              <w:rPr>
                <w:b/>
                <w:bCs/>
                <w:sz w:val="24"/>
                <w:szCs w:val="24"/>
              </w:rPr>
            </w:pPr>
            <w:r>
              <w:rPr>
                <w:b/>
                <w:bCs/>
              </w:rPr>
              <w:t>False Negatives</w:t>
            </w:r>
          </w:p>
        </w:tc>
      </w:tr>
      <w:tr w:rsidR="002863C2" w:rsidTr="002863C2">
        <w:trPr>
          <w:tblCellSpacing w:w="15" w:type="dxa"/>
        </w:trPr>
        <w:tc>
          <w:tcPr>
            <w:tcW w:w="0" w:type="auto"/>
            <w:vAlign w:val="center"/>
            <w:hideMark/>
          </w:tcPr>
          <w:p w:rsidR="002863C2" w:rsidRDefault="002863C2">
            <w:pPr>
              <w:rPr>
                <w:sz w:val="24"/>
                <w:szCs w:val="24"/>
              </w:rPr>
            </w:pPr>
            <w:r>
              <w:t>GAN CycleGAN</w:t>
            </w:r>
          </w:p>
        </w:tc>
        <w:tc>
          <w:tcPr>
            <w:tcW w:w="0" w:type="auto"/>
            <w:vAlign w:val="center"/>
            <w:hideMark/>
          </w:tcPr>
          <w:p w:rsidR="002863C2" w:rsidRDefault="002863C2">
            <w:pPr>
              <w:rPr>
                <w:sz w:val="24"/>
                <w:szCs w:val="24"/>
              </w:rPr>
            </w:pPr>
            <w:r>
              <w:t>49891</w:t>
            </w:r>
          </w:p>
        </w:tc>
        <w:tc>
          <w:tcPr>
            <w:tcW w:w="0" w:type="auto"/>
            <w:vAlign w:val="center"/>
            <w:hideMark/>
          </w:tcPr>
          <w:p w:rsidR="002863C2" w:rsidRDefault="002863C2">
            <w:pPr>
              <w:rPr>
                <w:sz w:val="24"/>
                <w:szCs w:val="24"/>
              </w:rPr>
            </w:pPr>
            <w:r>
              <w:t>99</w:t>
            </w:r>
          </w:p>
        </w:tc>
        <w:tc>
          <w:tcPr>
            <w:tcW w:w="0" w:type="auto"/>
            <w:vAlign w:val="center"/>
            <w:hideMark/>
          </w:tcPr>
          <w:p w:rsidR="002863C2" w:rsidRDefault="002863C2">
            <w:pPr>
              <w:rPr>
                <w:sz w:val="24"/>
                <w:szCs w:val="24"/>
              </w:rPr>
            </w:pPr>
            <w:r>
              <w:t>8</w:t>
            </w:r>
          </w:p>
        </w:tc>
        <w:tc>
          <w:tcPr>
            <w:tcW w:w="0" w:type="auto"/>
            <w:vAlign w:val="center"/>
            <w:hideMark/>
          </w:tcPr>
          <w:p w:rsidR="002863C2" w:rsidRDefault="002863C2">
            <w:pPr>
              <w:rPr>
                <w:sz w:val="24"/>
                <w:szCs w:val="24"/>
              </w:rPr>
            </w:pPr>
            <w:r>
              <w:t>12</w:t>
            </w:r>
          </w:p>
        </w:tc>
      </w:tr>
      <w:tr w:rsidR="002863C2" w:rsidTr="002863C2">
        <w:trPr>
          <w:tblCellSpacing w:w="15" w:type="dxa"/>
        </w:trPr>
        <w:tc>
          <w:tcPr>
            <w:tcW w:w="0" w:type="auto"/>
            <w:vAlign w:val="center"/>
            <w:hideMark/>
          </w:tcPr>
          <w:p w:rsidR="002863C2" w:rsidRDefault="002863C2">
            <w:pPr>
              <w:rPr>
                <w:sz w:val="24"/>
                <w:szCs w:val="24"/>
              </w:rPr>
            </w:pPr>
            <w:r>
              <w:lastRenderedPageBreak/>
              <w:t>Standard GAN</w:t>
            </w:r>
          </w:p>
        </w:tc>
        <w:tc>
          <w:tcPr>
            <w:tcW w:w="0" w:type="auto"/>
            <w:vAlign w:val="center"/>
            <w:hideMark/>
          </w:tcPr>
          <w:p w:rsidR="002863C2" w:rsidRDefault="002863C2">
            <w:pPr>
              <w:rPr>
                <w:sz w:val="24"/>
                <w:szCs w:val="24"/>
              </w:rPr>
            </w:pPr>
            <w:r>
              <w:t>49876</w:t>
            </w:r>
          </w:p>
        </w:tc>
        <w:tc>
          <w:tcPr>
            <w:tcW w:w="0" w:type="auto"/>
            <w:vAlign w:val="center"/>
            <w:hideMark/>
          </w:tcPr>
          <w:p w:rsidR="002863C2" w:rsidRDefault="002863C2">
            <w:pPr>
              <w:rPr>
                <w:sz w:val="24"/>
                <w:szCs w:val="24"/>
              </w:rPr>
            </w:pPr>
            <w:r>
              <w:t>94</w:t>
            </w:r>
          </w:p>
        </w:tc>
        <w:tc>
          <w:tcPr>
            <w:tcW w:w="0" w:type="auto"/>
            <w:vAlign w:val="center"/>
            <w:hideMark/>
          </w:tcPr>
          <w:p w:rsidR="002863C2" w:rsidRDefault="002863C2">
            <w:pPr>
              <w:rPr>
                <w:sz w:val="24"/>
                <w:szCs w:val="24"/>
              </w:rPr>
            </w:pPr>
            <w:r>
              <w:t>13</w:t>
            </w:r>
          </w:p>
        </w:tc>
        <w:tc>
          <w:tcPr>
            <w:tcW w:w="0" w:type="auto"/>
            <w:vAlign w:val="center"/>
            <w:hideMark/>
          </w:tcPr>
          <w:p w:rsidR="002863C2" w:rsidRDefault="002863C2">
            <w:pPr>
              <w:rPr>
                <w:sz w:val="24"/>
                <w:szCs w:val="24"/>
              </w:rPr>
            </w:pPr>
            <w:r>
              <w:t>27</w:t>
            </w:r>
          </w:p>
        </w:tc>
      </w:tr>
      <w:tr w:rsidR="002863C2" w:rsidTr="002863C2">
        <w:trPr>
          <w:tblCellSpacing w:w="15" w:type="dxa"/>
        </w:trPr>
        <w:tc>
          <w:tcPr>
            <w:tcW w:w="0" w:type="auto"/>
            <w:vAlign w:val="center"/>
            <w:hideMark/>
          </w:tcPr>
          <w:p w:rsidR="002863C2" w:rsidRDefault="002863C2">
            <w:pPr>
              <w:rPr>
                <w:sz w:val="24"/>
                <w:szCs w:val="24"/>
              </w:rPr>
            </w:pPr>
            <w:r>
              <w:t>CNN</w:t>
            </w:r>
          </w:p>
        </w:tc>
        <w:tc>
          <w:tcPr>
            <w:tcW w:w="0" w:type="auto"/>
            <w:vAlign w:val="center"/>
            <w:hideMark/>
          </w:tcPr>
          <w:p w:rsidR="002863C2" w:rsidRDefault="002863C2">
            <w:pPr>
              <w:rPr>
                <w:sz w:val="24"/>
                <w:szCs w:val="24"/>
              </w:rPr>
            </w:pPr>
            <w:r>
              <w:t>48234</w:t>
            </w:r>
          </w:p>
        </w:tc>
        <w:tc>
          <w:tcPr>
            <w:tcW w:w="0" w:type="auto"/>
            <w:vAlign w:val="center"/>
            <w:hideMark/>
          </w:tcPr>
          <w:p w:rsidR="002863C2" w:rsidRDefault="002863C2">
            <w:pPr>
              <w:rPr>
                <w:sz w:val="24"/>
                <w:szCs w:val="24"/>
              </w:rPr>
            </w:pPr>
            <w:r>
              <w:t>87</w:t>
            </w:r>
          </w:p>
        </w:tc>
        <w:tc>
          <w:tcPr>
            <w:tcW w:w="0" w:type="auto"/>
            <w:vAlign w:val="center"/>
            <w:hideMark/>
          </w:tcPr>
          <w:p w:rsidR="002863C2" w:rsidRDefault="002863C2">
            <w:pPr>
              <w:rPr>
                <w:sz w:val="24"/>
                <w:szCs w:val="24"/>
              </w:rPr>
            </w:pPr>
            <w:r>
              <w:t>20</w:t>
            </w:r>
          </w:p>
        </w:tc>
        <w:tc>
          <w:tcPr>
            <w:tcW w:w="0" w:type="auto"/>
            <w:vAlign w:val="center"/>
            <w:hideMark/>
          </w:tcPr>
          <w:p w:rsidR="002863C2" w:rsidRDefault="002863C2">
            <w:pPr>
              <w:rPr>
                <w:sz w:val="24"/>
                <w:szCs w:val="24"/>
              </w:rPr>
            </w:pPr>
            <w:r>
              <w:t>1766</w:t>
            </w:r>
          </w:p>
        </w:tc>
      </w:tr>
      <w:tr w:rsidR="002863C2" w:rsidTr="002863C2">
        <w:trPr>
          <w:tblCellSpacing w:w="15" w:type="dxa"/>
        </w:trPr>
        <w:tc>
          <w:tcPr>
            <w:tcW w:w="0" w:type="auto"/>
            <w:vAlign w:val="center"/>
            <w:hideMark/>
          </w:tcPr>
          <w:p w:rsidR="002863C2" w:rsidRDefault="002863C2">
            <w:pPr>
              <w:rPr>
                <w:sz w:val="24"/>
                <w:szCs w:val="24"/>
              </w:rPr>
            </w:pPr>
            <w:r>
              <w:t>LSTM</w:t>
            </w:r>
          </w:p>
        </w:tc>
        <w:tc>
          <w:tcPr>
            <w:tcW w:w="0" w:type="auto"/>
            <w:vAlign w:val="center"/>
            <w:hideMark/>
          </w:tcPr>
          <w:p w:rsidR="002863C2" w:rsidRDefault="002863C2">
            <w:pPr>
              <w:rPr>
                <w:sz w:val="24"/>
                <w:szCs w:val="24"/>
              </w:rPr>
            </w:pPr>
            <w:r>
              <w:t>48892</w:t>
            </w:r>
          </w:p>
        </w:tc>
        <w:tc>
          <w:tcPr>
            <w:tcW w:w="0" w:type="auto"/>
            <w:vAlign w:val="center"/>
            <w:hideMark/>
          </w:tcPr>
          <w:p w:rsidR="002863C2" w:rsidRDefault="002863C2">
            <w:pPr>
              <w:rPr>
                <w:sz w:val="24"/>
                <w:szCs w:val="24"/>
              </w:rPr>
            </w:pPr>
            <w:r>
              <w:t>93</w:t>
            </w:r>
          </w:p>
        </w:tc>
        <w:tc>
          <w:tcPr>
            <w:tcW w:w="0" w:type="auto"/>
            <w:vAlign w:val="center"/>
            <w:hideMark/>
          </w:tcPr>
          <w:p w:rsidR="002863C2" w:rsidRDefault="002863C2">
            <w:pPr>
              <w:rPr>
                <w:sz w:val="24"/>
                <w:szCs w:val="24"/>
              </w:rPr>
            </w:pPr>
            <w:r>
              <w:t>14</w:t>
            </w:r>
          </w:p>
        </w:tc>
        <w:tc>
          <w:tcPr>
            <w:tcW w:w="0" w:type="auto"/>
            <w:vAlign w:val="center"/>
            <w:hideMark/>
          </w:tcPr>
          <w:p w:rsidR="002863C2" w:rsidRDefault="002863C2">
            <w:pPr>
              <w:rPr>
                <w:sz w:val="24"/>
                <w:szCs w:val="24"/>
              </w:rPr>
            </w:pPr>
            <w:r>
              <w:t>1108</w:t>
            </w:r>
          </w:p>
        </w:tc>
      </w:tr>
      <w:tr w:rsidR="002863C2" w:rsidTr="002863C2">
        <w:trPr>
          <w:tblCellSpacing w:w="15" w:type="dxa"/>
        </w:trPr>
        <w:tc>
          <w:tcPr>
            <w:tcW w:w="0" w:type="auto"/>
            <w:tcBorders>
              <w:top w:val="single" w:sz="4" w:space="0" w:color="auto"/>
              <w:bottom w:val="single" w:sz="4" w:space="0" w:color="auto"/>
            </w:tcBorders>
            <w:vAlign w:val="center"/>
            <w:hideMark/>
          </w:tcPr>
          <w:p w:rsidR="002863C2" w:rsidRDefault="002863C2">
            <w:pPr>
              <w:rPr>
                <w:sz w:val="24"/>
                <w:szCs w:val="24"/>
              </w:rPr>
            </w:pPr>
            <w:r>
              <w:t>SVM</w:t>
            </w:r>
          </w:p>
        </w:tc>
        <w:tc>
          <w:tcPr>
            <w:tcW w:w="0" w:type="auto"/>
            <w:tcBorders>
              <w:top w:val="single" w:sz="4" w:space="0" w:color="auto"/>
              <w:bottom w:val="single" w:sz="4" w:space="0" w:color="auto"/>
            </w:tcBorders>
            <w:vAlign w:val="center"/>
            <w:hideMark/>
          </w:tcPr>
          <w:p w:rsidR="002863C2" w:rsidRDefault="002863C2">
            <w:pPr>
              <w:rPr>
                <w:sz w:val="24"/>
                <w:szCs w:val="24"/>
              </w:rPr>
            </w:pPr>
            <w:r>
              <w:t>46567</w:t>
            </w:r>
          </w:p>
        </w:tc>
        <w:tc>
          <w:tcPr>
            <w:tcW w:w="0" w:type="auto"/>
            <w:tcBorders>
              <w:top w:val="single" w:sz="4" w:space="0" w:color="auto"/>
              <w:bottom w:val="single" w:sz="4" w:space="0" w:color="auto"/>
            </w:tcBorders>
            <w:vAlign w:val="center"/>
            <w:hideMark/>
          </w:tcPr>
          <w:p w:rsidR="002863C2" w:rsidRDefault="002863C2">
            <w:pPr>
              <w:rPr>
                <w:sz w:val="24"/>
                <w:szCs w:val="24"/>
              </w:rPr>
            </w:pPr>
            <w:r>
              <w:t>89</w:t>
            </w:r>
          </w:p>
        </w:tc>
        <w:tc>
          <w:tcPr>
            <w:tcW w:w="0" w:type="auto"/>
            <w:tcBorders>
              <w:top w:val="single" w:sz="4" w:space="0" w:color="auto"/>
              <w:bottom w:val="single" w:sz="4" w:space="0" w:color="auto"/>
            </w:tcBorders>
            <w:vAlign w:val="center"/>
            <w:hideMark/>
          </w:tcPr>
          <w:p w:rsidR="002863C2" w:rsidRDefault="002863C2">
            <w:pPr>
              <w:rPr>
                <w:sz w:val="24"/>
                <w:szCs w:val="24"/>
              </w:rPr>
            </w:pPr>
            <w:r>
              <w:t>18</w:t>
            </w:r>
          </w:p>
        </w:tc>
        <w:tc>
          <w:tcPr>
            <w:tcW w:w="0" w:type="auto"/>
            <w:tcBorders>
              <w:top w:val="single" w:sz="4" w:space="0" w:color="auto"/>
              <w:bottom w:val="single" w:sz="4" w:space="0" w:color="auto"/>
            </w:tcBorders>
            <w:vAlign w:val="center"/>
            <w:hideMark/>
          </w:tcPr>
          <w:p w:rsidR="002863C2" w:rsidRDefault="002863C2">
            <w:pPr>
              <w:rPr>
                <w:sz w:val="24"/>
                <w:szCs w:val="24"/>
              </w:rPr>
            </w:pPr>
            <w:r>
              <w:t>3433</w:t>
            </w:r>
          </w:p>
        </w:tc>
      </w:tr>
    </w:tbl>
    <w:p w:rsidR="009F09DC" w:rsidRPr="009F09DC" w:rsidRDefault="009F09DC" w:rsidP="009F09DC">
      <w:pPr>
        <w:jc w:val="both"/>
      </w:pPr>
    </w:p>
    <w:p w:rsidR="00D24FA2" w:rsidRDefault="00D24FA2" w:rsidP="00D24FA2">
      <w:pPr>
        <w:pStyle w:val="Heading3"/>
        <w:tabs>
          <w:tab w:val="clear" w:pos="3647"/>
        </w:tabs>
        <w:rPr>
          <w:b/>
          <w:i w:val="0"/>
          <w:lang w:val="en-US"/>
        </w:rPr>
      </w:pPr>
      <w:r w:rsidRPr="00D24FA2">
        <w:rPr>
          <w:b/>
          <w:i w:val="0"/>
        </w:rPr>
        <w:t xml:space="preserve">Table </w:t>
      </w:r>
      <w:r w:rsidRPr="00D24FA2">
        <w:rPr>
          <w:b/>
          <w:i w:val="0"/>
          <w:lang w:val="en-US"/>
        </w:rPr>
        <w:t>2</w:t>
      </w:r>
      <w:r w:rsidRPr="00D24FA2">
        <w:rPr>
          <w:b/>
          <w:i w:val="0"/>
        </w:rPr>
        <w:t xml:space="preserve"> Protocol Wise Performance Breakdown</w:t>
      </w:r>
    </w:p>
    <w:p w:rsidR="00D24FA2" w:rsidRPr="00D24FA2" w:rsidRDefault="00D24FA2" w:rsidP="00D24FA2">
      <w:pPr>
        <w:pStyle w:val="BodyText"/>
        <w:rPr>
          <w:lang w:eastAsia="ja-JP"/>
        </w:rPr>
      </w:pPr>
    </w:p>
    <w:tbl>
      <w:tblPr>
        <w:tblW w:w="0" w:type="auto"/>
        <w:tblCellSpacing w:w="15" w:type="dxa"/>
        <w:tblCellMar>
          <w:top w:w="15" w:type="dxa"/>
          <w:left w:w="15" w:type="dxa"/>
          <w:bottom w:w="15" w:type="dxa"/>
          <w:right w:w="15" w:type="dxa"/>
        </w:tblCellMar>
        <w:tblLook w:val="04A0"/>
      </w:tblPr>
      <w:tblGrid>
        <w:gridCol w:w="797"/>
        <w:gridCol w:w="918"/>
        <w:gridCol w:w="1151"/>
        <w:gridCol w:w="1029"/>
        <w:gridCol w:w="1242"/>
      </w:tblGrid>
      <w:tr w:rsidR="00D24FA2" w:rsidTr="00D24FA2">
        <w:trPr>
          <w:tblHeader/>
          <w:tblCellSpacing w:w="15" w:type="dxa"/>
        </w:trPr>
        <w:tc>
          <w:tcPr>
            <w:tcW w:w="0" w:type="auto"/>
            <w:tcBorders>
              <w:top w:val="single" w:sz="4" w:space="0" w:color="auto"/>
              <w:bottom w:val="single" w:sz="4" w:space="0" w:color="auto"/>
            </w:tcBorders>
            <w:shd w:val="clear" w:color="auto" w:fill="BFBFBF"/>
            <w:vAlign w:val="center"/>
            <w:hideMark/>
          </w:tcPr>
          <w:p w:rsidR="00D24FA2" w:rsidRDefault="00D24FA2">
            <w:pPr>
              <w:rPr>
                <w:b/>
                <w:bCs/>
                <w:sz w:val="24"/>
                <w:szCs w:val="24"/>
              </w:rPr>
            </w:pPr>
            <w:r>
              <w:rPr>
                <w:b/>
                <w:bCs/>
              </w:rPr>
              <w:t>Protocol</w:t>
            </w:r>
          </w:p>
        </w:tc>
        <w:tc>
          <w:tcPr>
            <w:tcW w:w="0" w:type="auto"/>
            <w:tcBorders>
              <w:top w:val="single" w:sz="4" w:space="0" w:color="auto"/>
              <w:bottom w:val="single" w:sz="4" w:space="0" w:color="auto"/>
            </w:tcBorders>
            <w:shd w:val="clear" w:color="auto" w:fill="BFBFBF"/>
            <w:vAlign w:val="center"/>
            <w:hideMark/>
          </w:tcPr>
          <w:p w:rsidR="00D24FA2" w:rsidRDefault="00D24FA2">
            <w:pPr>
              <w:rPr>
                <w:b/>
                <w:bCs/>
                <w:sz w:val="24"/>
                <w:szCs w:val="24"/>
              </w:rPr>
            </w:pPr>
            <w:r>
              <w:rPr>
                <w:b/>
                <w:bCs/>
              </w:rPr>
              <w:t>Attack Type</w:t>
            </w:r>
          </w:p>
        </w:tc>
        <w:tc>
          <w:tcPr>
            <w:tcW w:w="0" w:type="auto"/>
            <w:tcBorders>
              <w:top w:val="single" w:sz="4" w:space="0" w:color="auto"/>
              <w:bottom w:val="single" w:sz="4" w:space="0" w:color="auto"/>
            </w:tcBorders>
            <w:shd w:val="clear" w:color="auto" w:fill="BFBFBF"/>
            <w:vAlign w:val="center"/>
            <w:hideMark/>
          </w:tcPr>
          <w:p w:rsidR="00D24FA2" w:rsidRDefault="00D24FA2">
            <w:pPr>
              <w:rPr>
                <w:b/>
                <w:bCs/>
                <w:sz w:val="24"/>
                <w:szCs w:val="24"/>
              </w:rPr>
            </w:pPr>
            <w:r>
              <w:rPr>
                <w:b/>
                <w:bCs/>
              </w:rPr>
              <w:t>GAN CycleGAN</w:t>
            </w:r>
          </w:p>
        </w:tc>
        <w:tc>
          <w:tcPr>
            <w:tcW w:w="0" w:type="auto"/>
            <w:tcBorders>
              <w:top w:val="single" w:sz="4" w:space="0" w:color="auto"/>
              <w:bottom w:val="single" w:sz="4" w:space="0" w:color="auto"/>
            </w:tcBorders>
            <w:shd w:val="clear" w:color="auto" w:fill="BFBFBF"/>
            <w:vAlign w:val="center"/>
            <w:hideMark/>
          </w:tcPr>
          <w:p w:rsidR="00D24FA2" w:rsidRDefault="00D24FA2">
            <w:pPr>
              <w:rPr>
                <w:b/>
                <w:bCs/>
                <w:sz w:val="24"/>
                <w:szCs w:val="24"/>
              </w:rPr>
            </w:pPr>
            <w:r>
              <w:rPr>
                <w:b/>
                <w:bCs/>
              </w:rPr>
              <w:t>Standard GAN</w:t>
            </w:r>
          </w:p>
        </w:tc>
        <w:tc>
          <w:tcPr>
            <w:tcW w:w="0" w:type="auto"/>
            <w:tcBorders>
              <w:top w:val="single" w:sz="4" w:space="0" w:color="auto"/>
              <w:bottom w:val="single" w:sz="4" w:space="0" w:color="auto"/>
            </w:tcBorders>
            <w:shd w:val="clear" w:color="auto" w:fill="BFBFBF"/>
            <w:vAlign w:val="center"/>
            <w:hideMark/>
          </w:tcPr>
          <w:p w:rsidR="00D24FA2" w:rsidRDefault="00D24FA2">
            <w:pPr>
              <w:rPr>
                <w:b/>
                <w:bCs/>
                <w:sz w:val="24"/>
                <w:szCs w:val="24"/>
              </w:rPr>
            </w:pPr>
            <w:r>
              <w:rPr>
                <w:b/>
                <w:bCs/>
              </w:rPr>
              <w:t>Improvement</w:t>
            </w:r>
          </w:p>
        </w:tc>
      </w:tr>
      <w:tr w:rsidR="00D24FA2" w:rsidTr="00D24FA2">
        <w:trPr>
          <w:tblCellSpacing w:w="15" w:type="dxa"/>
        </w:trPr>
        <w:tc>
          <w:tcPr>
            <w:tcW w:w="0" w:type="auto"/>
            <w:vAlign w:val="center"/>
            <w:hideMark/>
          </w:tcPr>
          <w:p w:rsidR="00D24FA2" w:rsidRDefault="00D24FA2">
            <w:pPr>
              <w:rPr>
                <w:sz w:val="24"/>
                <w:szCs w:val="24"/>
              </w:rPr>
            </w:pPr>
            <w:r>
              <w:t>ICMP</w:t>
            </w:r>
          </w:p>
        </w:tc>
        <w:tc>
          <w:tcPr>
            <w:tcW w:w="0" w:type="auto"/>
            <w:vAlign w:val="center"/>
            <w:hideMark/>
          </w:tcPr>
          <w:p w:rsidR="00D24FA2" w:rsidRDefault="00D24FA2">
            <w:pPr>
              <w:rPr>
                <w:sz w:val="24"/>
                <w:szCs w:val="24"/>
              </w:rPr>
            </w:pPr>
            <w:r>
              <w:t>Flood Echo</w:t>
            </w:r>
          </w:p>
        </w:tc>
        <w:tc>
          <w:tcPr>
            <w:tcW w:w="0" w:type="auto"/>
            <w:vAlign w:val="center"/>
            <w:hideMark/>
          </w:tcPr>
          <w:p w:rsidR="00D24FA2" w:rsidRDefault="00D24FA2">
            <w:pPr>
              <w:rPr>
                <w:sz w:val="24"/>
                <w:szCs w:val="24"/>
              </w:rPr>
            </w:pPr>
            <w:r>
              <w:t>99.999%</w:t>
            </w:r>
          </w:p>
        </w:tc>
        <w:tc>
          <w:tcPr>
            <w:tcW w:w="0" w:type="auto"/>
            <w:vAlign w:val="center"/>
            <w:hideMark/>
          </w:tcPr>
          <w:p w:rsidR="00D24FA2" w:rsidRDefault="00D24FA2">
            <w:pPr>
              <w:rPr>
                <w:sz w:val="24"/>
                <w:szCs w:val="24"/>
              </w:rPr>
            </w:pPr>
            <w:r>
              <w:t>99.998%</w:t>
            </w:r>
          </w:p>
        </w:tc>
        <w:tc>
          <w:tcPr>
            <w:tcW w:w="0" w:type="auto"/>
            <w:vAlign w:val="center"/>
            <w:hideMark/>
          </w:tcPr>
          <w:p w:rsidR="00D24FA2" w:rsidRDefault="00D24FA2">
            <w:pPr>
              <w:rPr>
                <w:sz w:val="24"/>
                <w:szCs w:val="24"/>
              </w:rPr>
            </w:pPr>
            <w:r>
              <w:t>+0.001%</w:t>
            </w:r>
          </w:p>
        </w:tc>
      </w:tr>
      <w:tr w:rsidR="00D24FA2" w:rsidTr="00D24FA2">
        <w:trPr>
          <w:tblCellSpacing w:w="15" w:type="dxa"/>
        </w:trPr>
        <w:tc>
          <w:tcPr>
            <w:tcW w:w="0" w:type="auto"/>
            <w:vAlign w:val="center"/>
            <w:hideMark/>
          </w:tcPr>
          <w:p w:rsidR="00D24FA2" w:rsidRDefault="00D24FA2">
            <w:pPr>
              <w:rPr>
                <w:sz w:val="24"/>
                <w:szCs w:val="24"/>
              </w:rPr>
            </w:pPr>
            <w:r>
              <w:t>TCP</w:t>
            </w:r>
          </w:p>
        </w:tc>
        <w:tc>
          <w:tcPr>
            <w:tcW w:w="0" w:type="auto"/>
            <w:vAlign w:val="center"/>
            <w:hideMark/>
          </w:tcPr>
          <w:p w:rsidR="00D24FA2" w:rsidRDefault="00D24FA2">
            <w:pPr>
              <w:rPr>
                <w:sz w:val="24"/>
                <w:szCs w:val="24"/>
              </w:rPr>
            </w:pPr>
            <w:r>
              <w:t>SYN Flood R2L</w:t>
            </w:r>
          </w:p>
        </w:tc>
        <w:tc>
          <w:tcPr>
            <w:tcW w:w="0" w:type="auto"/>
            <w:vAlign w:val="center"/>
            <w:hideMark/>
          </w:tcPr>
          <w:p w:rsidR="00D24FA2" w:rsidRDefault="00D24FA2">
            <w:pPr>
              <w:rPr>
                <w:sz w:val="24"/>
                <w:szCs w:val="24"/>
              </w:rPr>
            </w:pPr>
            <w:r>
              <w:t>99.995%</w:t>
            </w:r>
          </w:p>
        </w:tc>
        <w:tc>
          <w:tcPr>
            <w:tcW w:w="0" w:type="auto"/>
            <w:vAlign w:val="center"/>
            <w:hideMark/>
          </w:tcPr>
          <w:p w:rsidR="00D24FA2" w:rsidRDefault="00D24FA2">
            <w:pPr>
              <w:rPr>
                <w:sz w:val="24"/>
                <w:szCs w:val="24"/>
              </w:rPr>
            </w:pPr>
            <w:r>
              <w:t>99.982%</w:t>
            </w:r>
          </w:p>
        </w:tc>
        <w:tc>
          <w:tcPr>
            <w:tcW w:w="0" w:type="auto"/>
            <w:vAlign w:val="center"/>
            <w:hideMark/>
          </w:tcPr>
          <w:p w:rsidR="00D24FA2" w:rsidRDefault="00D24FA2">
            <w:pPr>
              <w:rPr>
                <w:sz w:val="24"/>
                <w:szCs w:val="24"/>
              </w:rPr>
            </w:pPr>
            <w:r>
              <w:t>+0.013%</w:t>
            </w:r>
          </w:p>
        </w:tc>
      </w:tr>
      <w:tr w:rsidR="00D24FA2" w:rsidTr="00D24FA2">
        <w:trPr>
          <w:tblCellSpacing w:w="15" w:type="dxa"/>
        </w:trPr>
        <w:tc>
          <w:tcPr>
            <w:tcW w:w="0" w:type="auto"/>
            <w:tcBorders>
              <w:top w:val="single" w:sz="4" w:space="0" w:color="auto"/>
              <w:bottom w:val="single" w:sz="4" w:space="0" w:color="auto"/>
            </w:tcBorders>
            <w:vAlign w:val="center"/>
            <w:hideMark/>
          </w:tcPr>
          <w:p w:rsidR="00D24FA2" w:rsidRDefault="00D24FA2">
            <w:pPr>
              <w:rPr>
                <w:sz w:val="24"/>
                <w:szCs w:val="24"/>
              </w:rPr>
            </w:pPr>
            <w:r>
              <w:t>UDP</w:t>
            </w:r>
          </w:p>
        </w:tc>
        <w:tc>
          <w:tcPr>
            <w:tcW w:w="0" w:type="auto"/>
            <w:tcBorders>
              <w:top w:val="single" w:sz="4" w:space="0" w:color="auto"/>
              <w:bottom w:val="single" w:sz="4" w:space="0" w:color="auto"/>
            </w:tcBorders>
            <w:vAlign w:val="center"/>
            <w:hideMark/>
          </w:tcPr>
          <w:p w:rsidR="00D24FA2" w:rsidRDefault="00D24FA2">
            <w:pPr>
              <w:rPr>
                <w:sz w:val="24"/>
                <w:szCs w:val="24"/>
              </w:rPr>
            </w:pPr>
            <w:r>
              <w:t>Flood SNMP Get</w:t>
            </w:r>
          </w:p>
        </w:tc>
        <w:tc>
          <w:tcPr>
            <w:tcW w:w="0" w:type="auto"/>
            <w:tcBorders>
              <w:top w:val="single" w:sz="4" w:space="0" w:color="auto"/>
              <w:bottom w:val="single" w:sz="4" w:space="0" w:color="auto"/>
            </w:tcBorders>
            <w:vAlign w:val="center"/>
            <w:hideMark/>
          </w:tcPr>
          <w:p w:rsidR="00D24FA2" w:rsidRDefault="00D24FA2">
            <w:pPr>
              <w:rPr>
                <w:sz w:val="24"/>
                <w:szCs w:val="24"/>
              </w:rPr>
            </w:pPr>
            <w:r>
              <w:t>92.34%</w:t>
            </w:r>
          </w:p>
        </w:tc>
        <w:tc>
          <w:tcPr>
            <w:tcW w:w="0" w:type="auto"/>
            <w:tcBorders>
              <w:top w:val="single" w:sz="4" w:space="0" w:color="auto"/>
              <w:bottom w:val="single" w:sz="4" w:space="0" w:color="auto"/>
            </w:tcBorders>
            <w:vAlign w:val="center"/>
            <w:hideMark/>
          </w:tcPr>
          <w:p w:rsidR="00D24FA2" w:rsidRDefault="00D24FA2">
            <w:pPr>
              <w:rPr>
                <w:sz w:val="24"/>
                <w:szCs w:val="24"/>
              </w:rPr>
            </w:pPr>
            <w:r>
              <w:t>77.23%</w:t>
            </w:r>
          </w:p>
        </w:tc>
        <w:tc>
          <w:tcPr>
            <w:tcW w:w="0" w:type="auto"/>
            <w:tcBorders>
              <w:top w:val="single" w:sz="4" w:space="0" w:color="auto"/>
              <w:bottom w:val="single" w:sz="4" w:space="0" w:color="auto"/>
            </w:tcBorders>
            <w:vAlign w:val="center"/>
            <w:hideMark/>
          </w:tcPr>
          <w:p w:rsidR="00D24FA2" w:rsidRDefault="00D24FA2">
            <w:pPr>
              <w:rPr>
                <w:sz w:val="24"/>
                <w:szCs w:val="24"/>
              </w:rPr>
            </w:pPr>
            <w:r>
              <w:t>+15.11%</w:t>
            </w:r>
          </w:p>
        </w:tc>
      </w:tr>
    </w:tbl>
    <w:p w:rsidR="00D24FA2" w:rsidRDefault="00D24FA2" w:rsidP="009F09DC">
      <w:pPr>
        <w:jc w:val="both"/>
      </w:pPr>
    </w:p>
    <w:p w:rsidR="00A20400" w:rsidRDefault="00A20400" w:rsidP="009F09DC">
      <w:pPr>
        <w:jc w:val="both"/>
      </w:pPr>
    </w:p>
    <w:p w:rsidR="009F09DC" w:rsidRPr="009F09DC" w:rsidRDefault="009F09DC" w:rsidP="009F09DC">
      <w:pPr>
        <w:jc w:val="both"/>
      </w:pPr>
      <w:r w:rsidRPr="009F09DC">
        <w:t>1. UDP Attacks Remain Challenging: UDP detection accuracy (92.34%) is significantly lower than TCP (99.995%) and ICMP (99.999%) due to:Connectionless nature of UDP making pattern recognition difficultWide variation in legitimate UDP traffic (DNS, streaming, gaming)Difficulty distinguishing SNMP amplification attacks</w:t>
      </w:r>
      <w:r w:rsidR="00397A05">
        <w:t>.</w:t>
      </w:r>
    </w:p>
    <w:p w:rsidR="009F09DC" w:rsidRPr="009F09DC" w:rsidRDefault="009F09DC" w:rsidP="009F09DC">
      <w:pPr>
        <w:jc w:val="both"/>
      </w:pPr>
    </w:p>
    <w:p w:rsidR="00A20400" w:rsidRDefault="00A20400" w:rsidP="009F09DC">
      <w:pPr>
        <w:jc w:val="both"/>
      </w:pPr>
    </w:p>
    <w:p w:rsidR="009F09DC" w:rsidRPr="009F09DC" w:rsidRDefault="009F09DC" w:rsidP="009F09DC">
      <w:pPr>
        <w:jc w:val="both"/>
      </w:pPr>
      <w:r w:rsidRPr="009F09DC">
        <w:t>2. False Positive Analysis: Most false positives (8 instances) occurred in:</w:t>
      </w:r>
    </w:p>
    <w:p w:rsidR="009F09DC" w:rsidRPr="009F09DC" w:rsidRDefault="009F09DC" w:rsidP="009F09DC">
      <w:pPr>
        <w:jc w:val="both"/>
      </w:pPr>
      <w:r w:rsidRPr="009F09DC">
        <w:t xml:space="preserve">   - Edge cases with mixed protocol characteristics</w:t>
      </w:r>
    </w:p>
    <w:p w:rsidR="009F09DC" w:rsidRPr="009F09DC" w:rsidRDefault="009F09DC" w:rsidP="009F09DC">
      <w:pPr>
        <w:jc w:val="both"/>
      </w:pPr>
      <w:r w:rsidRPr="009F09DC">
        <w:t xml:space="preserve">   - Time periods with legitimate traffic spikes</w:t>
      </w:r>
    </w:p>
    <w:p w:rsidR="009F09DC" w:rsidRPr="009F09DC" w:rsidRDefault="009F09DC" w:rsidP="009F09DC">
      <w:pPr>
        <w:jc w:val="both"/>
      </w:pPr>
      <w:r w:rsidRPr="009F09DC">
        <w:t xml:space="preserve">   - New SSL/TLS encrypted traffic patterns</w:t>
      </w:r>
    </w:p>
    <w:p w:rsidR="009F09DC" w:rsidRPr="009F09DC" w:rsidRDefault="009F09DC" w:rsidP="009F09DC">
      <w:pPr>
        <w:jc w:val="both"/>
      </w:pPr>
    </w:p>
    <w:p w:rsidR="00A20400" w:rsidRDefault="00A20400" w:rsidP="009F09DC">
      <w:pPr>
        <w:jc w:val="both"/>
      </w:pPr>
    </w:p>
    <w:p w:rsidR="009F09DC" w:rsidRPr="009F09DC" w:rsidRDefault="009F09DC" w:rsidP="009F09DC">
      <w:pPr>
        <w:jc w:val="both"/>
      </w:pPr>
      <w:r w:rsidRPr="009F09DC">
        <w:t>3.False Negative Analysis: 12 false negatives were all UDP-based attacks, suggesting need for specialized UDP detection module.</w:t>
      </w:r>
    </w:p>
    <w:p w:rsidR="00A20400" w:rsidRDefault="00A20400" w:rsidP="00A20400">
      <w:pPr>
        <w:pStyle w:val="Heading1"/>
        <w:tabs>
          <w:tab w:val="clear" w:pos="0"/>
        </w:tabs>
        <w:ind w:firstLine="0"/>
        <w:jc w:val="both"/>
        <w:rPr>
          <w:b/>
          <w:sz w:val="22"/>
          <w:lang w:val="en-US"/>
        </w:rPr>
      </w:pPr>
    </w:p>
    <w:p w:rsidR="00361054" w:rsidRDefault="00E369D9" w:rsidP="00E369D9">
      <w:pPr>
        <w:pStyle w:val="Heading1"/>
        <w:tabs>
          <w:tab w:val="clear" w:pos="0"/>
        </w:tabs>
        <w:ind w:firstLine="0"/>
        <w:rPr>
          <w:b/>
          <w:sz w:val="22"/>
          <w:lang w:val="en-US"/>
        </w:rPr>
      </w:pPr>
      <w:r w:rsidRPr="00E369D9">
        <w:rPr>
          <w:b/>
          <w:sz w:val="22"/>
        </w:rPr>
        <w:t>V Comparative Performance Evaluation</w:t>
      </w:r>
    </w:p>
    <w:p w:rsidR="00E369D9" w:rsidRPr="00E369D9" w:rsidRDefault="00E369D9" w:rsidP="00E369D9">
      <w:pPr>
        <w:jc w:val="both"/>
      </w:pPr>
      <w:r w:rsidRPr="00E369D9">
        <w:t>The comparative evaluation of all models is presented in this section. Each model was trained and tested under identical experimental conditions.</w:t>
      </w:r>
      <w:r w:rsidR="00DE3FAC">
        <w:t xml:space="preserve"> Figure 1.8 shows Protocol Specific Detection Graph</w:t>
      </w:r>
    </w:p>
    <w:p w:rsidR="00E369D9" w:rsidRDefault="00E369D9" w:rsidP="00E369D9">
      <w:pPr>
        <w:jc w:val="both"/>
      </w:pPr>
      <w:r w:rsidRPr="00E369D9">
        <w:t>Table 1 presents the overall performance comparison of the proposed GAN model with CNN LSTM and SVM.</w:t>
      </w:r>
    </w:p>
    <w:p w:rsidR="00E369D9" w:rsidRDefault="00E369D9" w:rsidP="00E369D9">
      <w:pPr>
        <w:jc w:val="both"/>
      </w:pPr>
    </w:p>
    <w:p w:rsidR="00A20400" w:rsidRDefault="00A20400" w:rsidP="0090107D">
      <w:pPr>
        <w:pStyle w:val="Heading3"/>
        <w:tabs>
          <w:tab w:val="clear" w:pos="3647"/>
        </w:tabs>
        <w:ind w:firstLine="0"/>
        <w:rPr>
          <w:b/>
          <w:i w:val="0"/>
          <w:lang w:val="en-US"/>
        </w:rPr>
      </w:pPr>
    </w:p>
    <w:p w:rsidR="00A20400" w:rsidRDefault="00A20400" w:rsidP="00A20400">
      <w:pPr>
        <w:pStyle w:val="Heading3"/>
        <w:tabs>
          <w:tab w:val="clear" w:pos="3647"/>
        </w:tabs>
        <w:rPr>
          <w:b/>
          <w:i w:val="0"/>
          <w:lang w:val="en-US"/>
        </w:rPr>
      </w:pPr>
    </w:p>
    <w:p w:rsidR="00A20400" w:rsidRDefault="00A20400" w:rsidP="00A20400">
      <w:pPr>
        <w:pStyle w:val="Heading3"/>
        <w:tabs>
          <w:tab w:val="clear" w:pos="3647"/>
        </w:tabs>
        <w:rPr>
          <w:b/>
          <w:i w:val="0"/>
          <w:lang w:val="en-US"/>
        </w:rPr>
      </w:pPr>
      <w:r w:rsidRPr="00A20400">
        <w:rPr>
          <w:b/>
          <w:i w:val="0"/>
          <w:lang w:val="en-US"/>
        </w:rPr>
        <w:t>T</w:t>
      </w:r>
      <w:r w:rsidRPr="00A20400">
        <w:rPr>
          <w:b/>
          <w:i w:val="0"/>
        </w:rPr>
        <w:t xml:space="preserve">able </w:t>
      </w:r>
      <w:r w:rsidRPr="00A20400">
        <w:rPr>
          <w:b/>
          <w:i w:val="0"/>
          <w:lang w:val="en-US"/>
        </w:rPr>
        <w:t>3</w:t>
      </w:r>
      <w:r w:rsidRPr="00A20400">
        <w:rPr>
          <w:b/>
          <w:i w:val="0"/>
        </w:rPr>
        <w:t xml:space="preserve"> Complete Performance Comparison All Models</w:t>
      </w:r>
    </w:p>
    <w:p w:rsidR="00A20400" w:rsidRPr="00A20400" w:rsidRDefault="00A20400" w:rsidP="00A20400">
      <w:pPr>
        <w:pStyle w:val="BodyText"/>
        <w:rPr>
          <w:lang w:eastAsia="ja-JP"/>
        </w:rPr>
      </w:pPr>
    </w:p>
    <w:tbl>
      <w:tblPr>
        <w:tblW w:w="0" w:type="auto"/>
        <w:tblCellSpacing w:w="15" w:type="dxa"/>
        <w:tblCellMar>
          <w:top w:w="15" w:type="dxa"/>
          <w:left w:w="15" w:type="dxa"/>
          <w:bottom w:w="15" w:type="dxa"/>
          <w:right w:w="15" w:type="dxa"/>
        </w:tblCellMar>
        <w:tblLook w:val="04A0"/>
      </w:tblPr>
      <w:tblGrid>
        <w:gridCol w:w="1302"/>
        <w:gridCol w:w="1147"/>
        <w:gridCol w:w="1026"/>
        <w:gridCol w:w="510"/>
        <w:gridCol w:w="627"/>
        <w:gridCol w:w="525"/>
      </w:tblGrid>
      <w:tr w:rsidR="00A20400" w:rsidTr="00A20400">
        <w:trPr>
          <w:tblHeader/>
          <w:tblCellSpacing w:w="15" w:type="dxa"/>
        </w:trPr>
        <w:tc>
          <w:tcPr>
            <w:tcW w:w="0" w:type="auto"/>
            <w:tcBorders>
              <w:top w:val="single" w:sz="4" w:space="0" w:color="auto"/>
              <w:bottom w:val="single" w:sz="4" w:space="0" w:color="auto"/>
            </w:tcBorders>
            <w:shd w:val="clear" w:color="auto" w:fill="BFBFBF"/>
            <w:vAlign w:val="center"/>
            <w:hideMark/>
          </w:tcPr>
          <w:p w:rsidR="00A20400" w:rsidRDefault="00A20400">
            <w:pPr>
              <w:rPr>
                <w:b/>
                <w:bCs/>
                <w:sz w:val="24"/>
                <w:szCs w:val="24"/>
              </w:rPr>
            </w:pPr>
            <w:r>
              <w:rPr>
                <w:b/>
                <w:bCs/>
              </w:rPr>
              <w:lastRenderedPageBreak/>
              <w:t>Metric</w:t>
            </w:r>
          </w:p>
        </w:tc>
        <w:tc>
          <w:tcPr>
            <w:tcW w:w="0" w:type="auto"/>
            <w:tcBorders>
              <w:top w:val="single" w:sz="4" w:space="0" w:color="auto"/>
              <w:bottom w:val="single" w:sz="4" w:space="0" w:color="auto"/>
            </w:tcBorders>
            <w:shd w:val="clear" w:color="auto" w:fill="BFBFBF"/>
            <w:vAlign w:val="center"/>
            <w:hideMark/>
          </w:tcPr>
          <w:p w:rsidR="00A20400" w:rsidRDefault="00A20400">
            <w:pPr>
              <w:rPr>
                <w:b/>
                <w:bCs/>
                <w:sz w:val="24"/>
                <w:szCs w:val="24"/>
              </w:rPr>
            </w:pPr>
            <w:r>
              <w:rPr>
                <w:b/>
                <w:bCs/>
              </w:rPr>
              <w:t>GAN CycleGAN</w:t>
            </w:r>
          </w:p>
        </w:tc>
        <w:tc>
          <w:tcPr>
            <w:tcW w:w="0" w:type="auto"/>
            <w:tcBorders>
              <w:top w:val="single" w:sz="4" w:space="0" w:color="auto"/>
              <w:bottom w:val="single" w:sz="4" w:space="0" w:color="auto"/>
            </w:tcBorders>
            <w:shd w:val="clear" w:color="auto" w:fill="BFBFBF"/>
            <w:vAlign w:val="center"/>
            <w:hideMark/>
          </w:tcPr>
          <w:p w:rsidR="00A20400" w:rsidRDefault="00A20400">
            <w:pPr>
              <w:rPr>
                <w:b/>
                <w:bCs/>
                <w:sz w:val="24"/>
                <w:szCs w:val="24"/>
              </w:rPr>
            </w:pPr>
            <w:r>
              <w:rPr>
                <w:b/>
                <w:bCs/>
              </w:rPr>
              <w:t>Standard GAN</w:t>
            </w:r>
          </w:p>
        </w:tc>
        <w:tc>
          <w:tcPr>
            <w:tcW w:w="0" w:type="auto"/>
            <w:tcBorders>
              <w:top w:val="single" w:sz="4" w:space="0" w:color="auto"/>
              <w:bottom w:val="single" w:sz="4" w:space="0" w:color="auto"/>
            </w:tcBorders>
            <w:shd w:val="clear" w:color="auto" w:fill="BFBFBF"/>
            <w:vAlign w:val="center"/>
            <w:hideMark/>
          </w:tcPr>
          <w:p w:rsidR="00A20400" w:rsidRDefault="00A20400">
            <w:pPr>
              <w:rPr>
                <w:b/>
                <w:bCs/>
                <w:sz w:val="24"/>
                <w:szCs w:val="24"/>
              </w:rPr>
            </w:pPr>
            <w:r>
              <w:rPr>
                <w:b/>
                <w:bCs/>
              </w:rPr>
              <w:t>CNN</w:t>
            </w:r>
          </w:p>
        </w:tc>
        <w:tc>
          <w:tcPr>
            <w:tcW w:w="0" w:type="auto"/>
            <w:tcBorders>
              <w:top w:val="single" w:sz="4" w:space="0" w:color="auto"/>
              <w:bottom w:val="single" w:sz="4" w:space="0" w:color="auto"/>
            </w:tcBorders>
            <w:shd w:val="clear" w:color="auto" w:fill="BFBFBF"/>
            <w:vAlign w:val="center"/>
            <w:hideMark/>
          </w:tcPr>
          <w:p w:rsidR="00A20400" w:rsidRDefault="00A20400">
            <w:pPr>
              <w:rPr>
                <w:b/>
                <w:bCs/>
                <w:sz w:val="24"/>
                <w:szCs w:val="24"/>
              </w:rPr>
            </w:pPr>
            <w:r>
              <w:rPr>
                <w:b/>
                <w:bCs/>
              </w:rPr>
              <w:t>LSTM</w:t>
            </w:r>
          </w:p>
        </w:tc>
        <w:tc>
          <w:tcPr>
            <w:tcW w:w="0" w:type="auto"/>
            <w:tcBorders>
              <w:top w:val="single" w:sz="4" w:space="0" w:color="auto"/>
              <w:bottom w:val="single" w:sz="4" w:space="0" w:color="auto"/>
            </w:tcBorders>
            <w:shd w:val="clear" w:color="auto" w:fill="BFBFBF"/>
            <w:vAlign w:val="center"/>
            <w:hideMark/>
          </w:tcPr>
          <w:p w:rsidR="00A20400" w:rsidRDefault="00A20400">
            <w:pPr>
              <w:rPr>
                <w:b/>
                <w:bCs/>
                <w:sz w:val="24"/>
                <w:szCs w:val="24"/>
              </w:rPr>
            </w:pPr>
            <w:r>
              <w:rPr>
                <w:b/>
                <w:bCs/>
              </w:rPr>
              <w:t>SVM</w:t>
            </w:r>
          </w:p>
        </w:tc>
      </w:tr>
      <w:tr w:rsidR="00A20400" w:rsidTr="00A20400">
        <w:trPr>
          <w:tblCellSpacing w:w="15" w:type="dxa"/>
        </w:trPr>
        <w:tc>
          <w:tcPr>
            <w:tcW w:w="0" w:type="auto"/>
            <w:vAlign w:val="center"/>
            <w:hideMark/>
          </w:tcPr>
          <w:p w:rsidR="00A20400" w:rsidRDefault="00A20400">
            <w:pPr>
              <w:rPr>
                <w:sz w:val="24"/>
                <w:szCs w:val="24"/>
              </w:rPr>
            </w:pPr>
            <w:r>
              <w:t>Accuracy percent</w:t>
            </w:r>
          </w:p>
        </w:tc>
        <w:tc>
          <w:tcPr>
            <w:tcW w:w="0" w:type="auto"/>
            <w:vAlign w:val="center"/>
            <w:hideMark/>
          </w:tcPr>
          <w:p w:rsidR="00A20400" w:rsidRDefault="00A20400">
            <w:pPr>
              <w:rPr>
                <w:sz w:val="24"/>
                <w:szCs w:val="24"/>
              </w:rPr>
            </w:pPr>
            <w:r>
              <w:t>99.996</w:t>
            </w:r>
          </w:p>
        </w:tc>
        <w:tc>
          <w:tcPr>
            <w:tcW w:w="0" w:type="auto"/>
            <w:vAlign w:val="center"/>
            <w:hideMark/>
          </w:tcPr>
          <w:p w:rsidR="00A20400" w:rsidRDefault="00A20400">
            <w:pPr>
              <w:rPr>
                <w:sz w:val="24"/>
                <w:szCs w:val="24"/>
              </w:rPr>
            </w:pPr>
            <w:r>
              <w:t>99.945</w:t>
            </w:r>
          </w:p>
        </w:tc>
        <w:tc>
          <w:tcPr>
            <w:tcW w:w="0" w:type="auto"/>
            <w:vAlign w:val="center"/>
            <w:hideMark/>
          </w:tcPr>
          <w:p w:rsidR="00A20400" w:rsidRDefault="00A20400">
            <w:pPr>
              <w:rPr>
                <w:sz w:val="24"/>
                <w:szCs w:val="24"/>
              </w:rPr>
            </w:pPr>
            <w:r>
              <w:t>98.76</w:t>
            </w:r>
          </w:p>
        </w:tc>
        <w:tc>
          <w:tcPr>
            <w:tcW w:w="0" w:type="auto"/>
            <w:vAlign w:val="center"/>
            <w:hideMark/>
          </w:tcPr>
          <w:p w:rsidR="00A20400" w:rsidRDefault="00A20400">
            <w:pPr>
              <w:rPr>
                <w:sz w:val="24"/>
                <w:szCs w:val="24"/>
              </w:rPr>
            </w:pPr>
            <w:r>
              <w:t>99.12</w:t>
            </w:r>
          </w:p>
        </w:tc>
        <w:tc>
          <w:tcPr>
            <w:tcW w:w="0" w:type="auto"/>
            <w:vAlign w:val="center"/>
            <w:hideMark/>
          </w:tcPr>
          <w:p w:rsidR="00A20400" w:rsidRDefault="00A20400">
            <w:pPr>
              <w:rPr>
                <w:sz w:val="24"/>
                <w:szCs w:val="24"/>
              </w:rPr>
            </w:pPr>
            <w:r>
              <w:t>95.43</w:t>
            </w:r>
          </w:p>
        </w:tc>
      </w:tr>
      <w:tr w:rsidR="00A20400" w:rsidTr="00A20400">
        <w:trPr>
          <w:tblCellSpacing w:w="15" w:type="dxa"/>
        </w:trPr>
        <w:tc>
          <w:tcPr>
            <w:tcW w:w="0" w:type="auto"/>
            <w:vAlign w:val="center"/>
            <w:hideMark/>
          </w:tcPr>
          <w:p w:rsidR="00A20400" w:rsidRDefault="00A20400">
            <w:pPr>
              <w:rPr>
                <w:sz w:val="24"/>
                <w:szCs w:val="24"/>
              </w:rPr>
            </w:pPr>
            <w:r>
              <w:t>Precision percent</w:t>
            </w:r>
          </w:p>
        </w:tc>
        <w:tc>
          <w:tcPr>
            <w:tcW w:w="0" w:type="auto"/>
            <w:vAlign w:val="center"/>
            <w:hideMark/>
          </w:tcPr>
          <w:p w:rsidR="00A20400" w:rsidRDefault="00A20400">
            <w:pPr>
              <w:rPr>
                <w:sz w:val="24"/>
                <w:szCs w:val="24"/>
              </w:rPr>
            </w:pPr>
            <w:r>
              <w:t>99.98</w:t>
            </w:r>
          </w:p>
        </w:tc>
        <w:tc>
          <w:tcPr>
            <w:tcW w:w="0" w:type="auto"/>
            <w:vAlign w:val="center"/>
            <w:hideMark/>
          </w:tcPr>
          <w:p w:rsidR="00A20400" w:rsidRDefault="00A20400">
            <w:pPr>
              <w:rPr>
                <w:sz w:val="24"/>
                <w:szCs w:val="24"/>
              </w:rPr>
            </w:pPr>
            <w:r>
              <w:t>99.92</w:t>
            </w:r>
          </w:p>
        </w:tc>
        <w:tc>
          <w:tcPr>
            <w:tcW w:w="0" w:type="auto"/>
            <w:vAlign w:val="center"/>
            <w:hideMark/>
          </w:tcPr>
          <w:p w:rsidR="00A20400" w:rsidRDefault="00A20400">
            <w:pPr>
              <w:rPr>
                <w:sz w:val="24"/>
                <w:szCs w:val="24"/>
              </w:rPr>
            </w:pPr>
            <w:r>
              <w:t>98.52</w:t>
            </w:r>
          </w:p>
        </w:tc>
        <w:tc>
          <w:tcPr>
            <w:tcW w:w="0" w:type="auto"/>
            <w:vAlign w:val="center"/>
            <w:hideMark/>
          </w:tcPr>
          <w:p w:rsidR="00A20400" w:rsidRDefault="00A20400">
            <w:pPr>
              <w:rPr>
                <w:sz w:val="24"/>
                <w:szCs w:val="24"/>
              </w:rPr>
            </w:pPr>
            <w:r>
              <w:t>98.89</w:t>
            </w:r>
          </w:p>
        </w:tc>
        <w:tc>
          <w:tcPr>
            <w:tcW w:w="0" w:type="auto"/>
            <w:vAlign w:val="center"/>
            <w:hideMark/>
          </w:tcPr>
          <w:p w:rsidR="00A20400" w:rsidRDefault="00A20400">
            <w:pPr>
              <w:rPr>
                <w:sz w:val="24"/>
                <w:szCs w:val="24"/>
              </w:rPr>
            </w:pPr>
            <w:r>
              <w:t>94.87</w:t>
            </w:r>
          </w:p>
        </w:tc>
      </w:tr>
      <w:tr w:rsidR="00A20400" w:rsidTr="00A20400">
        <w:trPr>
          <w:tblCellSpacing w:w="15" w:type="dxa"/>
        </w:trPr>
        <w:tc>
          <w:tcPr>
            <w:tcW w:w="0" w:type="auto"/>
            <w:vAlign w:val="center"/>
            <w:hideMark/>
          </w:tcPr>
          <w:p w:rsidR="00A20400" w:rsidRDefault="00A20400">
            <w:pPr>
              <w:rPr>
                <w:sz w:val="24"/>
                <w:szCs w:val="24"/>
              </w:rPr>
            </w:pPr>
            <w:r>
              <w:t>Recall percent</w:t>
            </w:r>
          </w:p>
        </w:tc>
        <w:tc>
          <w:tcPr>
            <w:tcW w:w="0" w:type="auto"/>
            <w:vAlign w:val="center"/>
            <w:hideMark/>
          </w:tcPr>
          <w:p w:rsidR="00A20400" w:rsidRDefault="00A20400">
            <w:pPr>
              <w:rPr>
                <w:sz w:val="24"/>
                <w:szCs w:val="24"/>
              </w:rPr>
            </w:pPr>
            <w:r>
              <w:t>99.99</w:t>
            </w:r>
          </w:p>
        </w:tc>
        <w:tc>
          <w:tcPr>
            <w:tcW w:w="0" w:type="auto"/>
            <w:vAlign w:val="center"/>
            <w:hideMark/>
          </w:tcPr>
          <w:p w:rsidR="00A20400" w:rsidRDefault="00A20400">
            <w:pPr>
              <w:rPr>
                <w:sz w:val="24"/>
                <w:szCs w:val="24"/>
              </w:rPr>
            </w:pPr>
            <w:r>
              <w:t>99.98</w:t>
            </w:r>
          </w:p>
        </w:tc>
        <w:tc>
          <w:tcPr>
            <w:tcW w:w="0" w:type="auto"/>
            <w:vAlign w:val="center"/>
            <w:hideMark/>
          </w:tcPr>
          <w:p w:rsidR="00A20400" w:rsidRDefault="00A20400">
            <w:pPr>
              <w:rPr>
                <w:sz w:val="24"/>
                <w:szCs w:val="24"/>
              </w:rPr>
            </w:pPr>
            <w:r>
              <w:t>98.43</w:t>
            </w:r>
          </w:p>
        </w:tc>
        <w:tc>
          <w:tcPr>
            <w:tcW w:w="0" w:type="auto"/>
            <w:vAlign w:val="center"/>
            <w:hideMark/>
          </w:tcPr>
          <w:p w:rsidR="00A20400" w:rsidRDefault="00A20400">
            <w:pPr>
              <w:rPr>
                <w:sz w:val="24"/>
                <w:szCs w:val="24"/>
              </w:rPr>
            </w:pPr>
            <w:r>
              <w:t>98.97</w:t>
            </w:r>
          </w:p>
        </w:tc>
        <w:tc>
          <w:tcPr>
            <w:tcW w:w="0" w:type="auto"/>
            <w:vAlign w:val="center"/>
            <w:hideMark/>
          </w:tcPr>
          <w:p w:rsidR="00A20400" w:rsidRDefault="00A20400">
            <w:pPr>
              <w:rPr>
                <w:sz w:val="24"/>
                <w:szCs w:val="24"/>
              </w:rPr>
            </w:pPr>
            <w:r>
              <w:t>95.12</w:t>
            </w:r>
          </w:p>
        </w:tc>
      </w:tr>
      <w:tr w:rsidR="00A20400" w:rsidTr="00A20400">
        <w:trPr>
          <w:tblCellSpacing w:w="15" w:type="dxa"/>
        </w:trPr>
        <w:tc>
          <w:tcPr>
            <w:tcW w:w="0" w:type="auto"/>
            <w:vAlign w:val="center"/>
            <w:hideMark/>
          </w:tcPr>
          <w:p w:rsidR="00A20400" w:rsidRDefault="00A20400">
            <w:pPr>
              <w:rPr>
                <w:sz w:val="24"/>
                <w:szCs w:val="24"/>
              </w:rPr>
            </w:pPr>
            <w:r>
              <w:t>F1 Score percent</w:t>
            </w:r>
          </w:p>
        </w:tc>
        <w:tc>
          <w:tcPr>
            <w:tcW w:w="0" w:type="auto"/>
            <w:vAlign w:val="center"/>
            <w:hideMark/>
          </w:tcPr>
          <w:p w:rsidR="00A20400" w:rsidRDefault="00A20400">
            <w:pPr>
              <w:rPr>
                <w:sz w:val="24"/>
                <w:szCs w:val="24"/>
              </w:rPr>
            </w:pPr>
            <w:r>
              <w:t>99.99</w:t>
            </w:r>
          </w:p>
        </w:tc>
        <w:tc>
          <w:tcPr>
            <w:tcW w:w="0" w:type="auto"/>
            <w:vAlign w:val="center"/>
            <w:hideMark/>
          </w:tcPr>
          <w:p w:rsidR="00A20400" w:rsidRDefault="00A20400">
            <w:pPr>
              <w:rPr>
                <w:sz w:val="24"/>
                <w:szCs w:val="24"/>
              </w:rPr>
            </w:pPr>
            <w:r>
              <w:t>99.95</w:t>
            </w:r>
          </w:p>
        </w:tc>
        <w:tc>
          <w:tcPr>
            <w:tcW w:w="0" w:type="auto"/>
            <w:vAlign w:val="center"/>
            <w:hideMark/>
          </w:tcPr>
          <w:p w:rsidR="00A20400" w:rsidRDefault="00A20400">
            <w:pPr>
              <w:rPr>
                <w:sz w:val="24"/>
                <w:szCs w:val="24"/>
              </w:rPr>
            </w:pPr>
            <w:r>
              <w:t>98.47</w:t>
            </w:r>
          </w:p>
        </w:tc>
        <w:tc>
          <w:tcPr>
            <w:tcW w:w="0" w:type="auto"/>
            <w:vAlign w:val="center"/>
            <w:hideMark/>
          </w:tcPr>
          <w:p w:rsidR="00A20400" w:rsidRDefault="00A20400">
            <w:pPr>
              <w:rPr>
                <w:sz w:val="24"/>
                <w:szCs w:val="24"/>
              </w:rPr>
            </w:pPr>
            <w:r>
              <w:t>98.93</w:t>
            </w:r>
          </w:p>
        </w:tc>
        <w:tc>
          <w:tcPr>
            <w:tcW w:w="0" w:type="auto"/>
            <w:vAlign w:val="center"/>
            <w:hideMark/>
          </w:tcPr>
          <w:p w:rsidR="00A20400" w:rsidRDefault="00A20400">
            <w:pPr>
              <w:rPr>
                <w:sz w:val="24"/>
                <w:szCs w:val="24"/>
              </w:rPr>
            </w:pPr>
            <w:r>
              <w:t>94.99</w:t>
            </w:r>
          </w:p>
        </w:tc>
      </w:tr>
      <w:tr w:rsidR="00A20400" w:rsidTr="00A20400">
        <w:trPr>
          <w:tblCellSpacing w:w="15" w:type="dxa"/>
        </w:trPr>
        <w:tc>
          <w:tcPr>
            <w:tcW w:w="0" w:type="auto"/>
            <w:vAlign w:val="center"/>
            <w:hideMark/>
          </w:tcPr>
          <w:p w:rsidR="00A20400" w:rsidRDefault="00A20400">
            <w:pPr>
              <w:rPr>
                <w:sz w:val="24"/>
                <w:szCs w:val="24"/>
              </w:rPr>
            </w:pPr>
            <w:r>
              <w:t>Detection Rate percent</w:t>
            </w:r>
          </w:p>
        </w:tc>
        <w:tc>
          <w:tcPr>
            <w:tcW w:w="0" w:type="auto"/>
            <w:vAlign w:val="center"/>
            <w:hideMark/>
          </w:tcPr>
          <w:p w:rsidR="00A20400" w:rsidRDefault="00A20400">
            <w:pPr>
              <w:rPr>
                <w:sz w:val="24"/>
                <w:szCs w:val="24"/>
              </w:rPr>
            </w:pPr>
            <w:r>
              <w:t>99.99</w:t>
            </w:r>
          </w:p>
        </w:tc>
        <w:tc>
          <w:tcPr>
            <w:tcW w:w="0" w:type="auto"/>
            <w:vAlign w:val="center"/>
            <w:hideMark/>
          </w:tcPr>
          <w:p w:rsidR="00A20400" w:rsidRDefault="00A20400">
            <w:pPr>
              <w:rPr>
                <w:sz w:val="24"/>
                <w:szCs w:val="24"/>
              </w:rPr>
            </w:pPr>
            <w:r>
              <w:t>99.98</w:t>
            </w:r>
          </w:p>
        </w:tc>
        <w:tc>
          <w:tcPr>
            <w:tcW w:w="0" w:type="auto"/>
            <w:vAlign w:val="center"/>
            <w:hideMark/>
          </w:tcPr>
          <w:p w:rsidR="00A20400" w:rsidRDefault="00A20400">
            <w:pPr>
              <w:rPr>
                <w:sz w:val="24"/>
                <w:szCs w:val="24"/>
              </w:rPr>
            </w:pPr>
            <w:r>
              <w:t>98.43</w:t>
            </w:r>
          </w:p>
        </w:tc>
        <w:tc>
          <w:tcPr>
            <w:tcW w:w="0" w:type="auto"/>
            <w:vAlign w:val="center"/>
            <w:hideMark/>
          </w:tcPr>
          <w:p w:rsidR="00A20400" w:rsidRDefault="00A20400">
            <w:pPr>
              <w:rPr>
                <w:sz w:val="24"/>
                <w:szCs w:val="24"/>
              </w:rPr>
            </w:pPr>
            <w:r>
              <w:t>98.97</w:t>
            </w:r>
          </w:p>
        </w:tc>
        <w:tc>
          <w:tcPr>
            <w:tcW w:w="0" w:type="auto"/>
            <w:vAlign w:val="center"/>
            <w:hideMark/>
          </w:tcPr>
          <w:p w:rsidR="00A20400" w:rsidRDefault="00A20400">
            <w:pPr>
              <w:rPr>
                <w:sz w:val="24"/>
                <w:szCs w:val="24"/>
              </w:rPr>
            </w:pPr>
            <w:r>
              <w:t>95.12</w:t>
            </w:r>
          </w:p>
        </w:tc>
      </w:tr>
      <w:tr w:rsidR="00A20400" w:rsidTr="00A20400">
        <w:trPr>
          <w:tblCellSpacing w:w="15" w:type="dxa"/>
        </w:trPr>
        <w:tc>
          <w:tcPr>
            <w:tcW w:w="0" w:type="auto"/>
            <w:vAlign w:val="center"/>
            <w:hideMark/>
          </w:tcPr>
          <w:p w:rsidR="00A20400" w:rsidRDefault="00A20400">
            <w:pPr>
              <w:rPr>
                <w:sz w:val="24"/>
                <w:szCs w:val="24"/>
              </w:rPr>
            </w:pPr>
            <w:r>
              <w:t>False Alarm Rate percent</w:t>
            </w:r>
          </w:p>
        </w:tc>
        <w:tc>
          <w:tcPr>
            <w:tcW w:w="0" w:type="auto"/>
            <w:vAlign w:val="center"/>
            <w:hideMark/>
          </w:tcPr>
          <w:p w:rsidR="00A20400" w:rsidRDefault="00A20400">
            <w:pPr>
              <w:rPr>
                <w:sz w:val="24"/>
                <w:szCs w:val="24"/>
              </w:rPr>
            </w:pPr>
            <w:r>
              <w:t>0.004</w:t>
            </w:r>
          </w:p>
        </w:tc>
        <w:tc>
          <w:tcPr>
            <w:tcW w:w="0" w:type="auto"/>
            <w:vAlign w:val="center"/>
            <w:hideMark/>
          </w:tcPr>
          <w:p w:rsidR="00A20400" w:rsidRDefault="00A20400">
            <w:pPr>
              <w:rPr>
                <w:sz w:val="24"/>
                <w:szCs w:val="24"/>
              </w:rPr>
            </w:pPr>
            <w:r>
              <w:t>0.018</w:t>
            </w:r>
          </w:p>
        </w:tc>
        <w:tc>
          <w:tcPr>
            <w:tcW w:w="0" w:type="auto"/>
            <w:vAlign w:val="center"/>
            <w:hideMark/>
          </w:tcPr>
          <w:p w:rsidR="00A20400" w:rsidRDefault="00A20400">
            <w:pPr>
              <w:rPr>
                <w:sz w:val="24"/>
                <w:szCs w:val="24"/>
              </w:rPr>
            </w:pPr>
            <w:r>
              <w:t>1.24</w:t>
            </w:r>
          </w:p>
        </w:tc>
        <w:tc>
          <w:tcPr>
            <w:tcW w:w="0" w:type="auto"/>
            <w:vAlign w:val="center"/>
            <w:hideMark/>
          </w:tcPr>
          <w:p w:rsidR="00A20400" w:rsidRDefault="00A20400">
            <w:pPr>
              <w:rPr>
                <w:sz w:val="24"/>
                <w:szCs w:val="24"/>
              </w:rPr>
            </w:pPr>
            <w:r>
              <w:t>0.88</w:t>
            </w:r>
          </w:p>
        </w:tc>
        <w:tc>
          <w:tcPr>
            <w:tcW w:w="0" w:type="auto"/>
            <w:vAlign w:val="center"/>
            <w:hideMark/>
          </w:tcPr>
          <w:p w:rsidR="00A20400" w:rsidRDefault="00A20400">
            <w:pPr>
              <w:rPr>
                <w:sz w:val="24"/>
                <w:szCs w:val="24"/>
              </w:rPr>
            </w:pPr>
            <w:r>
              <w:t>4.57</w:t>
            </w:r>
          </w:p>
        </w:tc>
      </w:tr>
      <w:tr w:rsidR="00A20400" w:rsidTr="00A20400">
        <w:trPr>
          <w:tblCellSpacing w:w="15" w:type="dxa"/>
        </w:trPr>
        <w:tc>
          <w:tcPr>
            <w:tcW w:w="0" w:type="auto"/>
            <w:vAlign w:val="center"/>
            <w:hideMark/>
          </w:tcPr>
          <w:p w:rsidR="00A20400" w:rsidRDefault="00A20400">
            <w:pPr>
              <w:rPr>
                <w:sz w:val="24"/>
                <w:szCs w:val="24"/>
              </w:rPr>
            </w:pPr>
            <w:r>
              <w:t>Error Rate percent</w:t>
            </w:r>
          </w:p>
        </w:tc>
        <w:tc>
          <w:tcPr>
            <w:tcW w:w="0" w:type="auto"/>
            <w:vAlign w:val="center"/>
            <w:hideMark/>
          </w:tcPr>
          <w:p w:rsidR="00A20400" w:rsidRDefault="00A20400">
            <w:pPr>
              <w:rPr>
                <w:sz w:val="24"/>
                <w:szCs w:val="24"/>
              </w:rPr>
            </w:pPr>
            <w:r>
              <w:t>0.004</w:t>
            </w:r>
          </w:p>
        </w:tc>
        <w:tc>
          <w:tcPr>
            <w:tcW w:w="0" w:type="auto"/>
            <w:vAlign w:val="center"/>
            <w:hideMark/>
          </w:tcPr>
          <w:p w:rsidR="00A20400" w:rsidRDefault="00A20400">
            <w:pPr>
              <w:rPr>
                <w:sz w:val="24"/>
                <w:szCs w:val="24"/>
              </w:rPr>
            </w:pPr>
            <w:r>
              <w:t>0.055</w:t>
            </w:r>
          </w:p>
        </w:tc>
        <w:tc>
          <w:tcPr>
            <w:tcW w:w="0" w:type="auto"/>
            <w:vAlign w:val="center"/>
            <w:hideMark/>
          </w:tcPr>
          <w:p w:rsidR="00A20400" w:rsidRDefault="00A20400">
            <w:pPr>
              <w:rPr>
                <w:sz w:val="24"/>
                <w:szCs w:val="24"/>
              </w:rPr>
            </w:pPr>
            <w:r>
              <w:t>1.24</w:t>
            </w:r>
          </w:p>
        </w:tc>
        <w:tc>
          <w:tcPr>
            <w:tcW w:w="0" w:type="auto"/>
            <w:vAlign w:val="center"/>
            <w:hideMark/>
          </w:tcPr>
          <w:p w:rsidR="00A20400" w:rsidRDefault="00A20400">
            <w:pPr>
              <w:rPr>
                <w:sz w:val="24"/>
                <w:szCs w:val="24"/>
              </w:rPr>
            </w:pPr>
            <w:r>
              <w:t>0.88</w:t>
            </w:r>
          </w:p>
        </w:tc>
        <w:tc>
          <w:tcPr>
            <w:tcW w:w="0" w:type="auto"/>
            <w:vAlign w:val="center"/>
            <w:hideMark/>
          </w:tcPr>
          <w:p w:rsidR="00A20400" w:rsidRDefault="00A20400">
            <w:pPr>
              <w:rPr>
                <w:sz w:val="24"/>
                <w:szCs w:val="24"/>
              </w:rPr>
            </w:pPr>
            <w:r>
              <w:t>4.57</w:t>
            </w:r>
          </w:p>
        </w:tc>
      </w:tr>
      <w:tr w:rsidR="00A20400" w:rsidTr="00A20400">
        <w:trPr>
          <w:tblCellSpacing w:w="15" w:type="dxa"/>
        </w:trPr>
        <w:tc>
          <w:tcPr>
            <w:tcW w:w="0" w:type="auto"/>
            <w:vAlign w:val="center"/>
            <w:hideMark/>
          </w:tcPr>
          <w:p w:rsidR="00A20400" w:rsidRDefault="00A20400">
            <w:pPr>
              <w:rPr>
                <w:sz w:val="24"/>
                <w:szCs w:val="24"/>
              </w:rPr>
            </w:pPr>
            <w:r>
              <w:t>Training Time sec</w:t>
            </w:r>
          </w:p>
        </w:tc>
        <w:tc>
          <w:tcPr>
            <w:tcW w:w="0" w:type="auto"/>
            <w:vAlign w:val="center"/>
            <w:hideMark/>
          </w:tcPr>
          <w:p w:rsidR="00A20400" w:rsidRDefault="00A20400">
            <w:pPr>
              <w:rPr>
                <w:sz w:val="24"/>
                <w:szCs w:val="24"/>
              </w:rPr>
            </w:pPr>
            <w:r>
              <w:t>187.2</w:t>
            </w:r>
          </w:p>
        </w:tc>
        <w:tc>
          <w:tcPr>
            <w:tcW w:w="0" w:type="auto"/>
            <w:vAlign w:val="center"/>
            <w:hideMark/>
          </w:tcPr>
          <w:p w:rsidR="00A20400" w:rsidRDefault="00A20400">
            <w:pPr>
              <w:rPr>
                <w:sz w:val="24"/>
                <w:szCs w:val="24"/>
              </w:rPr>
            </w:pPr>
            <w:r>
              <w:t>156.8</w:t>
            </w:r>
          </w:p>
        </w:tc>
        <w:tc>
          <w:tcPr>
            <w:tcW w:w="0" w:type="auto"/>
            <w:vAlign w:val="center"/>
            <w:hideMark/>
          </w:tcPr>
          <w:p w:rsidR="00A20400" w:rsidRDefault="00A20400">
            <w:pPr>
              <w:rPr>
                <w:sz w:val="24"/>
                <w:szCs w:val="24"/>
              </w:rPr>
            </w:pPr>
            <w:r>
              <w:t>98.4</w:t>
            </w:r>
          </w:p>
        </w:tc>
        <w:tc>
          <w:tcPr>
            <w:tcW w:w="0" w:type="auto"/>
            <w:vAlign w:val="center"/>
            <w:hideMark/>
          </w:tcPr>
          <w:p w:rsidR="00A20400" w:rsidRDefault="00A20400">
            <w:pPr>
              <w:rPr>
                <w:sz w:val="24"/>
                <w:szCs w:val="24"/>
              </w:rPr>
            </w:pPr>
            <w:r>
              <w:t>342.6</w:t>
            </w:r>
          </w:p>
        </w:tc>
        <w:tc>
          <w:tcPr>
            <w:tcW w:w="0" w:type="auto"/>
            <w:vAlign w:val="center"/>
            <w:hideMark/>
          </w:tcPr>
          <w:p w:rsidR="00A20400" w:rsidRDefault="00A20400">
            <w:pPr>
              <w:rPr>
                <w:sz w:val="24"/>
                <w:szCs w:val="24"/>
              </w:rPr>
            </w:pPr>
            <w:r>
              <w:t>45.7</w:t>
            </w:r>
          </w:p>
        </w:tc>
      </w:tr>
      <w:tr w:rsidR="00A20400" w:rsidTr="00A20400">
        <w:trPr>
          <w:tblCellSpacing w:w="15" w:type="dxa"/>
        </w:trPr>
        <w:tc>
          <w:tcPr>
            <w:tcW w:w="0" w:type="auto"/>
            <w:vAlign w:val="center"/>
            <w:hideMark/>
          </w:tcPr>
          <w:p w:rsidR="00A20400" w:rsidRDefault="00A20400">
            <w:pPr>
              <w:rPr>
                <w:sz w:val="24"/>
                <w:szCs w:val="24"/>
              </w:rPr>
            </w:pPr>
            <w:r>
              <w:t>Inference Time ms sample</w:t>
            </w:r>
          </w:p>
        </w:tc>
        <w:tc>
          <w:tcPr>
            <w:tcW w:w="0" w:type="auto"/>
            <w:vAlign w:val="center"/>
            <w:hideMark/>
          </w:tcPr>
          <w:p w:rsidR="00A20400" w:rsidRDefault="00A20400">
            <w:pPr>
              <w:rPr>
                <w:sz w:val="24"/>
                <w:szCs w:val="24"/>
              </w:rPr>
            </w:pPr>
            <w:r>
              <w:t>0.32</w:t>
            </w:r>
          </w:p>
        </w:tc>
        <w:tc>
          <w:tcPr>
            <w:tcW w:w="0" w:type="auto"/>
            <w:vAlign w:val="center"/>
            <w:hideMark/>
          </w:tcPr>
          <w:p w:rsidR="00A20400" w:rsidRDefault="00A20400">
            <w:pPr>
              <w:rPr>
                <w:sz w:val="24"/>
                <w:szCs w:val="24"/>
              </w:rPr>
            </w:pPr>
            <w:r>
              <w:t>0.28</w:t>
            </w:r>
          </w:p>
        </w:tc>
        <w:tc>
          <w:tcPr>
            <w:tcW w:w="0" w:type="auto"/>
            <w:vAlign w:val="center"/>
            <w:hideMark/>
          </w:tcPr>
          <w:p w:rsidR="00A20400" w:rsidRDefault="00A20400">
            <w:pPr>
              <w:rPr>
                <w:sz w:val="24"/>
                <w:szCs w:val="24"/>
              </w:rPr>
            </w:pPr>
            <w:r>
              <w:t>0.15</w:t>
            </w:r>
          </w:p>
        </w:tc>
        <w:tc>
          <w:tcPr>
            <w:tcW w:w="0" w:type="auto"/>
            <w:vAlign w:val="center"/>
            <w:hideMark/>
          </w:tcPr>
          <w:p w:rsidR="00A20400" w:rsidRDefault="00A20400">
            <w:pPr>
              <w:rPr>
                <w:sz w:val="24"/>
                <w:szCs w:val="24"/>
              </w:rPr>
            </w:pPr>
            <w:r>
              <w:t>0.45</w:t>
            </w:r>
          </w:p>
        </w:tc>
        <w:tc>
          <w:tcPr>
            <w:tcW w:w="0" w:type="auto"/>
            <w:vAlign w:val="center"/>
            <w:hideMark/>
          </w:tcPr>
          <w:p w:rsidR="00A20400" w:rsidRDefault="00A20400">
            <w:pPr>
              <w:rPr>
                <w:sz w:val="24"/>
                <w:szCs w:val="24"/>
              </w:rPr>
            </w:pPr>
            <w:r>
              <w:t>0.08</w:t>
            </w:r>
          </w:p>
        </w:tc>
      </w:tr>
      <w:tr w:rsidR="00A20400" w:rsidTr="00A20400">
        <w:trPr>
          <w:tblCellSpacing w:w="15" w:type="dxa"/>
        </w:trPr>
        <w:tc>
          <w:tcPr>
            <w:tcW w:w="0" w:type="auto"/>
            <w:tcBorders>
              <w:top w:val="single" w:sz="4" w:space="0" w:color="auto"/>
              <w:bottom w:val="single" w:sz="4" w:space="0" w:color="auto"/>
            </w:tcBorders>
            <w:vAlign w:val="center"/>
            <w:hideMark/>
          </w:tcPr>
          <w:p w:rsidR="00A20400" w:rsidRDefault="00A20400">
            <w:pPr>
              <w:rPr>
                <w:sz w:val="24"/>
                <w:szCs w:val="24"/>
              </w:rPr>
            </w:pPr>
            <w:r>
              <w:t>Memory Usage MB</w:t>
            </w:r>
          </w:p>
        </w:tc>
        <w:tc>
          <w:tcPr>
            <w:tcW w:w="0" w:type="auto"/>
            <w:tcBorders>
              <w:top w:val="single" w:sz="4" w:space="0" w:color="auto"/>
              <w:bottom w:val="single" w:sz="4" w:space="0" w:color="auto"/>
            </w:tcBorders>
            <w:vAlign w:val="center"/>
            <w:hideMark/>
          </w:tcPr>
          <w:p w:rsidR="00A20400" w:rsidRDefault="00A20400">
            <w:pPr>
              <w:rPr>
                <w:sz w:val="24"/>
                <w:szCs w:val="24"/>
              </w:rPr>
            </w:pPr>
            <w:r>
              <w:t>245</w:t>
            </w:r>
          </w:p>
        </w:tc>
        <w:tc>
          <w:tcPr>
            <w:tcW w:w="0" w:type="auto"/>
            <w:tcBorders>
              <w:top w:val="single" w:sz="4" w:space="0" w:color="auto"/>
              <w:bottom w:val="single" w:sz="4" w:space="0" w:color="auto"/>
            </w:tcBorders>
            <w:vAlign w:val="center"/>
            <w:hideMark/>
          </w:tcPr>
          <w:p w:rsidR="00A20400" w:rsidRDefault="00A20400">
            <w:pPr>
              <w:rPr>
                <w:sz w:val="24"/>
                <w:szCs w:val="24"/>
              </w:rPr>
            </w:pPr>
            <w:r>
              <w:t>210</w:t>
            </w:r>
          </w:p>
        </w:tc>
        <w:tc>
          <w:tcPr>
            <w:tcW w:w="0" w:type="auto"/>
            <w:tcBorders>
              <w:top w:val="single" w:sz="4" w:space="0" w:color="auto"/>
              <w:bottom w:val="single" w:sz="4" w:space="0" w:color="auto"/>
            </w:tcBorders>
            <w:vAlign w:val="center"/>
            <w:hideMark/>
          </w:tcPr>
          <w:p w:rsidR="00A20400" w:rsidRDefault="00A20400">
            <w:pPr>
              <w:rPr>
                <w:sz w:val="24"/>
                <w:szCs w:val="24"/>
              </w:rPr>
            </w:pPr>
            <w:r>
              <w:t>125</w:t>
            </w:r>
          </w:p>
        </w:tc>
        <w:tc>
          <w:tcPr>
            <w:tcW w:w="0" w:type="auto"/>
            <w:tcBorders>
              <w:top w:val="single" w:sz="4" w:space="0" w:color="auto"/>
              <w:bottom w:val="single" w:sz="4" w:space="0" w:color="auto"/>
            </w:tcBorders>
            <w:vAlign w:val="center"/>
            <w:hideMark/>
          </w:tcPr>
          <w:p w:rsidR="00A20400" w:rsidRDefault="00A20400">
            <w:pPr>
              <w:rPr>
                <w:sz w:val="24"/>
                <w:szCs w:val="24"/>
              </w:rPr>
            </w:pPr>
            <w:r>
              <w:t>180</w:t>
            </w:r>
          </w:p>
        </w:tc>
        <w:tc>
          <w:tcPr>
            <w:tcW w:w="0" w:type="auto"/>
            <w:tcBorders>
              <w:top w:val="single" w:sz="4" w:space="0" w:color="auto"/>
              <w:bottom w:val="single" w:sz="4" w:space="0" w:color="auto"/>
            </w:tcBorders>
            <w:vAlign w:val="center"/>
            <w:hideMark/>
          </w:tcPr>
          <w:p w:rsidR="00A20400" w:rsidRDefault="00A20400">
            <w:pPr>
              <w:rPr>
                <w:sz w:val="24"/>
                <w:szCs w:val="24"/>
              </w:rPr>
            </w:pPr>
            <w:r>
              <w:t>85</w:t>
            </w:r>
          </w:p>
        </w:tc>
      </w:tr>
    </w:tbl>
    <w:p w:rsidR="00F9229D" w:rsidRDefault="00F9229D" w:rsidP="00E369D9">
      <w:pPr>
        <w:jc w:val="both"/>
      </w:pPr>
    </w:p>
    <w:p w:rsidR="00E369D9" w:rsidRDefault="00E369D9" w:rsidP="00E369D9">
      <w:pPr>
        <w:jc w:val="both"/>
      </w:pPr>
      <w:r w:rsidRPr="00E369D9">
        <w:t>The proposed GAN model achieved the highest overall accuracy and detection rate among all evaluated models. It also demonstrated lower false alarm rate compared to baseline techniques.</w:t>
      </w:r>
      <w:r w:rsidR="004F01E3">
        <w:t>Figure 1.7</w:t>
      </w:r>
      <w:r w:rsidR="004F01E3">
        <w:rPr>
          <w:bCs/>
        </w:rPr>
        <w:t>gives</w:t>
      </w:r>
      <w:r w:rsidR="00DE3FAC">
        <w:rPr>
          <w:bCs/>
        </w:rPr>
        <w:t xml:space="preserve">ROC AUC Curves. </w:t>
      </w:r>
      <w:r w:rsidRPr="00E369D9">
        <w:t>The CNN and LSTM models showed competitive performance but struggled in distinguishing complex adversarial traffic patterns.The SVM model demonstrated stable but comparatively lower detection accuracy</w:t>
      </w:r>
      <w:r>
        <w:t>.</w:t>
      </w:r>
      <w:r w:rsidR="004E17E2">
        <w:t>[</w:t>
      </w:r>
      <w:r w:rsidR="003E650E">
        <w:t>36</w:t>
      </w:r>
      <w:r w:rsidR="004E17E2">
        <w:t>]</w:t>
      </w:r>
      <w:r w:rsidR="004F01E3">
        <w:t>.Figure 1.6</w:t>
      </w:r>
      <w:r w:rsidR="004F01E3">
        <w:rPr>
          <w:bCs/>
        </w:rPr>
        <w:t>gives</w:t>
      </w:r>
      <w:r w:rsidR="004F01E3" w:rsidRPr="004F01E3">
        <w:rPr>
          <w:bCs/>
        </w:rPr>
        <w:t xml:space="preserve"> Accuracy Comparison of Cyber Threat Detection</w:t>
      </w:r>
    </w:p>
    <w:p w:rsidR="00E369D9" w:rsidRDefault="00E369D9" w:rsidP="00E369D9">
      <w:pPr>
        <w:jc w:val="both"/>
      </w:pPr>
    </w:p>
    <w:p w:rsidR="00F9229D" w:rsidRPr="00F9229D" w:rsidRDefault="00F9229D" w:rsidP="00F9229D">
      <w:pPr>
        <w:rPr>
          <w:b/>
        </w:rPr>
      </w:pPr>
      <w:r w:rsidRPr="00F9229D">
        <w:rPr>
          <w:b/>
        </w:rPr>
        <w:t>VI Graphical Comparison</w:t>
      </w:r>
    </w:p>
    <w:p w:rsidR="00F9229D" w:rsidRPr="00F9229D" w:rsidRDefault="00F9229D" w:rsidP="00F9229D">
      <w:pPr>
        <w:rPr>
          <w:b/>
          <w:sz w:val="22"/>
        </w:rPr>
      </w:pPr>
    </w:p>
    <w:p w:rsidR="008E7F6F" w:rsidRDefault="000C74A3" w:rsidP="008E7F6F">
      <w:pPr>
        <w:pStyle w:val="NormalWeb"/>
      </w:pPr>
      <w:r>
        <w:rPr>
          <w:noProof/>
        </w:rPr>
        <w:drawing>
          <wp:inline distT="0" distB="0" distL="0" distR="0">
            <wp:extent cx="3072130" cy="2316480"/>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72130" cy="2316480"/>
                    </a:xfrm>
                    <a:prstGeom prst="rect">
                      <a:avLst/>
                    </a:prstGeom>
                    <a:noFill/>
                    <a:ln>
                      <a:noFill/>
                    </a:ln>
                  </pic:spPr>
                </pic:pic>
              </a:graphicData>
            </a:graphic>
          </wp:inline>
        </w:drawing>
      </w:r>
    </w:p>
    <w:p w:rsidR="008E7F6F" w:rsidRPr="004F01E3" w:rsidRDefault="004F01E3" w:rsidP="004F01E3">
      <w:pPr>
        <w:rPr>
          <w:bCs/>
          <w:sz w:val="18"/>
          <w:szCs w:val="18"/>
        </w:rPr>
      </w:pPr>
      <w:r w:rsidRPr="004F01E3">
        <w:rPr>
          <w:bCs/>
        </w:rPr>
        <w:t>Fig 1.6Accuracy Comparison of Cyber Threat Detection</w:t>
      </w:r>
    </w:p>
    <w:p w:rsidR="008E7F6F" w:rsidRDefault="000C74A3" w:rsidP="008E7F6F">
      <w:pPr>
        <w:pStyle w:val="NormalWeb"/>
      </w:pPr>
      <w:r>
        <w:rPr>
          <w:noProof/>
        </w:rPr>
        <w:lastRenderedPageBreak/>
        <w:drawing>
          <wp:inline distT="0" distB="0" distL="0" distR="0">
            <wp:extent cx="3194050" cy="2658110"/>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94050" cy="2658110"/>
                    </a:xfrm>
                    <a:prstGeom prst="rect">
                      <a:avLst/>
                    </a:prstGeom>
                    <a:noFill/>
                    <a:ln>
                      <a:noFill/>
                    </a:ln>
                  </pic:spPr>
                </pic:pic>
              </a:graphicData>
            </a:graphic>
          </wp:inline>
        </w:drawing>
      </w:r>
    </w:p>
    <w:p w:rsidR="008E7F6F" w:rsidRDefault="004F01E3" w:rsidP="00F9229D">
      <w:pPr>
        <w:rPr>
          <w:b/>
          <w:sz w:val="22"/>
        </w:rPr>
      </w:pPr>
      <w:r w:rsidRPr="004F01E3">
        <w:rPr>
          <w:bCs/>
        </w:rPr>
        <w:t>Fig 1.</w:t>
      </w:r>
      <w:r>
        <w:rPr>
          <w:bCs/>
        </w:rPr>
        <w:t>7ROC-AUC Curves Comparison</w:t>
      </w:r>
    </w:p>
    <w:p w:rsidR="007F1477" w:rsidRDefault="000C74A3" w:rsidP="007F1477">
      <w:pPr>
        <w:pStyle w:val="NormalWeb"/>
      </w:pPr>
      <w:r>
        <w:rPr>
          <w:noProof/>
        </w:rPr>
        <w:drawing>
          <wp:inline distT="0" distB="0" distL="0" distR="0">
            <wp:extent cx="3474720" cy="217043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7578" r="4889"/>
                    <a:stretch>
                      <a:fillRect/>
                    </a:stretch>
                  </pic:blipFill>
                  <pic:spPr bwMode="auto">
                    <a:xfrm>
                      <a:off x="0" y="0"/>
                      <a:ext cx="3474720" cy="2170430"/>
                    </a:xfrm>
                    <a:prstGeom prst="rect">
                      <a:avLst/>
                    </a:prstGeom>
                    <a:noFill/>
                    <a:ln>
                      <a:noFill/>
                    </a:ln>
                  </pic:spPr>
                </pic:pic>
              </a:graphicData>
            </a:graphic>
          </wp:inline>
        </w:drawing>
      </w:r>
    </w:p>
    <w:p w:rsidR="007F1477" w:rsidRDefault="00DE3FAC" w:rsidP="00F9229D">
      <w:pPr>
        <w:rPr>
          <w:bCs/>
        </w:rPr>
      </w:pPr>
      <w:r w:rsidRPr="00DE3FAC">
        <w:rPr>
          <w:bCs/>
        </w:rPr>
        <w:t>Figure 1.8Protocol Specific Detection</w:t>
      </w:r>
      <w:r>
        <w:rPr>
          <w:bCs/>
        </w:rPr>
        <w:t xml:space="preserve"> Graph</w:t>
      </w:r>
    </w:p>
    <w:p w:rsidR="00DE3FAC" w:rsidRPr="00DE3FAC" w:rsidRDefault="00DE3FAC" w:rsidP="00F9229D">
      <w:pPr>
        <w:rPr>
          <w:bCs/>
        </w:rPr>
      </w:pPr>
    </w:p>
    <w:p w:rsidR="00F9229D" w:rsidRPr="00F9229D" w:rsidRDefault="00F9229D" w:rsidP="00F9229D">
      <w:pPr>
        <w:rPr>
          <w:b/>
          <w:sz w:val="22"/>
        </w:rPr>
      </w:pPr>
      <w:r w:rsidRPr="00F9229D">
        <w:rPr>
          <w:b/>
          <w:sz w:val="22"/>
        </w:rPr>
        <w:t>VII Statistical Significance Testing</w:t>
      </w:r>
    </w:p>
    <w:p w:rsidR="00F9229D" w:rsidRDefault="00F9229D" w:rsidP="00F9229D">
      <w:pPr>
        <w:jc w:val="both"/>
      </w:pPr>
    </w:p>
    <w:p w:rsidR="00F9229D" w:rsidRPr="00F9229D" w:rsidRDefault="00F9229D" w:rsidP="00F9229D">
      <w:pPr>
        <w:jc w:val="both"/>
      </w:pPr>
      <w:r w:rsidRPr="00F9229D">
        <w:t>To validate whether the performance improvement of the proposed GAN model is statistically significant paired t test was applied between the GAN model and each baseline model.</w:t>
      </w:r>
    </w:p>
    <w:p w:rsidR="00F9229D" w:rsidRPr="00F9229D" w:rsidRDefault="00F9229D" w:rsidP="00F9229D">
      <w:pPr>
        <w:jc w:val="both"/>
      </w:pPr>
      <w:r w:rsidRPr="00F9229D">
        <w:t>The significance level was set to p less than zero point zero five.</w:t>
      </w:r>
    </w:p>
    <w:p w:rsidR="00F9229D" w:rsidRPr="00F9229D" w:rsidRDefault="00F9229D" w:rsidP="00F9229D">
      <w:pPr>
        <w:jc w:val="both"/>
      </w:pPr>
      <w:r w:rsidRPr="00F9229D">
        <w:t>The statistical results confirm that the improvement achieved by the GAN model is significant and not due to random variation.</w:t>
      </w:r>
    </w:p>
    <w:p w:rsidR="00F9229D" w:rsidRPr="00F9229D" w:rsidRDefault="00F9229D" w:rsidP="00F9229D">
      <w:pPr>
        <w:jc w:val="both"/>
      </w:pPr>
      <w:r w:rsidRPr="00F9229D">
        <w:t>Additionally one way ANOVA test was conducted to compare all models simultaneously. The ANOVA results further support the superiority of the proposed approach</w:t>
      </w:r>
      <w:r w:rsidR="00397A05">
        <w:t>.</w:t>
      </w:r>
    </w:p>
    <w:p w:rsidR="00F9229D" w:rsidRPr="00F9229D" w:rsidRDefault="00F9229D" w:rsidP="00F9229D">
      <w:pPr>
        <w:jc w:val="both"/>
      </w:pPr>
    </w:p>
    <w:p w:rsidR="0090107D" w:rsidRPr="0090107D" w:rsidRDefault="0090107D" w:rsidP="0090107D">
      <w:pPr>
        <w:pStyle w:val="HTMLPreformatted"/>
        <w:wordWrap w:val="0"/>
        <w:spacing w:line="299" w:lineRule="atLeast"/>
        <w:jc w:val="center"/>
        <w:rPr>
          <w:rFonts w:ascii="Times New Roman" w:hAnsi="Times New Roman" w:cs="Times New Roman"/>
          <w:b/>
          <w:szCs w:val="18"/>
        </w:rPr>
      </w:pPr>
      <w:r w:rsidRPr="0090107D">
        <w:rPr>
          <w:rStyle w:val="token"/>
          <w:rFonts w:ascii="Times New Roman" w:hAnsi="Times New Roman" w:cs="Times New Roman"/>
          <w:b/>
          <w:szCs w:val="18"/>
        </w:rPr>
        <w:t>STATISTICAL SIGNIFICANCE TESTING AND VALIDATION</w:t>
      </w:r>
    </w:p>
    <w:p w:rsidR="005D4AF8" w:rsidRDefault="005D4AF8" w:rsidP="00440F4A">
      <w:pPr>
        <w:pStyle w:val="Heading3"/>
        <w:tabs>
          <w:tab w:val="clear" w:pos="3647"/>
        </w:tabs>
        <w:jc w:val="center"/>
        <w:rPr>
          <w:b/>
          <w:i w:val="0"/>
          <w:lang w:val="en-US"/>
        </w:rPr>
      </w:pPr>
    </w:p>
    <w:p w:rsidR="00440F4A" w:rsidRDefault="00440F4A" w:rsidP="00440F4A">
      <w:pPr>
        <w:pStyle w:val="Heading3"/>
        <w:tabs>
          <w:tab w:val="clear" w:pos="3647"/>
        </w:tabs>
        <w:jc w:val="center"/>
        <w:rPr>
          <w:b/>
          <w:i w:val="0"/>
          <w:lang w:val="en-US"/>
        </w:rPr>
      </w:pPr>
      <w:r w:rsidRPr="00440F4A">
        <w:rPr>
          <w:b/>
          <w:i w:val="0"/>
        </w:rPr>
        <w:t>Paired t Test</w:t>
      </w:r>
    </w:p>
    <w:p w:rsidR="005D4AF8" w:rsidRPr="005D4AF8" w:rsidRDefault="005D4AF8" w:rsidP="005D4AF8">
      <w:pPr>
        <w:pStyle w:val="BodyText"/>
        <w:rPr>
          <w:lang w:eastAsia="ja-JP"/>
        </w:rPr>
      </w:pPr>
    </w:p>
    <w:tbl>
      <w:tblPr>
        <w:tblW w:w="5423" w:type="dxa"/>
        <w:tblCellSpacing w:w="15" w:type="dxa"/>
        <w:tblCellMar>
          <w:top w:w="15" w:type="dxa"/>
          <w:left w:w="15" w:type="dxa"/>
          <w:bottom w:w="15" w:type="dxa"/>
          <w:right w:w="15" w:type="dxa"/>
        </w:tblCellMar>
        <w:tblLook w:val="04A0"/>
      </w:tblPr>
      <w:tblGrid>
        <w:gridCol w:w="2880"/>
        <w:gridCol w:w="993"/>
        <w:gridCol w:w="425"/>
        <w:gridCol w:w="1125"/>
      </w:tblGrid>
      <w:tr w:rsidR="002A4AE2" w:rsidTr="00DE3FAC">
        <w:trPr>
          <w:trHeight w:val="265"/>
          <w:tblHeader/>
          <w:tblCellSpacing w:w="15" w:type="dxa"/>
        </w:trPr>
        <w:tc>
          <w:tcPr>
            <w:tcW w:w="2835" w:type="dxa"/>
            <w:tcBorders>
              <w:top w:val="single" w:sz="4" w:space="0" w:color="auto"/>
              <w:bottom w:val="single" w:sz="4" w:space="0" w:color="auto"/>
            </w:tcBorders>
            <w:shd w:val="clear" w:color="auto" w:fill="BFBFBF"/>
            <w:vAlign w:val="center"/>
            <w:hideMark/>
          </w:tcPr>
          <w:p w:rsidR="002A4AE2" w:rsidRDefault="002A4AE2">
            <w:pPr>
              <w:rPr>
                <w:b/>
                <w:bCs/>
                <w:sz w:val="24"/>
                <w:szCs w:val="24"/>
              </w:rPr>
            </w:pPr>
            <w:r>
              <w:rPr>
                <w:b/>
                <w:bCs/>
              </w:rPr>
              <w:lastRenderedPageBreak/>
              <w:t>Comparison</w:t>
            </w:r>
          </w:p>
        </w:tc>
        <w:tc>
          <w:tcPr>
            <w:tcW w:w="963" w:type="dxa"/>
            <w:tcBorders>
              <w:top w:val="single" w:sz="4" w:space="0" w:color="auto"/>
              <w:bottom w:val="single" w:sz="4" w:space="0" w:color="auto"/>
            </w:tcBorders>
            <w:shd w:val="clear" w:color="auto" w:fill="BFBFBF"/>
            <w:vAlign w:val="center"/>
            <w:hideMark/>
          </w:tcPr>
          <w:p w:rsidR="002A4AE2" w:rsidRDefault="002A4AE2">
            <w:pPr>
              <w:rPr>
                <w:b/>
                <w:bCs/>
                <w:sz w:val="24"/>
                <w:szCs w:val="24"/>
              </w:rPr>
            </w:pPr>
            <w:r>
              <w:rPr>
                <w:b/>
                <w:bCs/>
              </w:rPr>
              <w:t>t statistic</w:t>
            </w:r>
          </w:p>
        </w:tc>
        <w:tc>
          <w:tcPr>
            <w:tcW w:w="395" w:type="dxa"/>
            <w:tcBorders>
              <w:top w:val="single" w:sz="4" w:space="0" w:color="auto"/>
              <w:bottom w:val="single" w:sz="4" w:space="0" w:color="auto"/>
            </w:tcBorders>
            <w:shd w:val="clear" w:color="auto" w:fill="BFBFBF"/>
            <w:vAlign w:val="center"/>
            <w:hideMark/>
          </w:tcPr>
          <w:p w:rsidR="002A4AE2" w:rsidRDefault="002A4AE2">
            <w:pPr>
              <w:rPr>
                <w:b/>
                <w:bCs/>
                <w:sz w:val="24"/>
                <w:szCs w:val="24"/>
              </w:rPr>
            </w:pPr>
            <w:r>
              <w:rPr>
                <w:b/>
                <w:bCs/>
              </w:rPr>
              <w:t>df</w:t>
            </w:r>
          </w:p>
        </w:tc>
        <w:tc>
          <w:tcPr>
            <w:tcW w:w="1080" w:type="dxa"/>
            <w:tcBorders>
              <w:top w:val="single" w:sz="4" w:space="0" w:color="auto"/>
              <w:bottom w:val="single" w:sz="4" w:space="0" w:color="auto"/>
            </w:tcBorders>
            <w:shd w:val="clear" w:color="auto" w:fill="BFBFBF"/>
            <w:vAlign w:val="center"/>
            <w:hideMark/>
          </w:tcPr>
          <w:p w:rsidR="002A4AE2" w:rsidRDefault="002A4AE2">
            <w:pPr>
              <w:rPr>
                <w:b/>
                <w:bCs/>
                <w:sz w:val="24"/>
                <w:szCs w:val="24"/>
              </w:rPr>
            </w:pPr>
            <w:r>
              <w:rPr>
                <w:b/>
                <w:bCs/>
              </w:rPr>
              <w:t>p value</w:t>
            </w:r>
          </w:p>
        </w:tc>
      </w:tr>
      <w:tr w:rsidR="002A4AE2" w:rsidTr="00DE3FAC">
        <w:trPr>
          <w:trHeight w:val="250"/>
          <w:tblCellSpacing w:w="15" w:type="dxa"/>
        </w:trPr>
        <w:tc>
          <w:tcPr>
            <w:tcW w:w="2835" w:type="dxa"/>
            <w:vAlign w:val="center"/>
            <w:hideMark/>
          </w:tcPr>
          <w:p w:rsidR="002A4AE2" w:rsidRDefault="002A4AE2">
            <w:pPr>
              <w:rPr>
                <w:sz w:val="24"/>
                <w:szCs w:val="24"/>
              </w:rPr>
            </w:pPr>
            <w:r>
              <w:t>GAN CycleGAN vs Standard GAN</w:t>
            </w:r>
          </w:p>
        </w:tc>
        <w:tc>
          <w:tcPr>
            <w:tcW w:w="963" w:type="dxa"/>
            <w:vAlign w:val="center"/>
            <w:hideMark/>
          </w:tcPr>
          <w:p w:rsidR="002A4AE2" w:rsidRDefault="002A4AE2">
            <w:pPr>
              <w:rPr>
                <w:sz w:val="24"/>
                <w:szCs w:val="24"/>
              </w:rPr>
            </w:pPr>
            <w:r>
              <w:t>5.23</w:t>
            </w:r>
          </w:p>
        </w:tc>
        <w:tc>
          <w:tcPr>
            <w:tcW w:w="395" w:type="dxa"/>
            <w:vAlign w:val="center"/>
            <w:hideMark/>
          </w:tcPr>
          <w:p w:rsidR="002A4AE2" w:rsidRDefault="002A4AE2">
            <w:pPr>
              <w:rPr>
                <w:sz w:val="24"/>
                <w:szCs w:val="24"/>
              </w:rPr>
            </w:pPr>
            <w:r>
              <w:t>9</w:t>
            </w:r>
          </w:p>
        </w:tc>
        <w:tc>
          <w:tcPr>
            <w:tcW w:w="1080" w:type="dxa"/>
            <w:vAlign w:val="center"/>
            <w:hideMark/>
          </w:tcPr>
          <w:p w:rsidR="002A4AE2" w:rsidRDefault="002A4AE2">
            <w:pPr>
              <w:rPr>
                <w:sz w:val="24"/>
                <w:szCs w:val="24"/>
              </w:rPr>
            </w:pPr>
            <w:r>
              <w:t>0.0005</w:t>
            </w:r>
          </w:p>
        </w:tc>
      </w:tr>
      <w:tr w:rsidR="002A4AE2" w:rsidTr="00DE3FAC">
        <w:trPr>
          <w:trHeight w:val="250"/>
          <w:tblCellSpacing w:w="15" w:type="dxa"/>
        </w:trPr>
        <w:tc>
          <w:tcPr>
            <w:tcW w:w="2835" w:type="dxa"/>
            <w:vAlign w:val="center"/>
            <w:hideMark/>
          </w:tcPr>
          <w:p w:rsidR="002A4AE2" w:rsidRDefault="002A4AE2">
            <w:pPr>
              <w:rPr>
                <w:sz w:val="24"/>
                <w:szCs w:val="24"/>
              </w:rPr>
            </w:pPr>
            <w:r>
              <w:t>GAN CycleGAN vs LSTM</w:t>
            </w:r>
          </w:p>
        </w:tc>
        <w:tc>
          <w:tcPr>
            <w:tcW w:w="963" w:type="dxa"/>
            <w:vAlign w:val="center"/>
            <w:hideMark/>
          </w:tcPr>
          <w:p w:rsidR="002A4AE2" w:rsidRDefault="002A4AE2">
            <w:pPr>
              <w:rPr>
                <w:sz w:val="24"/>
                <w:szCs w:val="24"/>
              </w:rPr>
            </w:pPr>
            <w:r>
              <w:t>14.67</w:t>
            </w:r>
          </w:p>
        </w:tc>
        <w:tc>
          <w:tcPr>
            <w:tcW w:w="395" w:type="dxa"/>
            <w:vAlign w:val="center"/>
            <w:hideMark/>
          </w:tcPr>
          <w:p w:rsidR="002A4AE2" w:rsidRDefault="002A4AE2">
            <w:pPr>
              <w:rPr>
                <w:sz w:val="24"/>
                <w:szCs w:val="24"/>
              </w:rPr>
            </w:pPr>
            <w:r>
              <w:t>9</w:t>
            </w:r>
          </w:p>
        </w:tc>
        <w:tc>
          <w:tcPr>
            <w:tcW w:w="1080" w:type="dxa"/>
            <w:vAlign w:val="center"/>
            <w:hideMark/>
          </w:tcPr>
          <w:p w:rsidR="002A4AE2" w:rsidRDefault="002A4AE2">
            <w:pPr>
              <w:rPr>
                <w:sz w:val="24"/>
                <w:szCs w:val="24"/>
              </w:rPr>
            </w:pPr>
            <w:r>
              <w:t>&lt;0.0001</w:t>
            </w:r>
          </w:p>
        </w:tc>
      </w:tr>
      <w:tr w:rsidR="002A4AE2" w:rsidTr="00DE3FAC">
        <w:trPr>
          <w:trHeight w:val="250"/>
          <w:tblCellSpacing w:w="15" w:type="dxa"/>
        </w:trPr>
        <w:tc>
          <w:tcPr>
            <w:tcW w:w="2835" w:type="dxa"/>
            <w:vAlign w:val="center"/>
            <w:hideMark/>
          </w:tcPr>
          <w:p w:rsidR="002A4AE2" w:rsidRDefault="002A4AE2">
            <w:pPr>
              <w:rPr>
                <w:sz w:val="24"/>
                <w:szCs w:val="24"/>
              </w:rPr>
            </w:pPr>
            <w:r>
              <w:t>GAN CycleGAN vs CNN</w:t>
            </w:r>
          </w:p>
        </w:tc>
        <w:tc>
          <w:tcPr>
            <w:tcW w:w="963" w:type="dxa"/>
            <w:vAlign w:val="center"/>
            <w:hideMark/>
          </w:tcPr>
          <w:p w:rsidR="002A4AE2" w:rsidRDefault="002A4AE2">
            <w:pPr>
              <w:rPr>
                <w:sz w:val="24"/>
                <w:szCs w:val="24"/>
              </w:rPr>
            </w:pPr>
            <w:r>
              <w:t>18.92</w:t>
            </w:r>
          </w:p>
        </w:tc>
        <w:tc>
          <w:tcPr>
            <w:tcW w:w="395" w:type="dxa"/>
            <w:vAlign w:val="center"/>
            <w:hideMark/>
          </w:tcPr>
          <w:p w:rsidR="002A4AE2" w:rsidRDefault="002A4AE2">
            <w:pPr>
              <w:rPr>
                <w:sz w:val="24"/>
                <w:szCs w:val="24"/>
              </w:rPr>
            </w:pPr>
            <w:r>
              <w:t>9</w:t>
            </w:r>
          </w:p>
        </w:tc>
        <w:tc>
          <w:tcPr>
            <w:tcW w:w="1080" w:type="dxa"/>
            <w:vAlign w:val="center"/>
            <w:hideMark/>
          </w:tcPr>
          <w:p w:rsidR="002A4AE2" w:rsidRDefault="002A4AE2">
            <w:pPr>
              <w:rPr>
                <w:sz w:val="24"/>
                <w:szCs w:val="24"/>
              </w:rPr>
            </w:pPr>
            <w:r>
              <w:t>&lt;0.0001</w:t>
            </w:r>
          </w:p>
        </w:tc>
      </w:tr>
      <w:tr w:rsidR="002A4AE2" w:rsidTr="00DE3FAC">
        <w:trPr>
          <w:trHeight w:val="250"/>
          <w:tblCellSpacing w:w="15" w:type="dxa"/>
        </w:trPr>
        <w:tc>
          <w:tcPr>
            <w:tcW w:w="2835" w:type="dxa"/>
            <w:vAlign w:val="center"/>
            <w:hideMark/>
          </w:tcPr>
          <w:p w:rsidR="002A4AE2" w:rsidRDefault="002A4AE2">
            <w:pPr>
              <w:rPr>
                <w:sz w:val="24"/>
                <w:szCs w:val="24"/>
              </w:rPr>
            </w:pPr>
            <w:r>
              <w:t>GAN CycleGAN vs SVM</w:t>
            </w:r>
          </w:p>
        </w:tc>
        <w:tc>
          <w:tcPr>
            <w:tcW w:w="963" w:type="dxa"/>
            <w:vAlign w:val="center"/>
            <w:hideMark/>
          </w:tcPr>
          <w:p w:rsidR="002A4AE2" w:rsidRDefault="002A4AE2">
            <w:pPr>
              <w:rPr>
                <w:sz w:val="24"/>
                <w:szCs w:val="24"/>
              </w:rPr>
            </w:pPr>
            <w:r>
              <w:t>25.34</w:t>
            </w:r>
          </w:p>
        </w:tc>
        <w:tc>
          <w:tcPr>
            <w:tcW w:w="395" w:type="dxa"/>
            <w:vAlign w:val="center"/>
            <w:hideMark/>
          </w:tcPr>
          <w:p w:rsidR="002A4AE2" w:rsidRDefault="002A4AE2">
            <w:pPr>
              <w:rPr>
                <w:sz w:val="24"/>
                <w:szCs w:val="24"/>
              </w:rPr>
            </w:pPr>
            <w:r>
              <w:t>9</w:t>
            </w:r>
          </w:p>
        </w:tc>
        <w:tc>
          <w:tcPr>
            <w:tcW w:w="1080" w:type="dxa"/>
            <w:vAlign w:val="center"/>
            <w:hideMark/>
          </w:tcPr>
          <w:p w:rsidR="002A4AE2" w:rsidRDefault="002A4AE2">
            <w:pPr>
              <w:rPr>
                <w:sz w:val="24"/>
                <w:szCs w:val="24"/>
              </w:rPr>
            </w:pPr>
            <w:r>
              <w:t>&lt;0.0001</w:t>
            </w:r>
          </w:p>
        </w:tc>
      </w:tr>
      <w:tr w:rsidR="002A4AE2" w:rsidTr="00DE3FAC">
        <w:trPr>
          <w:trHeight w:val="250"/>
          <w:tblCellSpacing w:w="15" w:type="dxa"/>
        </w:trPr>
        <w:tc>
          <w:tcPr>
            <w:tcW w:w="2835" w:type="dxa"/>
            <w:vAlign w:val="center"/>
            <w:hideMark/>
          </w:tcPr>
          <w:p w:rsidR="002A4AE2" w:rsidRDefault="002A4AE2">
            <w:pPr>
              <w:rPr>
                <w:sz w:val="24"/>
                <w:szCs w:val="24"/>
              </w:rPr>
            </w:pPr>
            <w:r>
              <w:t>Standard GAN vs LSTM</w:t>
            </w:r>
          </w:p>
        </w:tc>
        <w:tc>
          <w:tcPr>
            <w:tcW w:w="963" w:type="dxa"/>
            <w:vAlign w:val="center"/>
            <w:hideMark/>
          </w:tcPr>
          <w:p w:rsidR="002A4AE2" w:rsidRDefault="002A4AE2">
            <w:pPr>
              <w:rPr>
                <w:sz w:val="24"/>
                <w:szCs w:val="24"/>
              </w:rPr>
            </w:pPr>
            <w:r>
              <w:t>8.45</w:t>
            </w:r>
          </w:p>
        </w:tc>
        <w:tc>
          <w:tcPr>
            <w:tcW w:w="395" w:type="dxa"/>
            <w:vAlign w:val="center"/>
            <w:hideMark/>
          </w:tcPr>
          <w:p w:rsidR="002A4AE2" w:rsidRDefault="002A4AE2">
            <w:pPr>
              <w:rPr>
                <w:sz w:val="24"/>
                <w:szCs w:val="24"/>
              </w:rPr>
            </w:pPr>
            <w:r>
              <w:t>9</w:t>
            </w:r>
          </w:p>
        </w:tc>
        <w:tc>
          <w:tcPr>
            <w:tcW w:w="1080" w:type="dxa"/>
            <w:vAlign w:val="center"/>
            <w:hideMark/>
          </w:tcPr>
          <w:p w:rsidR="002A4AE2" w:rsidRDefault="002A4AE2">
            <w:pPr>
              <w:rPr>
                <w:sz w:val="24"/>
                <w:szCs w:val="24"/>
              </w:rPr>
            </w:pPr>
            <w:r>
              <w:t>0.00001</w:t>
            </w:r>
          </w:p>
        </w:tc>
      </w:tr>
      <w:tr w:rsidR="002A4AE2" w:rsidTr="00DE3FAC">
        <w:trPr>
          <w:trHeight w:val="250"/>
          <w:tblCellSpacing w:w="15" w:type="dxa"/>
        </w:trPr>
        <w:tc>
          <w:tcPr>
            <w:tcW w:w="2835" w:type="dxa"/>
            <w:vAlign w:val="center"/>
            <w:hideMark/>
          </w:tcPr>
          <w:p w:rsidR="002A4AE2" w:rsidRDefault="002A4AE2">
            <w:pPr>
              <w:rPr>
                <w:sz w:val="24"/>
                <w:szCs w:val="24"/>
              </w:rPr>
            </w:pPr>
            <w:r>
              <w:t>Standard GAN vs CNN</w:t>
            </w:r>
          </w:p>
        </w:tc>
        <w:tc>
          <w:tcPr>
            <w:tcW w:w="963" w:type="dxa"/>
            <w:vAlign w:val="center"/>
            <w:hideMark/>
          </w:tcPr>
          <w:p w:rsidR="002A4AE2" w:rsidRDefault="002A4AE2">
            <w:pPr>
              <w:rPr>
                <w:sz w:val="24"/>
                <w:szCs w:val="24"/>
              </w:rPr>
            </w:pPr>
            <w:r>
              <w:t>12.34</w:t>
            </w:r>
          </w:p>
        </w:tc>
        <w:tc>
          <w:tcPr>
            <w:tcW w:w="395" w:type="dxa"/>
            <w:vAlign w:val="center"/>
            <w:hideMark/>
          </w:tcPr>
          <w:p w:rsidR="002A4AE2" w:rsidRDefault="002A4AE2">
            <w:pPr>
              <w:rPr>
                <w:sz w:val="24"/>
                <w:szCs w:val="24"/>
              </w:rPr>
            </w:pPr>
            <w:r>
              <w:t>9</w:t>
            </w:r>
          </w:p>
        </w:tc>
        <w:tc>
          <w:tcPr>
            <w:tcW w:w="1080" w:type="dxa"/>
            <w:vAlign w:val="center"/>
            <w:hideMark/>
          </w:tcPr>
          <w:p w:rsidR="002A4AE2" w:rsidRDefault="002A4AE2">
            <w:pPr>
              <w:rPr>
                <w:sz w:val="24"/>
                <w:szCs w:val="24"/>
              </w:rPr>
            </w:pPr>
            <w:r>
              <w:t>&lt;0.0001</w:t>
            </w:r>
          </w:p>
        </w:tc>
      </w:tr>
      <w:tr w:rsidR="002A4AE2" w:rsidTr="00DE3FAC">
        <w:trPr>
          <w:trHeight w:val="234"/>
          <w:tblCellSpacing w:w="15" w:type="dxa"/>
        </w:trPr>
        <w:tc>
          <w:tcPr>
            <w:tcW w:w="2835" w:type="dxa"/>
            <w:tcBorders>
              <w:top w:val="single" w:sz="4" w:space="0" w:color="auto"/>
              <w:bottom w:val="single" w:sz="4" w:space="0" w:color="auto"/>
            </w:tcBorders>
            <w:vAlign w:val="center"/>
            <w:hideMark/>
          </w:tcPr>
          <w:p w:rsidR="002A4AE2" w:rsidRDefault="002A4AE2">
            <w:pPr>
              <w:rPr>
                <w:sz w:val="24"/>
                <w:szCs w:val="24"/>
              </w:rPr>
            </w:pPr>
            <w:r>
              <w:t>LSTM vs CNN</w:t>
            </w:r>
          </w:p>
        </w:tc>
        <w:tc>
          <w:tcPr>
            <w:tcW w:w="963" w:type="dxa"/>
            <w:tcBorders>
              <w:top w:val="single" w:sz="4" w:space="0" w:color="auto"/>
              <w:bottom w:val="single" w:sz="4" w:space="0" w:color="auto"/>
            </w:tcBorders>
            <w:vAlign w:val="center"/>
            <w:hideMark/>
          </w:tcPr>
          <w:p w:rsidR="002A4AE2" w:rsidRDefault="002A4AE2">
            <w:pPr>
              <w:rPr>
                <w:sz w:val="24"/>
                <w:szCs w:val="24"/>
              </w:rPr>
            </w:pPr>
            <w:r>
              <w:t>3.21</w:t>
            </w:r>
          </w:p>
        </w:tc>
        <w:tc>
          <w:tcPr>
            <w:tcW w:w="395" w:type="dxa"/>
            <w:tcBorders>
              <w:top w:val="single" w:sz="4" w:space="0" w:color="auto"/>
              <w:bottom w:val="single" w:sz="4" w:space="0" w:color="auto"/>
            </w:tcBorders>
            <w:vAlign w:val="center"/>
            <w:hideMark/>
          </w:tcPr>
          <w:p w:rsidR="002A4AE2" w:rsidRDefault="002A4AE2">
            <w:pPr>
              <w:rPr>
                <w:sz w:val="24"/>
                <w:szCs w:val="24"/>
              </w:rPr>
            </w:pPr>
            <w:r>
              <w:t>9</w:t>
            </w:r>
          </w:p>
        </w:tc>
        <w:tc>
          <w:tcPr>
            <w:tcW w:w="1080" w:type="dxa"/>
            <w:tcBorders>
              <w:top w:val="single" w:sz="4" w:space="0" w:color="auto"/>
              <w:bottom w:val="single" w:sz="4" w:space="0" w:color="auto"/>
            </w:tcBorders>
            <w:vAlign w:val="center"/>
            <w:hideMark/>
          </w:tcPr>
          <w:p w:rsidR="002A4AE2" w:rsidRDefault="002A4AE2">
            <w:pPr>
              <w:rPr>
                <w:sz w:val="24"/>
                <w:szCs w:val="24"/>
              </w:rPr>
            </w:pPr>
            <w:r>
              <w:t>0.011</w:t>
            </w:r>
          </w:p>
        </w:tc>
      </w:tr>
    </w:tbl>
    <w:p w:rsidR="00440F4A" w:rsidRDefault="00440F4A" w:rsidP="00440F4A"/>
    <w:p w:rsidR="005D4AF8" w:rsidRDefault="00440F4A" w:rsidP="005D4AF8">
      <w:pPr>
        <w:pStyle w:val="Heading3"/>
        <w:tabs>
          <w:tab w:val="clear" w:pos="3647"/>
        </w:tabs>
        <w:ind w:firstLine="0"/>
        <w:jc w:val="center"/>
        <w:rPr>
          <w:b/>
          <w:i w:val="0"/>
          <w:lang w:val="en-US"/>
        </w:rPr>
      </w:pPr>
      <w:r w:rsidRPr="002A4AE2">
        <w:rPr>
          <w:b/>
          <w:i w:val="0"/>
        </w:rPr>
        <w:t xml:space="preserve">One Way ANOVA </w:t>
      </w:r>
    </w:p>
    <w:p w:rsidR="005D4AF8" w:rsidRPr="005D4AF8" w:rsidRDefault="005D4AF8" w:rsidP="005D4AF8">
      <w:pPr>
        <w:pStyle w:val="BodyText"/>
        <w:rPr>
          <w:lang w:eastAsia="ja-JP"/>
        </w:rPr>
      </w:pPr>
    </w:p>
    <w:tbl>
      <w:tblPr>
        <w:tblW w:w="5433" w:type="dxa"/>
        <w:tblCellSpacing w:w="15" w:type="dxa"/>
        <w:tblCellMar>
          <w:top w:w="15" w:type="dxa"/>
          <w:left w:w="15" w:type="dxa"/>
          <w:bottom w:w="15" w:type="dxa"/>
          <w:right w:w="15" w:type="dxa"/>
        </w:tblCellMar>
        <w:tblLook w:val="04A0"/>
      </w:tblPr>
      <w:tblGrid>
        <w:gridCol w:w="1605"/>
        <w:gridCol w:w="888"/>
        <w:gridCol w:w="315"/>
        <w:gridCol w:w="626"/>
        <w:gridCol w:w="1006"/>
        <w:gridCol w:w="993"/>
      </w:tblGrid>
      <w:tr w:rsidR="00440F4A" w:rsidTr="00DE3FAC">
        <w:trPr>
          <w:trHeight w:val="273"/>
          <w:tblHeader/>
          <w:tblCellSpacing w:w="15" w:type="dxa"/>
        </w:trPr>
        <w:tc>
          <w:tcPr>
            <w:tcW w:w="1560" w:type="dxa"/>
            <w:tcBorders>
              <w:top w:val="single" w:sz="4" w:space="0" w:color="auto"/>
              <w:bottom w:val="single" w:sz="4" w:space="0" w:color="auto"/>
            </w:tcBorders>
            <w:shd w:val="clear" w:color="auto" w:fill="BFBFBF"/>
            <w:vAlign w:val="center"/>
            <w:hideMark/>
          </w:tcPr>
          <w:p w:rsidR="00440F4A" w:rsidRDefault="00440F4A">
            <w:pPr>
              <w:rPr>
                <w:b/>
                <w:bCs/>
                <w:sz w:val="24"/>
                <w:szCs w:val="24"/>
              </w:rPr>
            </w:pPr>
            <w:r>
              <w:rPr>
                <w:b/>
                <w:bCs/>
              </w:rPr>
              <w:t>Source</w:t>
            </w:r>
          </w:p>
        </w:tc>
        <w:tc>
          <w:tcPr>
            <w:tcW w:w="858" w:type="dxa"/>
            <w:tcBorders>
              <w:top w:val="single" w:sz="4" w:space="0" w:color="auto"/>
              <w:bottom w:val="single" w:sz="4" w:space="0" w:color="auto"/>
            </w:tcBorders>
            <w:shd w:val="clear" w:color="auto" w:fill="BFBFBF"/>
            <w:vAlign w:val="center"/>
            <w:hideMark/>
          </w:tcPr>
          <w:p w:rsidR="00440F4A" w:rsidRDefault="00440F4A">
            <w:pPr>
              <w:rPr>
                <w:b/>
                <w:bCs/>
                <w:sz w:val="24"/>
                <w:szCs w:val="24"/>
              </w:rPr>
            </w:pPr>
            <w:r>
              <w:rPr>
                <w:b/>
                <w:bCs/>
              </w:rPr>
              <w:t>SS</w:t>
            </w:r>
          </w:p>
        </w:tc>
        <w:tc>
          <w:tcPr>
            <w:tcW w:w="0" w:type="auto"/>
            <w:tcBorders>
              <w:top w:val="single" w:sz="4" w:space="0" w:color="auto"/>
              <w:bottom w:val="single" w:sz="4" w:space="0" w:color="auto"/>
            </w:tcBorders>
            <w:shd w:val="clear" w:color="auto" w:fill="BFBFBF"/>
            <w:vAlign w:val="center"/>
            <w:hideMark/>
          </w:tcPr>
          <w:p w:rsidR="00440F4A" w:rsidRDefault="00440F4A">
            <w:pPr>
              <w:rPr>
                <w:b/>
                <w:bCs/>
                <w:sz w:val="24"/>
                <w:szCs w:val="24"/>
              </w:rPr>
            </w:pPr>
            <w:r>
              <w:rPr>
                <w:b/>
                <w:bCs/>
              </w:rPr>
              <w:t>df</w:t>
            </w:r>
          </w:p>
        </w:tc>
        <w:tc>
          <w:tcPr>
            <w:tcW w:w="0" w:type="auto"/>
            <w:tcBorders>
              <w:top w:val="single" w:sz="4" w:space="0" w:color="auto"/>
              <w:bottom w:val="single" w:sz="4" w:space="0" w:color="auto"/>
            </w:tcBorders>
            <w:shd w:val="clear" w:color="auto" w:fill="BFBFBF"/>
            <w:vAlign w:val="center"/>
            <w:hideMark/>
          </w:tcPr>
          <w:p w:rsidR="00440F4A" w:rsidRDefault="00440F4A">
            <w:pPr>
              <w:rPr>
                <w:b/>
                <w:bCs/>
                <w:sz w:val="24"/>
                <w:szCs w:val="24"/>
              </w:rPr>
            </w:pPr>
            <w:r>
              <w:rPr>
                <w:b/>
                <w:bCs/>
              </w:rPr>
              <w:t>MS</w:t>
            </w:r>
          </w:p>
        </w:tc>
        <w:tc>
          <w:tcPr>
            <w:tcW w:w="976" w:type="dxa"/>
            <w:tcBorders>
              <w:top w:val="single" w:sz="4" w:space="0" w:color="auto"/>
              <w:bottom w:val="single" w:sz="4" w:space="0" w:color="auto"/>
            </w:tcBorders>
            <w:shd w:val="clear" w:color="auto" w:fill="BFBFBF"/>
            <w:vAlign w:val="center"/>
            <w:hideMark/>
          </w:tcPr>
          <w:p w:rsidR="00440F4A" w:rsidRDefault="00440F4A">
            <w:pPr>
              <w:rPr>
                <w:b/>
                <w:bCs/>
                <w:sz w:val="24"/>
                <w:szCs w:val="24"/>
              </w:rPr>
            </w:pPr>
            <w:r>
              <w:rPr>
                <w:b/>
                <w:bCs/>
              </w:rPr>
              <w:t>F statistic</w:t>
            </w:r>
          </w:p>
        </w:tc>
        <w:tc>
          <w:tcPr>
            <w:tcW w:w="948" w:type="dxa"/>
            <w:tcBorders>
              <w:top w:val="single" w:sz="4" w:space="0" w:color="auto"/>
              <w:bottom w:val="single" w:sz="4" w:space="0" w:color="auto"/>
            </w:tcBorders>
            <w:shd w:val="clear" w:color="auto" w:fill="BFBFBF"/>
            <w:vAlign w:val="center"/>
            <w:hideMark/>
          </w:tcPr>
          <w:p w:rsidR="00440F4A" w:rsidRDefault="00440F4A">
            <w:pPr>
              <w:rPr>
                <w:b/>
                <w:bCs/>
                <w:sz w:val="24"/>
                <w:szCs w:val="24"/>
              </w:rPr>
            </w:pPr>
            <w:r>
              <w:rPr>
                <w:b/>
                <w:bCs/>
              </w:rPr>
              <w:t>p value</w:t>
            </w:r>
          </w:p>
        </w:tc>
      </w:tr>
      <w:tr w:rsidR="00440F4A" w:rsidTr="00DE3FAC">
        <w:trPr>
          <w:trHeight w:val="258"/>
          <w:tblCellSpacing w:w="15" w:type="dxa"/>
        </w:trPr>
        <w:tc>
          <w:tcPr>
            <w:tcW w:w="1560" w:type="dxa"/>
            <w:vAlign w:val="center"/>
            <w:hideMark/>
          </w:tcPr>
          <w:p w:rsidR="00440F4A" w:rsidRDefault="00440F4A">
            <w:pPr>
              <w:rPr>
                <w:sz w:val="24"/>
                <w:szCs w:val="24"/>
              </w:rPr>
            </w:pPr>
            <w:r>
              <w:t>Between Groups</w:t>
            </w:r>
          </w:p>
        </w:tc>
        <w:tc>
          <w:tcPr>
            <w:tcW w:w="858" w:type="dxa"/>
            <w:vAlign w:val="center"/>
            <w:hideMark/>
          </w:tcPr>
          <w:p w:rsidR="00440F4A" w:rsidRDefault="00440F4A">
            <w:pPr>
              <w:rPr>
                <w:sz w:val="24"/>
                <w:szCs w:val="24"/>
              </w:rPr>
            </w:pPr>
            <w:r>
              <w:t>189.45</w:t>
            </w:r>
          </w:p>
        </w:tc>
        <w:tc>
          <w:tcPr>
            <w:tcW w:w="0" w:type="auto"/>
            <w:vAlign w:val="center"/>
            <w:hideMark/>
          </w:tcPr>
          <w:p w:rsidR="00440F4A" w:rsidRDefault="00440F4A">
            <w:pPr>
              <w:rPr>
                <w:sz w:val="24"/>
                <w:szCs w:val="24"/>
              </w:rPr>
            </w:pPr>
            <w:r>
              <w:t>4</w:t>
            </w:r>
          </w:p>
        </w:tc>
        <w:tc>
          <w:tcPr>
            <w:tcW w:w="0" w:type="auto"/>
            <w:vAlign w:val="center"/>
            <w:hideMark/>
          </w:tcPr>
          <w:p w:rsidR="00440F4A" w:rsidRDefault="00440F4A">
            <w:pPr>
              <w:rPr>
                <w:sz w:val="24"/>
                <w:szCs w:val="24"/>
              </w:rPr>
            </w:pPr>
            <w:r>
              <w:t>47.36</w:t>
            </w:r>
          </w:p>
        </w:tc>
        <w:tc>
          <w:tcPr>
            <w:tcW w:w="976" w:type="dxa"/>
            <w:vAlign w:val="center"/>
            <w:hideMark/>
          </w:tcPr>
          <w:p w:rsidR="00440F4A" w:rsidRDefault="00440F4A">
            <w:pPr>
              <w:rPr>
                <w:sz w:val="24"/>
                <w:szCs w:val="24"/>
              </w:rPr>
            </w:pPr>
            <w:r>
              <w:t>42.18</w:t>
            </w:r>
          </w:p>
        </w:tc>
        <w:tc>
          <w:tcPr>
            <w:tcW w:w="948" w:type="dxa"/>
            <w:vAlign w:val="center"/>
            <w:hideMark/>
          </w:tcPr>
          <w:p w:rsidR="00440F4A" w:rsidRDefault="00440F4A">
            <w:pPr>
              <w:rPr>
                <w:sz w:val="24"/>
                <w:szCs w:val="24"/>
              </w:rPr>
            </w:pPr>
            <w:r>
              <w:t>&lt;0.0001</w:t>
            </w:r>
          </w:p>
        </w:tc>
      </w:tr>
      <w:tr w:rsidR="00440F4A" w:rsidTr="00DE3FAC">
        <w:trPr>
          <w:trHeight w:val="258"/>
          <w:tblCellSpacing w:w="15" w:type="dxa"/>
        </w:trPr>
        <w:tc>
          <w:tcPr>
            <w:tcW w:w="1560" w:type="dxa"/>
            <w:vAlign w:val="center"/>
            <w:hideMark/>
          </w:tcPr>
          <w:p w:rsidR="00440F4A" w:rsidRDefault="00440F4A">
            <w:pPr>
              <w:rPr>
                <w:sz w:val="24"/>
                <w:szCs w:val="24"/>
              </w:rPr>
            </w:pPr>
            <w:r>
              <w:t>Within Groups</w:t>
            </w:r>
          </w:p>
        </w:tc>
        <w:tc>
          <w:tcPr>
            <w:tcW w:w="858" w:type="dxa"/>
            <w:vAlign w:val="center"/>
            <w:hideMark/>
          </w:tcPr>
          <w:p w:rsidR="00440F4A" w:rsidRDefault="00440F4A">
            <w:pPr>
              <w:rPr>
                <w:sz w:val="24"/>
                <w:szCs w:val="24"/>
              </w:rPr>
            </w:pPr>
            <w:r>
              <w:t>50.52</w:t>
            </w:r>
          </w:p>
        </w:tc>
        <w:tc>
          <w:tcPr>
            <w:tcW w:w="0" w:type="auto"/>
            <w:vAlign w:val="center"/>
            <w:hideMark/>
          </w:tcPr>
          <w:p w:rsidR="00440F4A" w:rsidRDefault="00440F4A">
            <w:pPr>
              <w:rPr>
                <w:sz w:val="24"/>
                <w:szCs w:val="24"/>
              </w:rPr>
            </w:pPr>
            <w:r>
              <w:t>45</w:t>
            </w:r>
          </w:p>
        </w:tc>
        <w:tc>
          <w:tcPr>
            <w:tcW w:w="0" w:type="auto"/>
            <w:vAlign w:val="center"/>
            <w:hideMark/>
          </w:tcPr>
          <w:p w:rsidR="00440F4A" w:rsidRDefault="00440F4A">
            <w:pPr>
              <w:rPr>
                <w:sz w:val="24"/>
                <w:szCs w:val="24"/>
              </w:rPr>
            </w:pPr>
            <w:r>
              <w:t>1.12</w:t>
            </w:r>
          </w:p>
        </w:tc>
        <w:tc>
          <w:tcPr>
            <w:tcW w:w="976" w:type="dxa"/>
            <w:vAlign w:val="center"/>
            <w:hideMark/>
          </w:tcPr>
          <w:p w:rsidR="00440F4A" w:rsidRDefault="00440F4A">
            <w:pPr>
              <w:rPr>
                <w:sz w:val="24"/>
                <w:szCs w:val="24"/>
              </w:rPr>
            </w:pPr>
            <w:r>
              <w:t>-</w:t>
            </w:r>
          </w:p>
        </w:tc>
        <w:tc>
          <w:tcPr>
            <w:tcW w:w="948" w:type="dxa"/>
            <w:vAlign w:val="center"/>
            <w:hideMark/>
          </w:tcPr>
          <w:p w:rsidR="00440F4A" w:rsidRDefault="00440F4A">
            <w:pPr>
              <w:rPr>
                <w:sz w:val="24"/>
                <w:szCs w:val="24"/>
              </w:rPr>
            </w:pPr>
            <w:r>
              <w:t>-</w:t>
            </w:r>
          </w:p>
        </w:tc>
      </w:tr>
      <w:tr w:rsidR="00440F4A" w:rsidTr="00DE3FAC">
        <w:trPr>
          <w:trHeight w:val="258"/>
          <w:tblCellSpacing w:w="15" w:type="dxa"/>
        </w:trPr>
        <w:tc>
          <w:tcPr>
            <w:tcW w:w="1560" w:type="dxa"/>
            <w:tcBorders>
              <w:top w:val="single" w:sz="4" w:space="0" w:color="auto"/>
              <w:bottom w:val="single" w:sz="4" w:space="0" w:color="auto"/>
            </w:tcBorders>
            <w:vAlign w:val="center"/>
            <w:hideMark/>
          </w:tcPr>
          <w:p w:rsidR="00440F4A" w:rsidRDefault="00440F4A">
            <w:pPr>
              <w:rPr>
                <w:sz w:val="24"/>
                <w:szCs w:val="24"/>
              </w:rPr>
            </w:pPr>
            <w:r>
              <w:t>Total</w:t>
            </w:r>
          </w:p>
        </w:tc>
        <w:tc>
          <w:tcPr>
            <w:tcW w:w="858" w:type="dxa"/>
            <w:tcBorders>
              <w:top w:val="single" w:sz="4" w:space="0" w:color="auto"/>
              <w:bottom w:val="single" w:sz="4" w:space="0" w:color="auto"/>
            </w:tcBorders>
            <w:vAlign w:val="center"/>
            <w:hideMark/>
          </w:tcPr>
          <w:p w:rsidR="00440F4A" w:rsidRDefault="00440F4A">
            <w:pPr>
              <w:rPr>
                <w:sz w:val="24"/>
                <w:szCs w:val="24"/>
              </w:rPr>
            </w:pPr>
            <w:r>
              <w:t>239.97</w:t>
            </w:r>
          </w:p>
        </w:tc>
        <w:tc>
          <w:tcPr>
            <w:tcW w:w="0" w:type="auto"/>
            <w:tcBorders>
              <w:top w:val="single" w:sz="4" w:space="0" w:color="auto"/>
              <w:bottom w:val="single" w:sz="4" w:space="0" w:color="auto"/>
            </w:tcBorders>
            <w:vAlign w:val="center"/>
            <w:hideMark/>
          </w:tcPr>
          <w:p w:rsidR="00440F4A" w:rsidRDefault="00440F4A">
            <w:pPr>
              <w:rPr>
                <w:sz w:val="24"/>
                <w:szCs w:val="24"/>
              </w:rPr>
            </w:pPr>
            <w:r>
              <w:t>49</w:t>
            </w:r>
          </w:p>
        </w:tc>
        <w:tc>
          <w:tcPr>
            <w:tcW w:w="0" w:type="auto"/>
            <w:tcBorders>
              <w:top w:val="single" w:sz="4" w:space="0" w:color="auto"/>
              <w:bottom w:val="single" w:sz="4" w:space="0" w:color="auto"/>
            </w:tcBorders>
            <w:vAlign w:val="center"/>
            <w:hideMark/>
          </w:tcPr>
          <w:p w:rsidR="00440F4A" w:rsidRDefault="00440F4A">
            <w:pPr>
              <w:rPr>
                <w:sz w:val="24"/>
                <w:szCs w:val="24"/>
              </w:rPr>
            </w:pPr>
            <w:r>
              <w:t>-</w:t>
            </w:r>
          </w:p>
        </w:tc>
        <w:tc>
          <w:tcPr>
            <w:tcW w:w="976" w:type="dxa"/>
            <w:tcBorders>
              <w:top w:val="single" w:sz="4" w:space="0" w:color="auto"/>
              <w:bottom w:val="single" w:sz="4" w:space="0" w:color="auto"/>
            </w:tcBorders>
            <w:vAlign w:val="center"/>
            <w:hideMark/>
          </w:tcPr>
          <w:p w:rsidR="00440F4A" w:rsidRDefault="00440F4A">
            <w:pPr>
              <w:rPr>
                <w:sz w:val="24"/>
                <w:szCs w:val="24"/>
              </w:rPr>
            </w:pPr>
            <w:r>
              <w:t>-</w:t>
            </w:r>
          </w:p>
        </w:tc>
        <w:tc>
          <w:tcPr>
            <w:tcW w:w="948" w:type="dxa"/>
            <w:tcBorders>
              <w:top w:val="single" w:sz="4" w:space="0" w:color="auto"/>
              <w:bottom w:val="single" w:sz="4" w:space="0" w:color="auto"/>
            </w:tcBorders>
            <w:vAlign w:val="center"/>
            <w:hideMark/>
          </w:tcPr>
          <w:p w:rsidR="00440F4A" w:rsidRDefault="00440F4A">
            <w:pPr>
              <w:rPr>
                <w:sz w:val="24"/>
                <w:szCs w:val="24"/>
              </w:rPr>
            </w:pPr>
            <w:r>
              <w:t>-</w:t>
            </w:r>
          </w:p>
        </w:tc>
      </w:tr>
    </w:tbl>
    <w:p w:rsidR="002A4AE2" w:rsidRDefault="002A4AE2" w:rsidP="002A4AE2">
      <w:pPr>
        <w:pStyle w:val="Heading3"/>
        <w:tabs>
          <w:tab w:val="clear" w:pos="3647"/>
        </w:tabs>
        <w:rPr>
          <w:lang w:val="en-US"/>
        </w:rPr>
      </w:pPr>
    </w:p>
    <w:p w:rsidR="00440F4A" w:rsidRDefault="00440F4A" w:rsidP="002A4AE2">
      <w:pPr>
        <w:pStyle w:val="Heading3"/>
        <w:tabs>
          <w:tab w:val="clear" w:pos="3647"/>
        </w:tabs>
        <w:jc w:val="center"/>
        <w:rPr>
          <w:b/>
          <w:i w:val="0"/>
          <w:lang w:val="en-US"/>
        </w:rPr>
      </w:pPr>
      <w:r w:rsidRPr="002A4AE2">
        <w:rPr>
          <w:b/>
          <w:i w:val="0"/>
        </w:rPr>
        <w:t>Post Hoc Analysis Tukey HSD</w:t>
      </w:r>
    </w:p>
    <w:p w:rsidR="005D4AF8" w:rsidRPr="005D4AF8" w:rsidRDefault="005D4AF8" w:rsidP="005D4AF8">
      <w:pPr>
        <w:pStyle w:val="BodyText"/>
        <w:rPr>
          <w:lang w:eastAsia="ja-JP"/>
        </w:rPr>
      </w:pPr>
    </w:p>
    <w:tbl>
      <w:tblPr>
        <w:tblW w:w="5398" w:type="dxa"/>
        <w:tblCellSpacing w:w="15" w:type="dxa"/>
        <w:tblCellMar>
          <w:top w:w="15" w:type="dxa"/>
          <w:left w:w="15" w:type="dxa"/>
          <w:bottom w:w="15" w:type="dxa"/>
          <w:right w:w="15" w:type="dxa"/>
        </w:tblCellMar>
        <w:tblLook w:val="04A0"/>
      </w:tblPr>
      <w:tblGrid>
        <w:gridCol w:w="1949"/>
        <w:gridCol w:w="1194"/>
        <w:gridCol w:w="723"/>
        <w:gridCol w:w="1532"/>
      </w:tblGrid>
      <w:tr w:rsidR="00440F4A" w:rsidTr="002A4AE2">
        <w:trPr>
          <w:trHeight w:val="480"/>
          <w:tblHeader/>
          <w:tblCellSpacing w:w="15" w:type="dxa"/>
        </w:trPr>
        <w:tc>
          <w:tcPr>
            <w:tcW w:w="0" w:type="auto"/>
            <w:tcBorders>
              <w:top w:val="single" w:sz="4" w:space="0" w:color="auto"/>
              <w:bottom w:val="single" w:sz="4" w:space="0" w:color="auto"/>
            </w:tcBorders>
            <w:shd w:val="clear" w:color="auto" w:fill="BFBFBF"/>
            <w:vAlign w:val="center"/>
            <w:hideMark/>
          </w:tcPr>
          <w:p w:rsidR="00440F4A" w:rsidRDefault="00440F4A">
            <w:pPr>
              <w:rPr>
                <w:b/>
                <w:bCs/>
                <w:sz w:val="24"/>
                <w:szCs w:val="24"/>
              </w:rPr>
            </w:pPr>
            <w:r>
              <w:rPr>
                <w:b/>
                <w:bCs/>
              </w:rPr>
              <w:t>Comparison</w:t>
            </w:r>
          </w:p>
        </w:tc>
        <w:tc>
          <w:tcPr>
            <w:tcW w:w="0" w:type="auto"/>
            <w:tcBorders>
              <w:top w:val="single" w:sz="4" w:space="0" w:color="auto"/>
              <w:bottom w:val="single" w:sz="4" w:space="0" w:color="auto"/>
            </w:tcBorders>
            <w:shd w:val="clear" w:color="auto" w:fill="BFBFBF"/>
            <w:vAlign w:val="center"/>
            <w:hideMark/>
          </w:tcPr>
          <w:p w:rsidR="00440F4A" w:rsidRDefault="00440F4A">
            <w:pPr>
              <w:rPr>
                <w:b/>
                <w:bCs/>
                <w:sz w:val="24"/>
                <w:szCs w:val="24"/>
              </w:rPr>
            </w:pPr>
            <w:r>
              <w:rPr>
                <w:b/>
                <w:bCs/>
              </w:rPr>
              <w:t>Mean Difference</w:t>
            </w:r>
          </w:p>
        </w:tc>
        <w:tc>
          <w:tcPr>
            <w:tcW w:w="0" w:type="auto"/>
            <w:tcBorders>
              <w:top w:val="single" w:sz="4" w:space="0" w:color="auto"/>
              <w:bottom w:val="single" w:sz="4" w:space="0" w:color="auto"/>
            </w:tcBorders>
            <w:shd w:val="clear" w:color="auto" w:fill="BFBFBF"/>
            <w:vAlign w:val="center"/>
            <w:hideMark/>
          </w:tcPr>
          <w:p w:rsidR="00440F4A" w:rsidRDefault="00440F4A">
            <w:pPr>
              <w:rPr>
                <w:b/>
                <w:bCs/>
                <w:sz w:val="24"/>
                <w:szCs w:val="24"/>
              </w:rPr>
            </w:pPr>
            <w:r>
              <w:rPr>
                <w:b/>
                <w:bCs/>
              </w:rPr>
              <w:t>p value</w:t>
            </w:r>
          </w:p>
        </w:tc>
        <w:tc>
          <w:tcPr>
            <w:tcW w:w="0" w:type="auto"/>
            <w:tcBorders>
              <w:top w:val="single" w:sz="4" w:space="0" w:color="auto"/>
              <w:bottom w:val="single" w:sz="4" w:space="0" w:color="auto"/>
            </w:tcBorders>
            <w:shd w:val="clear" w:color="auto" w:fill="BFBFBF"/>
            <w:vAlign w:val="center"/>
            <w:hideMark/>
          </w:tcPr>
          <w:p w:rsidR="00440F4A" w:rsidRDefault="00440F4A">
            <w:pPr>
              <w:rPr>
                <w:b/>
                <w:bCs/>
                <w:sz w:val="24"/>
                <w:szCs w:val="24"/>
              </w:rPr>
            </w:pPr>
            <w:r>
              <w:rPr>
                <w:b/>
                <w:bCs/>
              </w:rPr>
              <w:t>95 percent CI</w:t>
            </w:r>
          </w:p>
        </w:tc>
      </w:tr>
      <w:tr w:rsidR="00440F4A" w:rsidTr="002A4AE2">
        <w:trPr>
          <w:trHeight w:val="467"/>
          <w:tblCellSpacing w:w="15" w:type="dxa"/>
        </w:trPr>
        <w:tc>
          <w:tcPr>
            <w:tcW w:w="0" w:type="auto"/>
            <w:vAlign w:val="center"/>
            <w:hideMark/>
          </w:tcPr>
          <w:p w:rsidR="00440F4A" w:rsidRDefault="00440F4A">
            <w:pPr>
              <w:rPr>
                <w:sz w:val="24"/>
                <w:szCs w:val="24"/>
              </w:rPr>
            </w:pPr>
            <w:r>
              <w:t>GAN CycleGAN vs Standard GAN</w:t>
            </w:r>
          </w:p>
        </w:tc>
        <w:tc>
          <w:tcPr>
            <w:tcW w:w="0" w:type="auto"/>
            <w:vAlign w:val="center"/>
            <w:hideMark/>
          </w:tcPr>
          <w:p w:rsidR="00440F4A" w:rsidRDefault="00440F4A">
            <w:pPr>
              <w:rPr>
                <w:sz w:val="24"/>
                <w:szCs w:val="24"/>
              </w:rPr>
            </w:pPr>
            <w:r>
              <w:t>0.051 percent</w:t>
            </w:r>
          </w:p>
        </w:tc>
        <w:tc>
          <w:tcPr>
            <w:tcW w:w="0" w:type="auto"/>
            <w:vAlign w:val="center"/>
            <w:hideMark/>
          </w:tcPr>
          <w:p w:rsidR="00440F4A" w:rsidRDefault="00440F4A">
            <w:pPr>
              <w:rPr>
                <w:sz w:val="24"/>
                <w:szCs w:val="24"/>
              </w:rPr>
            </w:pPr>
            <w:r>
              <w:t>0.0003</w:t>
            </w:r>
          </w:p>
        </w:tc>
        <w:tc>
          <w:tcPr>
            <w:tcW w:w="0" w:type="auto"/>
            <w:vAlign w:val="center"/>
            <w:hideMark/>
          </w:tcPr>
          <w:p w:rsidR="00440F4A" w:rsidRDefault="00440F4A">
            <w:pPr>
              <w:rPr>
                <w:sz w:val="24"/>
                <w:szCs w:val="24"/>
              </w:rPr>
            </w:pPr>
            <w:r>
              <w:t>0.023 percent to 0.079 percent</w:t>
            </w:r>
          </w:p>
        </w:tc>
      </w:tr>
      <w:tr w:rsidR="00440F4A" w:rsidTr="002A4AE2">
        <w:trPr>
          <w:trHeight w:val="480"/>
          <w:tblCellSpacing w:w="15" w:type="dxa"/>
        </w:trPr>
        <w:tc>
          <w:tcPr>
            <w:tcW w:w="0" w:type="auto"/>
            <w:vAlign w:val="center"/>
            <w:hideMark/>
          </w:tcPr>
          <w:p w:rsidR="00440F4A" w:rsidRDefault="00440F4A">
            <w:pPr>
              <w:rPr>
                <w:sz w:val="24"/>
                <w:szCs w:val="24"/>
              </w:rPr>
            </w:pPr>
            <w:r>
              <w:t>GAN CycleGAN vs LSTM</w:t>
            </w:r>
          </w:p>
        </w:tc>
        <w:tc>
          <w:tcPr>
            <w:tcW w:w="0" w:type="auto"/>
            <w:vAlign w:val="center"/>
            <w:hideMark/>
          </w:tcPr>
          <w:p w:rsidR="00440F4A" w:rsidRDefault="00440F4A">
            <w:pPr>
              <w:rPr>
                <w:sz w:val="24"/>
                <w:szCs w:val="24"/>
              </w:rPr>
            </w:pPr>
            <w:r>
              <w:t>0.876 percent</w:t>
            </w:r>
          </w:p>
        </w:tc>
        <w:tc>
          <w:tcPr>
            <w:tcW w:w="0" w:type="auto"/>
            <w:vAlign w:val="center"/>
            <w:hideMark/>
          </w:tcPr>
          <w:p w:rsidR="00440F4A" w:rsidRDefault="00440F4A">
            <w:pPr>
              <w:rPr>
                <w:sz w:val="24"/>
                <w:szCs w:val="24"/>
              </w:rPr>
            </w:pPr>
            <w:r>
              <w:t>&lt;0.0001</w:t>
            </w:r>
          </w:p>
        </w:tc>
        <w:tc>
          <w:tcPr>
            <w:tcW w:w="0" w:type="auto"/>
            <w:vAlign w:val="center"/>
            <w:hideMark/>
          </w:tcPr>
          <w:p w:rsidR="00440F4A" w:rsidRDefault="00440F4A">
            <w:pPr>
              <w:rPr>
                <w:sz w:val="24"/>
                <w:szCs w:val="24"/>
              </w:rPr>
            </w:pPr>
            <w:r>
              <w:t>0.654 percent to 1.098 percent</w:t>
            </w:r>
          </w:p>
        </w:tc>
      </w:tr>
      <w:tr w:rsidR="00440F4A" w:rsidTr="002A4AE2">
        <w:trPr>
          <w:trHeight w:val="467"/>
          <w:tblCellSpacing w:w="15" w:type="dxa"/>
        </w:trPr>
        <w:tc>
          <w:tcPr>
            <w:tcW w:w="0" w:type="auto"/>
            <w:vAlign w:val="center"/>
            <w:hideMark/>
          </w:tcPr>
          <w:p w:rsidR="00440F4A" w:rsidRDefault="00440F4A">
            <w:pPr>
              <w:rPr>
                <w:sz w:val="24"/>
                <w:szCs w:val="24"/>
              </w:rPr>
            </w:pPr>
            <w:r>
              <w:t>GAN CycleGAN vs CNN</w:t>
            </w:r>
          </w:p>
        </w:tc>
        <w:tc>
          <w:tcPr>
            <w:tcW w:w="0" w:type="auto"/>
            <w:vAlign w:val="center"/>
            <w:hideMark/>
          </w:tcPr>
          <w:p w:rsidR="00440F4A" w:rsidRDefault="00440F4A">
            <w:pPr>
              <w:rPr>
                <w:sz w:val="24"/>
                <w:szCs w:val="24"/>
              </w:rPr>
            </w:pPr>
            <w:r>
              <w:t>1.236 percent</w:t>
            </w:r>
          </w:p>
        </w:tc>
        <w:tc>
          <w:tcPr>
            <w:tcW w:w="0" w:type="auto"/>
            <w:vAlign w:val="center"/>
            <w:hideMark/>
          </w:tcPr>
          <w:p w:rsidR="00440F4A" w:rsidRDefault="00440F4A">
            <w:pPr>
              <w:rPr>
                <w:sz w:val="24"/>
                <w:szCs w:val="24"/>
              </w:rPr>
            </w:pPr>
            <w:r>
              <w:t>&lt;0.0001</w:t>
            </w:r>
          </w:p>
        </w:tc>
        <w:tc>
          <w:tcPr>
            <w:tcW w:w="0" w:type="auto"/>
            <w:vAlign w:val="center"/>
            <w:hideMark/>
          </w:tcPr>
          <w:p w:rsidR="00440F4A" w:rsidRDefault="00440F4A">
            <w:pPr>
              <w:rPr>
                <w:sz w:val="24"/>
                <w:szCs w:val="24"/>
              </w:rPr>
            </w:pPr>
            <w:r>
              <w:t>0.987 percent to 1.485 percent</w:t>
            </w:r>
          </w:p>
        </w:tc>
      </w:tr>
      <w:tr w:rsidR="00440F4A" w:rsidTr="002A4AE2">
        <w:trPr>
          <w:trHeight w:val="467"/>
          <w:tblCellSpacing w:w="15" w:type="dxa"/>
        </w:trPr>
        <w:tc>
          <w:tcPr>
            <w:tcW w:w="0" w:type="auto"/>
            <w:tcBorders>
              <w:top w:val="single" w:sz="4" w:space="0" w:color="auto"/>
              <w:bottom w:val="single" w:sz="4" w:space="0" w:color="auto"/>
            </w:tcBorders>
            <w:vAlign w:val="center"/>
            <w:hideMark/>
          </w:tcPr>
          <w:p w:rsidR="00440F4A" w:rsidRDefault="00440F4A">
            <w:pPr>
              <w:rPr>
                <w:sz w:val="24"/>
                <w:szCs w:val="24"/>
              </w:rPr>
            </w:pPr>
            <w:r>
              <w:t>GAN CycleGAN vs SVM</w:t>
            </w:r>
          </w:p>
        </w:tc>
        <w:tc>
          <w:tcPr>
            <w:tcW w:w="0" w:type="auto"/>
            <w:tcBorders>
              <w:top w:val="single" w:sz="4" w:space="0" w:color="auto"/>
              <w:bottom w:val="single" w:sz="4" w:space="0" w:color="auto"/>
            </w:tcBorders>
            <w:vAlign w:val="center"/>
            <w:hideMark/>
          </w:tcPr>
          <w:p w:rsidR="00440F4A" w:rsidRDefault="00440F4A">
            <w:pPr>
              <w:rPr>
                <w:sz w:val="24"/>
                <w:szCs w:val="24"/>
              </w:rPr>
            </w:pPr>
            <w:r>
              <w:t>4.566 percent</w:t>
            </w:r>
          </w:p>
        </w:tc>
        <w:tc>
          <w:tcPr>
            <w:tcW w:w="0" w:type="auto"/>
            <w:tcBorders>
              <w:top w:val="single" w:sz="4" w:space="0" w:color="auto"/>
              <w:bottom w:val="single" w:sz="4" w:space="0" w:color="auto"/>
            </w:tcBorders>
            <w:vAlign w:val="center"/>
            <w:hideMark/>
          </w:tcPr>
          <w:p w:rsidR="00440F4A" w:rsidRDefault="00440F4A">
            <w:pPr>
              <w:rPr>
                <w:sz w:val="24"/>
                <w:szCs w:val="24"/>
              </w:rPr>
            </w:pPr>
            <w:r>
              <w:t>&lt;0.0001</w:t>
            </w:r>
          </w:p>
        </w:tc>
        <w:tc>
          <w:tcPr>
            <w:tcW w:w="0" w:type="auto"/>
            <w:tcBorders>
              <w:top w:val="single" w:sz="4" w:space="0" w:color="auto"/>
              <w:bottom w:val="single" w:sz="4" w:space="0" w:color="auto"/>
            </w:tcBorders>
            <w:vAlign w:val="center"/>
            <w:hideMark/>
          </w:tcPr>
          <w:p w:rsidR="00440F4A" w:rsidRDefault="00440F4A">
            <w:pPr>
              <w:rPr>
                <w:sz w:val="24"/>
                <w:szCs w:val="24"/>
              </w:rPr>
            </w:pPr>
            <w:r>
              <w:t>4.123 percent to 5.009 percent</w:t>
            </w:r>
          </w:p>
        </w:tc>
      </w:tr>
    </w:tbl>
    <w:p w:rsidR="005D4AF8" w:rsidRDefault="005D4AF8" w:rsidP="00230C29">
      <w:pPr>
        <w:jc w:val="both"/>
      </w:pPr>
    </w:p>
    <w:p w:rsidR="005D4AF8" w:rsidRDefault="005D4AF8" w:rsidP="00440F4A"/>
    <w:p w:rsidR="00440F4A" w:rsidRPr="005D4AF8" w:rsidRDefault="00440F4A" w:rsidP="005D4AF8">
      <w:pPr>
        <w:pStyle w:val="Heading3"/>
        <w:tabs>
          <w:tab w:val="clear" w:pos="3647"/>
        </w:tabs>
        <w:jc w:val="center"/>
        <w:rPr>
          <w:b/>
          <w:i w:val="0"/>
        </w:rPr>
      </w:pPr>
      <w:r w:rsidRPr="005D4AF8">
        <w:rPr>
          <w:b/>
          <w:i w:val="0"/>
        </w:rPr>
        <w:t xml:space="preserve">Confidence Intervals </w:t>
      </w:r>
    </w:p>
    <w:tbl>
      <w:tblPr>
        <w:tblW w:w="0" w:type="auto"/>
        <w:tblCellSpacing w:w="15" w:type="dxa"/>
        <w:tblCellMar>
          <w:top w:w="15" w:type="dxa"/>
          <w:left w:w="15" w:type="dxa"/>
          <w:bottom w:w="15" w:type="dxa"/>
          <w:right w:w="15" w:type="dxa"/>
        </w:tblCellMar>
        <w:tblLook w:val="04A0"/>
      </w:tblPr>
      <w:tblGrid>
        <w:gridCol w:w="1314"/>
        <w:gridCol w:w="2147"/>
        <w:gridCol w:w="1676"/>
      </w:tblGrid>
      <w:tr w:rsidR="00440F4A" w:rsidTr="005D4AF8">
        <w:trPr>
          <w:tblHeader/>
          <w:tblCellSpacing w:w="15" w:type="dxa"/>
        </w:trPr>
        <w:tc>
          <w:tcPr>
            <w:tcW w:w="0" w:type="auto"/>
            <w:tcBorders>
              <w:top w:val="single" w:sz="4" w:space="0" w:color="auto"/>
              <w:bottom w:val="single" w:sz="4" w:space="0" w:color="auto"/>
            </w:tcBorders>
            <w:shd w:val="clear" w:color="auto" w:fill="BFBFBF"/>
            <w:vAlign w:val="center"/>
            <w:hideMark/>
          </w:tcPr>
          <w:p w:rsidR="00440F4A" w:rsidRDefault="00440F4A">
            <w:pPr>
              <w:rPr>
                <w:b/>
                <w:bCs/>
                <w:sz w:val="24"/>
                <w:szCs w:val="24"/>
              </w:rPr>
            </w:pPr>
            <w:r>
              <w:rPr>
                <w:b/>
                <w:bCs/>
              </w:rPr>
              <w:t>Model</w:t>
            </w:r>
          </w:p>
        </w:tc>
        <w:tc>
          <w:tcPr>
            <w:tcW w:w="0" w:type="auto"/>
            <w:tcBorders>
              <w:top w:val="single" w:sz="4" w:space="0" w:color="auto"/>
              <w:bottom w:val="single" w:sz="4" w:space="0" w:color="auto"/>
            </w:tcBorders>
            <w:shd w:val="clear" w:color="auto" w:fill="BFBFBF"/>
            <w:vAlign w:val="center"/>
            <w:hideMark/>
          </w:tcPr>
          <w:p w:rsidR="00440F4A" w:rsidRDefault="00440F4A">
            <w:pPr>
              <w:rPr>
                <w:b/>
                <w:bCs/>
                <w:sz w:val="24"/>
                <w:szCs w:val="24"/>
              </w:rPr>
            </w:pPr>
            <w:r>
              <w:rPr>
                <w:b/>
                <w:bCs/>
              </w:rPr>
              <w:t>Accuracy CI 95 percent</w:t>
            </w:r>
          </w:p>
        </w:tc>
        <w:tc>
          <w:tcPr>
            <w:tcW w:w="0" w:type="auto"/>
            <w:tcBorders>
              <w:top w:val="single" w:sz="4" w:space="0" w:color="auto"/>
              <w:bottom w:val="single" w:sz="4" w:space="0" w:color="auto"/>
            </w:tcBorders>
            <w:shd w:val="clear" w:color="auto" w:fill="BFBFBF"/>
            <w:vAlign w:val="center"/>
            <w:hideMark/>
          </w:tcPr>
          <w:p w:rsidR="00440F4A" w:rsidRDefault="00440F4A">
            <w:pPr>
              <w:rPr>
                <w:b/>
                <w:bCs/>
                <w:sz w:val="24"/>
                <w:szCs w:val="24"/>
              </w:rPr>
            </w:pPr>
            <w:r>
              <w:rPr>
                <w:b/>
                <w:bCs/>
              </w:rPr>
              <w:t>Margin of Error</w:t>
            </w:r>
          </w:p>
        </w:tc>
      </w:tr>
      <w:tr w:rsidR="00440F4A" w:rsidTr="00440F4A">
        <w:trPr>
          <w:tblCellSpacing w:w="15" w:type="dxa"/>
        </w:trPr>
        <w:tc>
          <w:tcPr>
            <w:tcW w:w="0" w:type="auto"/>
            <w:vAlign w:val="center"/>
            <w:hideMark/>
          </w:tcPr>
          <w:p w:rsidR="00440F4A" w:rsidRDefault="00440F4A">
            <w:pPr>
              <w:rPr>
                <w:sz w:val="24"/>
                <w:szCs w:val="24"/>
              </w:rPr>
            </w:pPr>
            <w:r>
              <w:t>GAN CycleGAN</w:t>
            </w:r>
          </w:p>
        </w:tc>
        <w:tc>
          <w:tcPr>
            <w:tcW w:w="0" w:type="auto"/>
            <w:vAlign w:val="center"/>
            <w:hideMark/>
          </w:tcPr>
          <w:p w:rsidR="00440F4A" w:rsidRDefault="00440F4A">
            <w:pPr>
              <w:rPr>
                <w:sz w:val="24"/>
                <w:szCs w:val="24"/>
              </w:rPr>
            </w:pPr>
            <w:r>
              <w:t>99.992 percent to 100.00 percent</w:t>
            </w:r>
          </w:p>
        </w:tc>
        <w:tc>
          <w:tcPr>
            <w:tcW w:w="0" w:type="auto"/>
            <w:vAlign w:val="center"/>
            <w:hideMark/>
          </w:tcPr>
          <w:p w:rsidR="00440F4A" w:rsidRDefault="00440F4A">
            <w:pPr>
              <w:rPr>
                <w:sz w:val="24"/>
                <w:szCs w:val="24"/>
              </w:rPr>
            </w:pPr>
            <w:r>
              <w:t>plus minus 0.004 percent</w:t>
            </w:r>
          </w:p>
        </w:tc>
      </w:tr>
      <w:tr w:rsidR="00440F4A" w:rsidTr="00440F4A">
        <w:trPr>
          <w:tblCellSpacing w:w="15" w:type="dxa"/>
        </w:trPr>
        <w:tc>
          <w:tcPr>
            <w:tcW w:w="0" w:type="auto"/>
            <w:vAlign w:val="center"/>
            <w:hideMark/>
          </w:tcPr>
          <w:p w:rsidR="00440F4A" w:rsidRDefault="00440F4A">
            <w:pPr>
              <w:rPr>
                <w:sz w:val="24"/>
                <w:szCs w:val="24"/>
              </w:rPr>
            </w:pPr>
            <w:r>
              <w:t>Standard GAN</w:t>
            </w:r>
          </w:p>
        </w:tc>
        <w:tc>
          <w:tcPr>
            <w:tcW w:w="0" w:type="auto"/>
            <w:vAlign w:val="center"/>
            <w:hideMark/>
          </w:tcPr>
          <w:p w:rsidR="00440F4A" w:rsidRDefault="00440F4A">
            <w:pPr>
              <w:rPr>
                <w:sz w:val="24"/>
                <w:szCs w:val="24"/>
              </w:rPr>
            </w:pPr>
            <w:r>
              <w:t>99.938 percent to 99.952 percent</w:t>
            </w:r>
          </w:p>
        </w:tc>
        <w:tc>
          <w:tcPr>
            <w:tcW w:w="0" w:type="auto"/>
            <w:vAlign w:val="center"/>
            <w:hideMark/>
          </w:tcPr>
          <w:p w:rsidR="00440F4A" w:rsidRDefault="00440F4A">
            <w:pPr>
              <w:rPr>
                <w:sz w:val="24"/>
                <w:szCs w:val="24"/>
              </w:rPr>
            </w:pPr>
            <w:r>
              <w:t>plus minus 0.007 percent</w:t>
            </w:r>
          </w:p>
        </w:tc>
      </w:tr>
      <w:tr w:rsidR="00440F4A" w:rsidTr="00440F4A">
        <w:trPr>
          <w:tblCellSpacing w:w="15" w:type="dxa"/>
        </w:trPr>
        <w:tc>
          <w:tcPr>
            <w:tcW w:w="0" w:type="auto"/>
            <w:vAlign w:val="center"/>
            <w:hideMark/>
          </w:tcPr>
          <w:p w:rsidR="00440F4A" w:rsidRDefault="00440F4A">
            <w:pPr>
              <w:rPr>
                <w:sz w:val="24"/>
                <w:szCs w:val="24"/>
              </w:rPr>
            </w:pPr>
            <w:r>
              <w:t>LSTM</w:t>
            </w:r>
          </w:p>
        </w:tc>
        <w:tc>
          <w:tcPr>
            <w:tcW w:w="0" w:type="auto"/>
            <w:vAlign w:val="center"/>
            <w:hideMark/>
          </w:tcPr>
          <w:p w:rsidR="00440F4A" w:rsidRDefault="00440F4A">
            <w:pPr>
              <w:rPr>
                <w:sz w:val="24"/>
                <w:szCs w:val="24"/>
              </w:rPr>
            </w:pPr>
            <w:r>
              <w:t>98.98 percent to 99.26 percent</w:t>
            </w:r>
          </w:p>
        </w:tc>
        <w:tc>
          <w:tcPr>
            <w:tcW w:w="0" w:type="auto"/>
            <w:vAlign w:val="center"/>
            <w:hideMark/>
          </w:tcPr>
          <w:p w:rsidR="00440F4A" w:rsidRDefault="00440F4A">
            <w:pPr>
              <w:rPr>
                <w:sz w:val="24"/>
                <w:szCs w:val="24"/>
              </w:rPr>
            </w:pPr>
            <w:r>
              <w:t>plus minus 0.14 percent</w:t>
            </w:r>
          </w:p>
        </w:tc>
      </w:tr>
      <w:tr w:rsidR="00440F4A" w:rsidTr="00440F4A">
        <w:trPr>
          <w:tblCellSpacing w:w="15" w:type="dxa"/>
        </w:trPr>
        <w:tc>
          <w:tcPr>
            <w:tcW w:w="0" w:type="auto"/>
            <w:vAlign w:val="center"/>
            <w:hideMark/>
          </w:tcPr>
          <w:p w:rsidR="00440F4A" w:rsidRDefault="00440F4A">
            <w:pPr>
              <w:rPr>
                <w:sz w:val="24"/>
                <w:szCs w:val="24"/>
              </w:rPr>
            </w:pPr>
            <w:r>
              <w:t>CNN</w:t>
            </w:r>
          </w:p>
        </w:tc>
        <w:tc>
          <w:tcPr>
            <w:tcW w:w="0" w:type="auto"/>
            <w:vAlign w:val="center"/>
            <w:hideMark/>
          </w:tcPr>
          <w:p w:rsidR="00440F4A" w:rsidRDefault="00440F4A">
            <w:pPr>
              <w:rPr>
                <w:sz w:val="24"/>
                <w:szCs w:val="24"/>
              </w:rPr>
            </w:pPr>
            <w:r>
              <w:t>98.45 percent to 99.07 percent</w:t>
            </w:r>
          </w:p>
        </w:tc>
        <w:tc>
          <w:tcPr>
            <w:tcW w:w="0" w:type="auto"/>
            <w:vAlign w:val="center"/>
            <w:hideMark/>
          </w:tcPr>
          <w:p w:rsidR="00440F4A" w:rsidRDefault="00440F4A">
            <w:pPr>
              <w:rPr>
                <w:sz w:val="24"/>
                <w:szCs w:val="24"/>
              </w:rPr>
            </w:pPr>
            <w:r>
              <w:t>plus minus 0.31 percent</w:t>
            </w:r>
          </w:p>
        </w:tc>
      </w:tr>
      <w:tr w:rsidR="00440F4A" w:rsidTr="005D4AF8">
        <w:trPr>
          <w:tblCellSpacing w:w="15" w:type="dxa"/>
        </w:trPr>
        <w:tc>
          <w:tcPr>
            <w:tcW w:w="0" w:type="auto"/>
            <w:tcBorders>
              <w:top w:val="single" w:sz="4" w:space="0" w:color="auto"/>
              <w:bottom w:val="single" w:sz="4" w:space="0" w:color="auto"/>
            </w:tcBorders>
            <w:vAlign w:val="center"/>
            <w:hideMark/>
          </w:tcPr>
          <w:p w:rsidR="00440F4A" w:rsidRDefault="00440F4A">
            <w:pPr>
              <w:rPr>
                <w:sz w:val="24"/>
                <w:szCs w:val="24"/>
              </w:rPr>
            </w:pPr>
            <w:r>
              <w:t>SVM</w:t>
            </w:r>
          </w:p>
        </w:tc>
        <w:tc>
          <w:tcPr>
            <w:tcW w:w="0" w:type="auto"/>
            <w:tcBorders>
              <w:top w:val="single" w:sz="4" w:space="0" w:color="auto"/>
              <w:bottom w:val="single" w:sz="4" w:space="0" w:color="auto"/>
            </w:tcBorders>
            <w:vAlign w:val="center"/>
            <w:hideMark/>
          </w:tcPr>
          <w:p w:rsidR="00440F4A" w:rsidRDefault="00440F4A">
            <w:pPr>
              <w:rPr>
                <w:sz w:val="24"/>
                <w:szCs w:val="24"/>
              </w:rPr>
            </w:pPr>
            <w:r>
              <w:t>94.89 percent to 95.97 percent</w:t>
            </w:r>
          </w:p>
        </w:tc>
        <w:tc>
          <w:tcPr>
            <w:tcW w:w="0" w:type="auto"/>
            <w:tcBorders>
              <w:top w:val="single" w:sz="4" w:space="0" w:color="auto"/>
              <w:bottom w:val="single" w:sz="4" w:space="0" w:color="auto"/>
            </w:tcBorders>
            <w:vAlign w:val="center"/>
            <w:hideMark/>
          </w:tcPr>
          <w:p w:rsidR="00440F4A" w:rsidRDefault="00440F4A">
            <w:pPr>
              <w:rPr>
                <w:sz w:val="24"/>
                <w:szCs w:val="24"/>
              </w:rPr>
            </w:pPr>
            <w:r>
              <w:t>plus minus 0.54 percent</w:t>
            </w:r>
          </w:p>
        </w:tc>
      </w:tr>
    </w:tbl>
    <w:p w:rsidR="00F9229D" w:rsidRPr="00E369D9" w:rsidRDefault="00F9229D" w:rsidP="00E369D9">
      <w:pPr>
        <w:jc w:val="both"/>
      </w:pPr>
    </w:p>
    <w:p w:rsidR="00E369D9" w:rsidRPr="00E369D9" w:rsidRDefault="00E369D9" w:rsidP="00E369D9">
      <w:pPr>
        <w:pStyle w:val="BodyText"/>
        <w:rPr>
          <w:lang w:eastAsia="ja-JP"/>
        </w:rPr>
      </w:pPr>
    </w:p>
    <w:sectPr w:rsidR="00E369D9" w:rsidRPr="00E369D9" w:rsidSect="00B90DED">
      <w:type w:val="continuous"/>
      <w:pgSz w:w="12240" w:h="15840"/>
      <w:pgMar w:top="1080" w:right="893" w:bottom="1080" w:left="893" w:header="720" w:footer="720" w:gutter="0"/>
      <w:cols w:num="2"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58F3" w:rsidRDefault="001958F3" w:rsidP="0010729F">
      <w:r>
        <w:separator/>
      </w:r>
    </w:p>
  </w:endnote>
  <w:endnote w:type="continuationSeparator" w:id="1">
    <w:p w:rsidR="001958F3" w:rsidRDefault="001958F3" w:rsidP="001072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jaVu Sans">
    <w:charset w:val="80"/>
    <w:family w:val="auto"/>
    <w:pitch w:val="variable"/>
    <w:sig w:usb0="00000000" w:usb1="00000000" w:usb2="00000000" w:usb3="00000000" w:csb0="00000000" w:csb1="00000000"/>
  </w:font>
  <w:font w:name="Lohit Hindi">
    <w:altName w:val="MS Gothic"/>
    <w:charset w:val="80"/>
    <w:family w:val="auto"/>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游明朝">
    <w:panose1 w:val="00000000000000000000"/>
    <w:charset w:val="80"/>
    <w:family w:val="roman"/>
    <w:notTrueType/>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58F3" w:rsidRDefault="001958F3" w:rsidP="0010729F">
      <w:r>
        <w:separator/>
      </w:r>
    </w:p>
  </w:footnote>
  <w:footnote w:type="continuationSeparator" w:id="1">
    <w:p w:rsidR="001958F3" w:rsidRDefault="001958F3" w:rsidP="001072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suff w:val="space"/>
      <w:lvlText w:val="%1."/>
      <w:lvlJc w:val="center"/>
      <w:pPr>
        <w:tabs>
          <w:tab w:val="num" w:pos="0"/>
        </w:tabs>
        <w:ind w:left="0" w:firstLine="216"/>
      </w:pPr>
      <w:rPr>
        <w:rFonts w:cs="Times New Roman"/>
        <w:i w:val="0"/>
        <w:iCs w:val="0"/>
      </w:rPr>
    </w:lvl>
    <w:lvl w:ilvl="1">
      <w:start w:val="1"/>
      <w:numFmt w:val="upperLetter"/>
      <w:lvlText w:val="%2."/>
      <w:lvlJc w:val="left"/>
      <w:pPr>
        <w:tabs>
          <w:tab w:val="num" w:pos="227"/>
        </w:tabs>
        <w:ind w:left="288" w:hanging="288"/>
      </w:pPr>
      <w:rPr>
        <w:rFonts w:cs="Times New Roman"/>
      </w:rPr>
    </w:lvl>
    <w:lvl w:ilvl="2">
      <w:start w:val="1"/>
      <w:numFmt w:val="decimal"/>
      <w:lvlText w:val="%3)"/>
      <w:lvlJc w:val="left"/>
      <w:pPr>
        <w:tabs>
          <w:tab w:val="num" w:pos="3647"/>
        </w:tabs>
        <w:ind w:left="3222" w:firstLine="180"/>
      </w:pPr>
      <w:rPr>
        <w:rFonts w:cs="Times New Roman"/>
      </w:rPr>
    </w:lvl>
    <w:lvl w:ilvl="3">
      <w:start w:val="1"/>
      <w:numFmt w:val="lowerLetter"/>
      <w:lvlText w:val="%4)"/>
      <w:lvlJc w:val="left"/>
      <w:pPr>
        <w:tabs>
          <w:tab w:val="num" w:pos="630"/>
        </w:tabs>
        <w:ind w:left="0" w:firstLine="360"/>
      </w:pPr>
      <w:rPr>
        <w:rFonts w:ascii="Times New Roman" w:hAnsi="Times New Roman" w:cs="Times New Roman"/>
        <w:b w:val="0"/>
        <w:bCs w:val="0"/>
        <w:i/>
        <w:iCs/>
        <w:sz w:val="20"/>
        <w:szCs w:val="20"/>
      </w:rPr>
    </w:lvl>
    <w:lvl w:ilvl="4">
      <w:start w:val="1"/>
      <w:numFmt w:val="none"/>
      <w:suff w:val="nothing"/>
      <w:lvlText w:val=""/>
      <w:lvlJc w:val="left"/>
      <w:pPr>
        <w:tabs>
          <w:tab w:val="num" w:pos="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1">
    <w:nsid w:val="00000002"/>
    <w:multiLevelType w:val="singleLevel"/>
    <w:tmpl w:val="00000002"/>
    <w:name w:val="WW8Num2"/>
    <w:lvl w:ilvl="0">
      <w:start w:val="1"/>
      <w:numFmt w:val="decimal"/>
      <w:lvlText w:val="%1 "/>
      <w:lvlJc w:val="left"/>
      <w:pPr>
        <w:tabs>
          <w:tab w:val="num" w:pos="648"/>
        </w:tabs>
        <w:ind w:left="0" w:firstLine="288"/>
      </w:pPr>
      <w:rPr>
        <w:rFonts w:ascii="Times New Roman" w:hAnsi="Times New Roman" w:cs="Times New Roman"/>
        <w:b w:val="0"/>
        <w:bCs w:val="0"/>
        <w:i w:val="0"/>
        <w:iCs w:val="0"/>
        <w:caps w:val="0"/>
        <w:smallCaps w:val="0"/>
        <w:strike w:val="0"/>
        <w:dstrike w:val="0"/>
        <w:vanish w:val="0"/>
        <w:sz w:val="16"/>
        <w:szCs w:val="16"/>
        <w:vertAlign w:val="superscript"/>
      </w:rPr>
    </w:lvl>
  </w:abstractNum>
  <w:abstractNum w:abstractNumId="2">
    <w:nsid w:val="00000003"/>
    <w:multiLevelType w:val="singleLevel"/>
    <w:tmpl w:val="00000003"/>
    <w:name w:val="WW8Num3"/>
    <w:lvl w:ilvl="0">
      <w:start w:val="1"/>
      <w:numFmt w:val="bullet"/>
      <w:lvlText w:val=""/>
      <w:lvlJc w:val="left"/>
      <w:pPr>
        <w:tabs>
          <w:tab w:val="num" w:pos="648"/>
        </w:tabs>
        <w:ind w:left="648" w:hanging="360"/>
      </w:pPr>
      <w:rPr>
        <w:rFonts w:ascii="Symbol" w:hAnsi="Symbol" w:cs="Symbol"/>
      </w:rPr>
    </w:lvl>
  </w:abstractNum>
  <w:abstractNum w:abstractNumId="3">
    <w:nsid w:val="00000004"/>
    <w:multiLevelType w:val="singleLevel"/>
    <w:tmpl w:val="00000004"/>
    <w:name w:val="WW8Num4"/>
    <w:lvl w:ilvl="0">
      <w:start w:val="1"/>
      <w:numFmt w:val="decimal"/>
      <w:lvlText w:val="[%1]"/>
      <w:lvlJc w:val="left"/>
      <w:pPr>
        <w:tabs>
          <w:tab w:val="num" w:pos="360"/>
        </w:tabs>
        <w:ind w:left="360" w:hanging="360"/>
      </w:pPr>
      <w:rPr>
        <w:rFonts w:cs="Times New Roman"/>
      </w:rPr>
    </w:lvl>
  </w:abstractNum>
  <w:abstractNum w:abstractNumId="4">
    <w:nsid w:val="00000005"/>
    <w:multiLevelType w:val="singleLevel"/>
    <w:tmpl w:val="00000005"/>
    <w:name w:val="WW8Num6"/>
    <w:lvl w:ilvl="0">
      <w:start w:val="1"/>
      <w:numFmt w:val="upperRoman"/>
      <w:suff w:val="space"/>
      <w:lvlText w:val="TABLE %1. "/>
      <w:lvlJc w:val="left"/>
      <w:pPr>
        <w:tabs>
          <w:tab w:val="num" w:pos="0"/>
        </w:tabs>
        <w:ind w:left="0" w:firstLine="0"/>
      </w:pPr>
      <w:rPr>
        <w:rFonts w:ascii="Times New Roman" w:hAnsi="Times New Roman" w:cs="Times New Roman"/>
        <w:b w:val="0"/>
        <w:bCs w:val="0"/>
        <w:i w:val="0"/>
        <w:iCs w:val="0"/>
        <w:sz w:val="16"/>
        <w:szCs w:val="16"/>
      </w:rPr>
    </w:lvl>
  </w:abstractNum>
  <w:abstractNum w:abstractNumId="5">
    <w:nsid w:val="00000006"/>
    <w:multiLevelType w:val="singleLevel"/>
    <w:tmpl w:val="00000006"/>
    <w:name w:val="WW8Num7"/>
    <w:lvl w:ilvl="0">
      <w:start w:val="1"/>
      <w:numFmt w:val="decimal"/>
      <w:suff w:val="space"/>
      <w:lvlText w:val="Fig. %1. "/>
      <w:lvlJc w:val="left"/>
      <w:pPr>
        <w:tabs>
          <w:tab w:val="num" w:pos="0"/>
        </w:tabs>
        <w:ind w:left="360" w:hanging="360"/>
      </w:pPr>
      <w:rPr>
        <w:rFonts w:ascii="Times New Roman" w:hAnsi="Times New Roman" w:cs="Times New Roman"/>
        <w:b w:val="0"/>
        <w:bCs w:val="0"/>
        <w:i w:val="0"/>
        <w:iCs w:val="0"/>
        <w:color w:val="auto"/>
        <w:sz w:val="16"/>
        <w:szCs w:val="16"/>
      </w:rPr>
    </w:lvl>
  </w:abstractNum>
  <w:abstractNum w:abstractNumId="6">
    <w:nsid w:val="03B31143"/>
    <w:multiLevelType w:val="hybridMultilevel"/>
    <w:tmpl w:val="4954735A"/>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064A6AD0"/>
    <w:multiLevelType w:val="multilevel"/>
    <w:tmpl w:val="0D167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67569FC"/>
    <w:multiLevelType w:val="multilevel"/>
    <w:tmpl w:val="703E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9647B63"/>
    <w:multiLevelType w:val="hybridMultilevel"/>
    <w:tmpl w:val="9A425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D22A96"/>
    <w:multiLevelType w:val="multilevel"/>
    <w:tmpl w:val="04D4A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04020C6"/>
    <w:multiLevelType w:val="multilevel"/>
    <w:tmpl w:val="09740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27E0CFD"/>
    <w:multiLevelType w:val="hybridMultilevel"/>
    <w:tmpl w:val="44F6079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3">
    <w:nsid w:val="1D6B55CD"/>
    <w:multiLevelType w:val="multilevel"/>
    <w:tmpl w:val="CEA2B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07B58AF"/>
    <w:multiLevelType w:val="multilevel"/>
    <w:tmpl w:val="FA74F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0D679DE"/>
    <w:multiLevelType w:val="hybridMultilevel"/>
    <w:tmpl w:val="085E7E6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6">
    <w:nsid w:val="23832303"/>
    <w:multiLevelType w:val="hybridMultilevel"/>
    <w:tmpl w:val="C83C4B0E"/>
    <w:lvl w:ilvl="0" w:tplc="933C120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35023E"/>
    <w:multiLevelType w:val="multilevel"/>
    <w:tmpl w:val="5FB87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CF90B96"/>
    <w:multiLevelType w:val="hybridMultilevel"/>
    <w:tmpl w:val="44DE8ED0"/>
    <w:lvl w:ilvl="0" w:tplc="3DA2BEEA">
      <w:start w:val="1"/>
      <w:numFmt w:val="decimal"/>
      <w:lvlText w:val="%1."/>
      <w:lvlJc w:val="left"/>
      <w:pPr>
        <w:ind w:left="72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677E0E"/>
    <w:multiLevelType w:val="multilevel"/>
    <w:tmpl w:val="5A421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247D90"/>
    <w:multiLevelType w:val="multilevel"/>
    <w:tmpl w:val="810C2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1DE5036"/>
    <w:multiLevelType w:val="hybridMultilevel"/>
    <w:tmpl w:val="BE9C1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21B784C"/>
    <w:multiLevelType w:val="multilevel"/>
    <w:tmpl w:val="9DBE1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4893C9F"/>
    <w:multiLevelType w:val="hybridMultilevel"/>
    <w:tmpl w:val="EF623126"/>
    <w:lvl w:ilvl="0" w:tplc="04090001">
      <w:start w:val="1"/>
      <w:numFmt w:val="bullet"/>
      <w:lvlText w:val=""/>
      <w:lvlJc w:val="left"/>
      <w:pPr>
        <w:ind w:left="720" w:hanging="360"/>
      </w:pPr>
      <w:rPr>
        <w:rFonts w:ascii="Symbol" w:hAnsi="Symbol" w:hint="default"/>
      </w:rPr>
    </w:lvl>
    <w:lvl w:ilvl="1" w:tplc="E7DA42FE">
      <w:numFmt w:val="bullet"/>
      <w:lvlText w:val="-"/>
      <w:lvlJc w:val="left"/>
      <w:pPr>
        <w:ind w:left="1440" w:hanging="360"/>
      </w:pPr>
      <w:rPr>
        <w:rFonts w:ascii="Times New Roman" w:eastAsia="SimSun" w:hAnsi="Times New Roman" w:cs="Times New Roman"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816700"/>
    <w:multiLevelType w:val="multilevel"/>
    <w:tmpl w:val="73E6C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B83988"/>
    <w:multiLevelType w:val="multilevel"/>
    <w:tmpl w:val="A09C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79E2EDA"/>
    <w:multiLevelType w:val="hybridMultilevel"/>
    <w:tmpl w:val="2AEE5B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CFD42DC"/>
    <w:multiLevelType w:val="hybridMultilevel"/>
    <w:tmpl w:val="759070F6"/>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8">
    <w:nsid w:val="51C12269"/>
    <w:multiLevelType w:val="hybridMultilevel"/>
    <w:tmpl w:val="B4FC9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314177"/>
    <w:multiLevelType w:val="hybridMultilevel"/>
    <w:tmpl w:val="51FEF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E50A59"/>
    <w:multiLevelType w:val="multilevel"/>
    <w:tmpl w:val="30629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4EC1DB8"/>
    <w:multiLevelType w:val="multilevel"/>
    <w:tmpl w:val="B66E3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4F44C00"/>
    <w:multiLevelType w:val="hybridMultilevel"/>
    <w:tmpl w:val="7DC43D84"/>
    <w:lvl w:ilvl="0" w:tplc="FFFFFFFF">
      <w:start w:val="1"/>
      <w:numFmt w:val="upperRoman"/>
      <w:lvlText w:val="%1"/>
      <w:lvlJc w:val="right"/>
      <w:pPr>
        <w:ind w:left="630" w:hanging="360"/>
      </w:pPr>
      <w:rPr>
        <w:rFonts w:hint="default"/>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33">
    <w:nsid w:val="56053B0E"/>
    <w:multiLevelType w:val="hybridMultilevel"/>
    <w:tmpl w:val="796E0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605CC8"/>
    <w:multiLevelType w:val="hybridMultilevel"/>
    <w:tmpl w:val="53601A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F144607"/>
    <w:multiLevelType w:val="multilevel"/>
    <w:tmpl w:val="822C6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F325D73"/>
    <w:multiLevelType w:val="multilevel"/>
    <w:tmpl w:val="BFE65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292556A"/>
    <w:multiLevelType w:val="hybridMultilevel"/>
    <w:tmpl w:val="7EA64E98"/>
    <w:lvl w:ilvl="0" w:tplc="71BA667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3272752"/>
    <w:multiLevelType w:val="hybridMultilevel"/>
    <w:tmpl w:val="68A88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3283A94"/>
    <w:multiLevelType w:val="multilevel"/>
    <w:tmpl w:val="00CC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0831349"/>
    <w:multiLevelType w:val="multilevel"/>
    <w:tmpl w:val="31749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333428C"/>
    <w:multiLevelType w:val="multilevel"/>
    <w:tmpl w:val="93EA2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1411B2"/>
    <w:multiLevelType w:val="multilevel"/>
    <w:tmpl w:val="25BA9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A5B3680"/>
    <w:multiLevelType w:val="hybridMultilevel"/>
    <w:tmpl w:val="1904F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9F74B2"/>
    <w:multiLevelType w:val="multilevel"/>
    <w:tmpl w:val="1DAA8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E723A58"/>
    <w:multiLevelType w:val="hybridMultilevel"/>
    <w:tmpl w:val="1D3624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6"/>
  </w:num>
  <w:num w:numId="8">
    <w:abstractNumId w:val="32"/>
  </w:num>
  <w:num w:numId="9">
    <w:abstractNumId w:val="15"/>
  </w:num>
  <w:num w:numId="10">
    <w:abstractNumId w:val="37"/>
  </w:num>
  <w:num w:numId="11">
    <w:abstractNumId w:val="29"/>
  </w:num>
  <w:num w:numId="12">
    <w:abstractNumId w:val="13"/>
  </w:num>
  <w:num w:numId="13">
    <w:abstractNumId w:val="25"/>
  </w:num>
  <w:num w:numId="14">
    <w:abstractNumId w:val="18"/>
  </w:num>
  <w:num w:numId="15">
    <w:abstractNumId w:val="42"/>
  </w:num>
  <w:num w:numId="16">
    <w:abstractNumId w:val="28"/>
  </w:num>
  <w:num w:numId="17">
    <w:abstractNumId w:val="26"/>
  </w:num>
  <w:num w:numId="18">
    <w:abstractNumId w:val="45"/>
  </w:num>
  <w:num w:numId="19">
    <w:abstractNumId w:val="38"/>
  </w:num>
  <w:num w:numId="20">
    <w:abstractNumId w:val="35"/>
  </w:num>
  <w:num w:numId="21">
    <w:abstractNumId w:val="44"/>
  </w:num>
  <w:num w:numId="22">
    <w:abstractNumId w:val="9"/>
  </w:num>
  <w:num w:numId="23">
    <w:abstractNumId w:val="8"/>
  </w:num>
  <w:num w:numId="24">
    <w:abstractNumId w:val="41"/>
  </w:num>
  <w:num w:numId="25">
    <w:abstractNumId w:val="22"/>
  </w:num>
  <w:num w:numId="26">
    <w:abstractNumId w:val="36"/>
  </w:num>
  <w:num w:numId="27">
    <w:abstractNumId w:val="11"/>
  </w:num>
  <w:num w:numId="28">
    <w:abstractNumId w:val="30"/>
  </w:num>
  <w:num w:numId="29">
    <w:abstractNumId w:val="19"/>
  </w:num>
  <w:num w:numId="30">
    <w:abstractNumId w:val="10"/>
  </w:num>
  <w:num w:numId="31">
    <w:abstractNumId w:val="27"/>
  </w:num>
  <w:num w:numId="32">
    <w:abstractNumId w:val="12"/>
  </w:num>
  <w:num w:numId="33">
    <w:abstractNumId w:val="23"/>
  </w:num>
  <w:num w:numId="34">
    <w:abstractNumId w:val="24"/>
  </w:num>
  <w:num w:numId="35">
    <w:abstractNumId w:val="17"/>
  </w:num>
  <w:num w:numId="36">
    <w:abstractNumId w:val="31"/>
  </w:num>
  <w:num w:numId="37">
    <w:abstractNumId w:val="20"/>
  </w:num>
  <w:num w:numId="38">
    <w:abstractNumId w:val="14"/>
  </w:num>
  <w:num w:numId="39">
    <w:abstractNumId w:val="34"/>
  </w:num>
  <w:num w:numId="40">
    <w:abstractNumId w:val="33"/>
  </w:num>
  <w:num w:numId="41">
    <w:abstractNumId w:val="21"/>
  </w:num>
  <w:num w:numId="42">
    <w:abstractNumId w:val="43"/>
  </w:num>
  <w:num w:numId="43">
    <w:abstractNumId w:val="39"/>
  </w:num>
  <w:num w:numId="44">
    <w:abstractNumId w:val="7"/>
  </w:num>
  <w:num w:numId="45">
    <w:abstractNumId w:val="40"/>
  </w:num>
  <w:num w:numId="4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stylePaneFormatFilter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doNotUseHTMLParagraphAutoSpacing/>
  </w:compat>
  <w:rsids>
    <w:rsidRoot w:val="005833F7"/>
    <w:rsid w:val="00032E4E"/>
    <w:rsid w:val="00051510"/>
    <w:rsid w:val="000624CE"/>
    <w:rsid w:val="00064BA8"/>
    <w:rsid w:val="00075EA3"/>
    <w:rsid w:val="000A17C4"/>
    <w:rsid w:val="000A6933"/>
    <w:rsid w:val="000C3534"/>
    <w:rsid w:val="000C74A3"/>
    <w:rsid w:val="000D1EE8"/>
    <w:rsid w:val="000E524C"/>
    <w:rsid w:val="000F387F"/>
    <w:rsid w:val="00104EE1"/>
    <w:rsid w:val="001067AA"/>
    <w:rsid w:val="0010729F"/>
    <w:rsid w:val="00114431"/>
    <w:rsid w:val="001754F2"/>
    <w:rsid w:val="00181E68"/>
    <w:rsid w:val="001901DA"/>
    <w:rsid w:val="00193056"/>
    <w:rsid w:val="00194359"/>
    <w:rsid w:val="001958F3"/>
    <w:rsid w:val="001A042D"/>
    <w:rsid w:val="001A6466"/>
    <w:rsid w:val="001A69A6"/>
    <w:rsid w:val="001A6B05"/>
    <w:rsid w:val="001B3091"/>
    <w:rsid w:val="001B687D"/>
    <w:rsid w:val="001D197C"/>
    <w:rsid w:val="001F372A"/>
    <w:rsid w:val="001F6838"/>
    <w:rsid w:val="002220DA"/>
    <w:rsid w:val="00230C29"/>
    <w:rsid w:val="002345A0"/>
    <w:rsid w:val="00240A04"/>
    <w:rsid w:val="002413C9"/>
    <w:rsid w:val="00272E9B"/>
    <w:rsid w:val="00273815"/>
    <w:rsid w:val="00273E47"/>
    <w:rsid w:val="002759C3"/>
    <w:rsid w:val="002863C2"/>
    <w:rsid w:val="002871F2"/>
    <w:rsid w:val="002A4AE2"/>
    <w:rsid w:val="002B21BE"/>
    <w:rsid w:val="002B4E14"/>
    <w:rsid w:val="002C2613"/>
    <w:rsid w:val="002C29C9"/>
    <w:rsid w:val="002C7C06"/>
    <w:rsid w:val="002D7684"/>
    <w:rsid w:val="00304BF6"/>
    <w:rsid w:val="00307ECD"/>
    <w:rsid w:val="0031170E"/>
    <w:rsid w:val="0034617A"/>
    <w:rsid w:val="00361054"/>
    <w:rsid w:val="0037183E"/>
    <w:rsid w:val="00397A05"/>
    <w:rsid w:val="003A0DAF"/>
    <w:rsid w:val="003C1B04"/>
    <w:rsid w:val="003E650E"/>
    <w:rsid w:val="00410C63"/>
    <w:rsid w:val="00421D13"/>
    <w:rsid w:val="00440F4A"/>
    <w:rsid w:val="004447A8"/>
    <w:rsid w:val="00446141"/>
    <w:rsid w:val="00460B01"/>
    <w:rsid w:val="0046226B"/>
    <w:rsid w:val="00464235"/>
    <w:rsid w:val="004D12FF"/>
    <w:rsid w:val="004D5A32"/>
    <w:rsid w:val="004E0FF0"/>
    <w:rsid w:val="004E17E2"/>
    <w:rsid w:val="004E1FA3"/>
    <w:rsid w:val="004E37AC"/>
    <w:rsid w:val="004F01E3"/>
    <w:rsid w:val="005014AF"/>
    <w:rsid w:val="00516119"/>
    <w:rsid w:val="00520DAC"/>
    <w:rsid w:val="00523808"/>
    <w:rsid w:val="005375C5"/>
    <w:rsid w:val="0054329A"/>
    <w:rsid w:val="005454DE"/>
    <w:rsid w:val="005551AC"/>
    <w:rsid w:val="00570655"/>
    <w:rsid w:val="00574D8B"/>
    <w:rsid w:val="005833F7"/>
    <w:rsid w:val="005859ED"/>
    <w:rsid w:val="00585E7E"/>
    <w:rsid w:val="00596A52"/>
    <w:rsid w:val="005B686A"/>
    <w:rsid w:val="005D4AF8"/>
    <w:rsid w:val="005F7998"/>
    <w:rsid w:val="006101C1"/>
    <w:rsid w:val="006116B8"/>
    <w:rsid w:val="00620C3B"/>
    <w:rsid w:val="0065593C"/>
    <w:rsid w:val="00675675"/>
    <w:rsid w:val="00690599"/>
    <w:rsid w:val="006B1779"/>
    <w:rsid w:val="006B1FDA"/>
    <w:rsid w:val="006C5E17"/>
    <w:rsid w:val="006D6B4C"/>
    <w:rsid w:val="00701486"/>
    <w:rsid w:val="0070263C"/>
    <w:rsid w:val="00717650"/>
    <w:rsid w:val="007261B6"/>
    <w:rsid w:val="0073470D"/>
    <w:rsid w:val="00785A06"/>
    <w:rsid w:val="00786237"/>
    <w:rsid w:val="007B2AEB"/>
    <w:rsid w:val="007C49C0"/>
    <w:rsid w:val="007F1477"/>
    <w:rsid w:val="007F1CFD"/>
    <w:rsid w:val="007F4BE1"/>
    <w:rsid w:val="008159B7"/>
    <w:rsid w:val="0081633B"/>
    <w:rsid w:val="00833331"/>
    <w:rsid w:val="008369BE"/>
    <w:rsid w:val="008467D7"/>
    <w:rsid w:val="00857584"/>
    <w:rsid w:val="00857A6B"/>
    <w:rsid w:val="00867685"/>
    <w:rsid w:val="00882BF7"/>
    <w:rsid w:val="008859BF"/>
    <w:rsid w:val="008A0C2A"/>
    <w:rsid w:val="008A7CE1"/>
    <w:rsid w:val="008B496A"/>
    <w:rsid w:val="008C6E31"/>
    <w:rsid w:val="008C7428"/>
    <w:rsid w:val="008E7F6F"/>
    <w:rsid w:val="008F0B58"/>
    <w:rsid w:val="0090107D"/>
    <w:rsid w:val="009024FE"/>
    <w:rsid w:val="00903E7D"/>
    <w:rsid w:val="00906607"/>
    <w:rsid w:val="00911272"/>
    <w:rsid w:val="009119B1"/>
    <w:rsid w:val="00913E79"/>
    <w:rsid w:val="00945F75"/>
    <w:rsid w:val="0094782E"/>
    <w:rsid w:val="00982BD3"/>
    <w:rsid w:val="0098339D"/>
    <w:rsid w:val="00995897"/>
    <w:rsid w:val="009B27C3"/>
    <w:rsid w:val="009E378B"/>
    <w:rsid w:val="009F09DC"/>
    <w:rsid w:val="00A11387"/>
    <w:rsid w:val="00A15B98"/>
    <w:rsid w:val="00A16CAE"/>
    <w:rsid w:val="00A20400"/>
    <w:rsid w:val="00A36CB2"/>
    <w:rsid w:val="00A4771D"/>
    <w:rsid w:val="00A47F16"/>
    <w:rsid w:val="00A715D4"/>
    <w:rsid w:val="00A8530C"/>
    <w:rsid w:val="00AA20E8"/>
    <w:rsid w:val="00AA2259"/>
    <w:rsid w:val="00AB16F2"/>
    <w:rsid w:val="00AD02F3"/>
    <w:rsid w:val="00B00A56"/>
    <w:rsid w:val="00B239D9"/>
    <w:rsid w:val="00B25AB5"/>
    <w:rsid w:val="00B37D61"/>
    <w:rsid w:val="00B5152C"/>
    <w:rsid w:val="00B52B6D"/>
    <w:rsid w:val="00B60FB6"/>
    <w:rsid w:val="00B72000"/>
    <w:rsid w:val="00B74AB0"/>
    <w:rsid w:val="00B77B0D"/>
    <w:rsid w:val="00B90DED"/>
    <w:rsid w:val="00BA3852"/>
    <w:rsid w:val="00BB03DD"/>
    <w:rsid w:val="00BD332A"/>
    <w:rsid w:val="00BE2AAD"/>
    <w:rsid w:val="00BE6D84"/>
    <w:rsid w:val="00BE7CBB"/>
    <w:rsid w:val="00C02DD2"/>
    <w:rsid w:val="00C149FA"/>
    <w:rsid w:val="00C31C41"/>
    <w:rsid w:val="00C3370D"/>
    <w:rsid w:val="00C7163B"/>
    <w:rsid w:val="00C76F38"/>
    <w:rsid w:val="00C80270"/>
    <w:rsid w:val="00C810F3"/>
    <w:rsid w:val="00C872CE"/>
    <w:rsid w:val="00C96A3D"/>
    <w:rsid w:val="00C97499"/>
    <w:rsid w:val="00CD5761"/>
    <w:rsid w:val="00CE6329"/>
    <w:rsid w:val="00D22777"/>
    <w:rsid w:val="00D24EF1"/>
    <w:rsid w:val="00D24FA2"/>
    <w:rsid w:val="00D278A0"/>
    <w:rsid w:val="00D62D7B"/>
    <w:rsid w:val="00D8103C"/>
    <w:rsid w:val="00D8596A"/>
    <w:rsid w:val="00D97023"/>
    <w:rsid w:val="00DA0668"/>
    <w:rsid w:val="00DA3F6D"/>
    <w:rsid w:val="00DB79D2"/>
    <w:rsid w:val="00DC291B"/>
    <w:rsid w:val="00DC6F87"/>
    <w:rsid w:val="00DC75E9"/>
    <w:rsid w:val="00DD2015"/>
    <w:rsid w:val="00DD40BE"/>
    <w:rsid w:val="00DE3FAC"/>
    <w:rsid w:val="00E1659A"/>
    <w:rsid w:val="00E16965"/>
    <w:rsid w:val="00E27696"/>
    <w:rsid w:val="00E27E34"/>
    <w:rsid w:val="00E34971"/>
    <w:rsid w:val="00E369D9"/>
    <w:rsid w:val="00E406E1"/>
    <w:rsid w:val="00E52305"/>
    <w:rsid w:val="00E76C09"/>
    <w:rsid w:val="00E8597D"/>
    <w:rsid w:val="00EA61E4"/>
    <w:rsid w:val="00EB7752"/>
    <w:rsid w:val="00ED3207"/>
    <w:rsid w:val="00ED3BC8"/>
    <w:rsid w:val="00EE617D"/>
    <w:rsid w:val="00F12E9C"/>
    <w:rsid w:val="00F13DDF"/>
    <w:rsid w:val="00F1739F"/>
    <w:rsid w:val="00F2301E"/>
    <w:rsid w:val="00F525B1"/>
    <w:rsid w:val="00F57232"/>
    <w:rsid w:val="00F6318A"/>
    <w:rsid w:val="00F6499A"/>
    <w:rsid w:val="00F74AA8"/>
    <w:rsid w:val="00F902E3"/>
    <w:rsid w:val="00F90B74"/>
    <w:rsid w:val="00F922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margin;mso-position-vertical-relative:margin" fill="f" fillcolor="white" stroke="f">
      <v:fill color="white" on="f"/>
      <v:stroke on="f"/>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ja-JP"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9FA"/>
    <w:pPr>
      <w:suppressAutoHyphens/>
      <w:jc w:val="center"/>
    </w:pPr>
    <w:rPr>
      <w:rFonts w:eastAsia="SimSun"/>
      <w:lang w:val="en-US" w:eastAsia="zh-CN" w:bidi="ar-SA"/>
    </w:rPr>
  </w:style>
  <w:style w:type="paragraph" w:styleId="Heading1">
    <w:name w:val="heading 1"/>
    <w:basedOn w:val="Normal"/>
    <w:next w:val="BodyText"/>
    <w:qFormat/>
    <w:rsid w:val="00C149FA"/>
    <w:pPr>
      <w:keepNext/>
      <w:keepLines/>
      <w:tabs>
        <w:tab w:val="num" w:pos="0"/>
        <w:tab w:val="left" w:pos="216"/>
        <w:tab w:val="left" w:pos="283"/>
        <w:tab w:val="left" w:pos="340"/>
        <w:tab w:val="left" w:pos="397"/>
      </w:tabs>
      <w:spacing w:before="160" w:after="80"/>
      <w:ind w:firstLine="216"/>
      <w:outlineLvl w:val="0"/>
    </w:pPr>
    <w:rPr>
      <w:smallCaps/>
      <w:lang w:val="en-IN" w:eastAsia="ja-JP"/>
    </w:rPr>
  </w:style>
  <w:style w:type="paragraph" w:styleId="Heading2">
    <w:name w:val="heading 2"/>
    <w:basedOn w:val="Normal"/>
    <w:next w:val="BodyText"/>
    <w:qFormat/>
    <w:rsid w:val="00C149FA"/>
    <w:pPr>
      <w:keepNext/>
      <w:keepLines/>
      <w:tabs>
        <w:tab w:val="num" w:pos="227"/>
      </w:tabs>
      <w:spacing w:before="120" w:after="60"/>
      <w:ind w:left="288" w:hanging="288"/>
      <w:jc w:val="left"/>
      <w:outlineLvl w:val="1"/>
    </w:pPr>
    <w:rPr>
      <w:i/>
      <w:iCs/>
      <w:lang w:val="en-IN" w:eastAsia="ja-JP"/>
    </w:rPr>
  </w:style>
  <w:style w:type="paragraph" w:styleId="Heading3">
    <w:name w:val="heading 3"/>
    <w:basedOn w:val="Normal"/>
    <w:next w:val="BodyText"/>
    <w:qFormat/>
    <w:rsid w:val="00C149FA"/>
    <w:pPr>
      <w:tabs>
        <w:tab w:val="left" w:pos="540"/>
        <w:tab w:val="num" w:pos="3647"/>
      </w:tabs>
      <w:spacing w:line="240" w:lineRule="exact"/>
      <w:ind w:firstLine="180"/>
      <w:jc w:val="both"/>
      <w:outlineLvl w:val="2"/>
    </w:pPr>
    <w:rPr>
      <w:i/>
      <w:iCs/>
      <w:lang w:val="en-IN" w:eastAsia="ja-JP"/>
    </w:rPr>
  </w:style>
  <w:style w:type="paragraph" w:styleId="Heading4">
    <w:name w:val="heading 4"/>
    <w:basedOn w:val="Normal"/>
    <w:next w:val="BodyText"/>
    <w:qFormat/>
    <w:rsid w:val="00C149FA"/>
    <w:pPr>
      <w:tabs>
        <w:tab w:val="num" w:pos="630"/>
        <w:tab w:val="left" w:pos="720"/>
      </w:tabs>
      <w:spacing w:before="40" w:after="40"/>
      <w:ind w:firstLine="360"/>
      <w:jc w:val="both"/>
      <w:outlineLvl w:val="3"/>
    </w:pPr>
    <w:rPr>
      <w:i/>
      <w:iCs/>
      <w:lang w:val="en-IN" w:eastAsia="ja-JP"/>
    </w:rPr>
  </w:style>
  <w:style w:type="paragraph" w:styleId="Heading5">
    <w:name w:val="heading 5"/>
    <w:basedOn w:val="Normal"/>
    <w:next w:val="BodyText"/>
    <w:qFormat/>
    <w:rsid w:val="00C149FA"/>
    <w:pPr>
      <w:tabs>
        <w:tab w:val="left" w:pos="360"/>
      </w:tabs>
      <w:spacing w:before="160" w:after="80"/>
      <w:outlineLvl w:val="4"/>
    </w:pPr>
    <w:rPr>
      <w:smallCaps/>
      <w:lang w:val="en-IN"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C149FA"/>
    <w:rPr>
      <w:rFonts w:cs="Times New Roman"/>
      <w:i w:val="0"/>
      <w:iCs w:val="0"/>
    </w:rPr>
  </w:style>
  <w:style w:type="character" w:customStyle="1" w:styleId="WW8Num1z1">
    <w:name w:val="WW8Num1z1"/>
    <w:rsid w:val="00C149FA"/>
    <w:rPr>
      <w:rFonts w:cs="Times New Roman"/>
    </w:rPr>
  </w:style>
  <w:style w:type="character" w:customStyle="1" w:styleId="WW8Num1z3">
    <w:name w:val="WW8Num1z3"/>
    <w:rsid w:val="00C149FA"/>
    <w:rPr>
      <w:rFonts w:ascii="Times New Roman" w:hAnsi="Times New Roman" w:cs="Times New Roman"/>
      <w:b w:val="0"/>
      <w:bCs w:val="0"/>
      <w:i/>
      <w:iCs/>
      <w:sz w:val="20"/>
      <w:szCs w:val="20"/>
    </w:rPr>
  </w:style>
  <w:style w:type="character" w:customStyle="1" w:styleId="WW8Num2z0">
    <w:name w:val="WW8Num2z0"/>
    <w:rsid w:val="00C149FA"/>
    <w:rPr>
      <w:rFonts w:ascii="Times New Roman" w:hAnsi="Times New Roman" w:cs="Times New Roman"/>
      <w:b w:val="0"/>
      <w:bCs w:val="0"/>
      <w:i w:val="0"/>
      <w:iCs w:val="0"/>
      <w:caps w:val="0"/>
      <w:smallCaps w:val="0"/>
      <w:strike w:val="0"/>
      <w:dstrike w:val="0"/>
      <w:vanish w:val="0"/>
      <w:sz w:val="16"/>
      <w:szCs w:val="16"/>
      <w:vertAlign w:val="superscript"/>
    </w:rPr>
  </w:style>
  <w:style w:type="character" w:customStyle="1" w:styleId="WW8Num3z0">
    <w:name w:val="WW8Num3z0"/>
    <w:rsid w:val="00C149FA"/>
    <w:rPr>
      <w:rFonts w:ascii="Symbol" w:hAnsi="Symbol" w:cs="Symbol"/>
    </w:rPr>
  </w:style>
  <w:style w:type="character" w:customStyle="1" w:styleId="WW8Num4z0">
    <w:name w:val="WW8Num4z0"/>
    <w:rsid w:val="00C149FA"/>
    <w:rPr>
      <w:rFonts w:cs="Times New Roman"/>
    </w:rPr>
  </w:style>
  <w:style w:type="character" w:customStyle="1" w:styleId="WW8Num5z0">
    <w:name w:val="WW8Num5z0"/>
    <w:rsid w:val="00C149FA"/>
    <w:rPr>
      <w:rFonts w:ascii="Times New Roman" w:hAnsi="Times New Roman" w:cs="Times New Roman"/>
      <w:caps w:val="0"/>
      <w:smallCaps w:val="0"/>
      <w:strike w:val="0"/>
      <w:dstrike w:val="0"/>
      <w:vanish w:val="0"/>
      <w:color w:val="auto"/>
      <w:position w:val="0"/>
      <w:sz w:val="20"/>
      <w:szCs w:val="20"/>
      <w:vertAlign w:val="baseline"/>
    </w:rPr>
  </w:style>
  <w:style w:type="character" w:customStyle="1" w:styleId="WW8Num6z0">
    <w:name w:val="WW8Num6z0"/>
    <w:rsid w:val="00C149FA"/>
    <w:rPr>
      <w:rFonts w:ascii="Times New Roman" w:hAnsi="Times New Roman" w:cs="Times New Roman"/>
      <w:b w:val="0"/>
      <w:bCs w:val="0"/>
      <w:i w:val="0"/>
      <w:iCs w:val="0"/>
      <w:sz w:val="16"/>
      <w:szCs w:val="16"/>
    </w:rPr>
  </w:style>
  <w:style w:type="character" w:customStyle="1" w:styleId="WW8Num7z0">
    <w:name w:val="WW8Num7z0"/>
    <w:rsid w:val="00C149FA"/>
    <w:rPr>
      <w:rFonts w:ascii="Times New Roman" w:hAnsi="Times New Roman" w:cs="Times New Roman"/>
      <w:b w:val="0"/>
      <w:bCs w:val="0"/>
      <w:i w:val="0"/>
      <w:iCs w:val="0"/>
      <w:color w:val="auto"/>
      <w:sz w:val="16"/>
      <w:szCs w:val="16"/>
    </w:rPr>
  </w:style>
  <w:style w:type="character" w:customStyle="1" w:styleId="WW-DefaultParagraphFont">
    <w:name w:val="WW-Default Paragraph Font"/>
    <w:rsid w:val="00C149FA"/>
  </w:style>
  <w:style w:type="character" w:customStyle="1" w:styleId="Absatz-Standardschriftart">
    <w:name w:val="Absatz-Standardschriftart"/>
    <w:rsid w:val="00C149FA"/>
  </w:style>
  <w:style w:type="character" w:customStyle="1" w:styleId="WW-Absatz-Standardschriftart">
    <w:name w:val="WW-Absatz-Standardschriftart"/>
    <w:rsid w:val="00C149FA"/>
  </w:style>
  <w:style w:type="character" w:customStyle="1" w:styleId="WW-Absatz-Standardschriftart1">
    <w:name w:val="WW-Absatz-Standardschriftart1"/>
    <w:rsid w:val="00C149FA"/>
  </w:style>
  <w:style w:type="character" w:customStyle="1" w:styleId="WW-Absatz-Standardschriftart11">
    <w:name w:val="WW-Absatz-Standardschriftart11"/>
    <w:rsid w:val="00C149FA"/>
  </w:style>
  <w:style w:type="character" w:customStyle="1" w:styleId="WW-Absatz-Standardschriftart111">
    <w:name w:val="WW-Absatz-Standardschriftart111"/>
    <w:rsid w:val="00C149FA"/>
  </w:style>
  <w:style w:type="character" w:customStyle="1" w:styleId="WW-Absatz-Standardschriftart1111">
    <w:name w:val="WW-Absatz-Standardschriftart1111"/>
    <w:rsid w:val="00C149FA"/>
  </w:style>
  <w:style w:type="character" w:customStyle="1" w:styleId="WW-Absatz-Standardschriftart11111">
    <w:name w:val="WW-Absatz-Standardschriftart11111"/>
    <w:rsid w:val="00C149FA"/>
  </w:style>
  <w:style w:type="character" w:customStyle="1" w:styleId="WW-Absatz-Standardschriftart111111">
    <w:name w:val="WW-Absatz-Standardschriftart111111"/>
    <w:rsid w:val="00C149FA"/>
  </w:style>
  <w:style w:type="character" w:customStyle="1" w:styleId="WW8Num1z4">
    <w:name w:val="WW8Num1z4"/>
    <w:rsid w:val="00C149FA"/>
    <w:rPr>
      <w:rFonts w:cs="Times New Roman"/>
    </w:rPr>
  </w:style>
  <w:style w:type="character" w:customStyle="1" w:styleId="WW-Absatz-Standardschriftart1111111">
    <w:name w:val="WW-Absatz-Standardschriftart1111111"/>
    <w:rsid w:val="00C149FA"/>
  </w:style>
  <w:style w:type="character" w:customStyle="1" w:styleId="WW8Num2z1">
    <w:name w:val="WW8Num2z1"/>
    <w:rsid w:val="00C149FA"/>
    <w:rPr>
      <w:rFonts w:cs="Times New Roman"/>
    </w:rPr>
  </w:style>
  <w:style w:type="character" w:customStyle="1" w:styleId="WW8Num3z1">
    <w:name w:val="WW8Num3z1"/>
    <w:rsid w:val="00C149FA"/>
    <w:rPr>
      <w:rFonts w:ascii="Courier New" w:hAnsi="Courier New" w:cs="Courier New"/>
    </w:rPr>
  </w:style>
  <w:style w:type="character" w:customStyle="1" w:styleId="WW8Num3z2">
    <w:name w:val="WW8Num3z2"/>
    <w:rsid w:val="00C149FA"/>
    <w:rPr>
      <w:rFonts w:ascii="Wingdings" w:hAnsi="Wingdings" w:cs="Wingdings"/>
    </w:rPr>
  </w:style>
  <w:style w:type="character" w:customStyle="1" w:styleId="WW8Num5z1">
    <w:name w:val="WW8Num5z1"/>
    <w:rsid w:val="00C149FA"/>
    <w:rPr>
      <w:rFonts w:ascii="Times New Roman" w:hAnsi="Times New Roman" w:cs="Times New Roman"/>
      <w:b w:val="0"/>
      <w:bCs w:val="0"/>
      <w:i/>
      <w:iCs/>
      <w:caps w:val="0"/>
      <w:smallCaps w:val="0"/>
      <w:strike w:val="0"/>
      <w:dstrike w:val="0"/>
      <w:vanish w:val="0"/>
      <w:color w:val="auto"/>
      <w:position w:val="0"/>
      <w:sz w:val="20"/>
      <w:szCs w:val="20"/>
      <w:vertAlign w:val="baseline"/>
    </w:rPr>
  </w:style>
  <w:style w:type="character" w:customStyle="1" w:styleId="WW8Num5z3">
    <w:name w:val="WW8Num5z3"/>
    <w:rsid w:val="00C149FA"/>
    <w:rPr>
      <w:rFonts w:ascii="Times New Roman" w:hAnsi="Times New Roman" w:cs="Times New Roman"/>
      <w:b w:val="0"/>
      <w:bCs w:val="0"/>
      <w:i/>
      <w:iCs/>
      <w:sz w:val="20"/>
      <w:szCs w:val="20"/>
    </w:rPr>
  </w:style>
  <w:style w:type="character" w:customStyle="1" w:styleId="WW8Num5z4">
    <w:name w:val="WW8Num5z4"/>
    <w:rsid w:val="00C149FA"/>
    <w:rPr>
      <w:rFonts w:cs="Times New Roman"/>
    </w:rPr>
  </w:style>
  <w:style w:type="character" w:customStyle="1" w:styleId="WW8Num7z1">
    <w:name w:val="WW8Num7z1"/>
    <w:rsid w:val="00C149FA"/>
    <w:rPr>
      <w:rFonts w:cs="Times New Roman"/>
    </w:rPr>
  </w:style>
  <w:style w:type="character" w:customStyle="1" w:styleId="WW8Num8z0">
    <w:name w:val="WW8Num8z0"/>
    <w:rsid w:val="00C149FA"/>
    <w:rPr>
      <w:rFonts w:ascii="Times New Roman" w:hAnsi="Times New Roman" w:cs="Times New Roman"/>
      <w:b w:val="0"/>
      <w:bCs w:val="0"/>
      <w:i w:val="0"/>
      <w:iCs w:val="0"/>
      <w:sz w:val="16"/>
      <w:szCs w:val="16"/>
    </w:rPr>
  </w:style>
  <w:style w:type="character" w:customStyle="1" w:styleId="WW-DefaultParagraphFont1">
    <w:name w:val="WW-Default Paragraph Font1"/>
    <w:rsid w:val="00C149FA"/>
  </w:style>
  <w:style w:type="paragraph" w:customStyle="1" w:styleId="Heading">
    <w:name w:val="Heading"/>
    <w:basedOn w:val="Normal"/>
    <w:next w:val="BodyText"/>
    <w:rsid w:val="00C149FA"/>
    <w:pPr>
      <w:keepNext/>
      <w:spacing w:before="240" w:after="120"/>
    </w:pPr>
    <w:rPr>
      <w:rFonts w:ascii="Arial" w:eastAsia="DejaVu Sans" w:hAnsi="Arial" w:cs="Lohit Hindi"/>
      <w:sz w:val="28"/>
      <w:szCs w:val="28"/>
    </w:rPr>
  </w:style>
  <w:style w:type="paragraph" w:styleId="BodyText">
    <w:name w:val="Body Text"/>
    <w:basedOn w:val="Normal"/>
    <w:rsid w:val="00C149FA"/>
    <w:pPr>
      <w:spacing w:after="6"/>
      <w:ind w:firstLine="288"/>
      <w:jc w:val="both"/>
    </w:pPr>
    <w:rPr>
      <w:spacing w:val="-1"/>
    </w:rPr>
  </w:style>
  <w:style w:type="paragraph" w:styleId="List">
    <w:name w:val="List"/>
    <w:basedOn w:val="BodyText"/>
    <w:rsid w:val="00C149FA"/>
    <w:rPr>
      <w:rFonts w:cs="Lohit Hindi"/>
    </w:rPr>
  </w:style>
  <w:style w:type="paragraph" w:styleId="Caption">
    <w:name w:val="caption"/>
    <w:basedOn w:val="Normal"/>
    <w:qFormat/>
    <w:rsid w:val="00C149FA"/>
    <w:pPr>
      <w:suppressLineNumbers/>
      <w:spacing w:before="120" w:after="120"/>
    </w:pPr>
    <w:rPr>
      <w:rFonts w:cs="Lohit Hindi"/>
      <w:i/>
      <w:iCs/>
      <w:sz w:val="24"/>
      <w:szCs w:val="24"/>
    </w:rPr>
  </w:style>
  <w:style w:type="paragraph" w:customStyle="1" w:styleId="Index">
    <w:name w:val="Index"/>
    <w:basedOn w:val="Normal"/>
    <w:rsid w:val="00C149FA"/>
    <w:pPr>
      <w:suppressLineNumbers/>
    </w:pPr>
    <w:rPr>
      <w:rFonts w:cs="Lohit Hindi"/>
    </w:rPr>
  </w:style>
  <w:style w:type="paragraph" w:customStyle="1" w:styleId="Abstract">
    <w:name w:val="Abstract"/>
    <w:rsid w:val="00C149FA"/>
    <w:pPr>
      <w:suppressAutoHyphens/>
      <w:spacing w:after="200"/>
      <w:ind w:firstLine="170"/>
      <w:jc w:val="both"/>
    </w:pPr>
    <w:rPr>
      <w:rFonts w:eastAsia="SimSun"/>
      <w:b/>
      <w:bCs/>
      <w:sz w:val="18"/>
      <w:szCs w:val="18"/>
      <w:lang w:val="en-US" w:eastAsia="zh-CN" w:bidi="ar-SA"/>
    </w:rPr>
  </w:style>
  <w:style w:type="paragraph" w:customStyle="1" w:styleId="Affiliation">
    <w:name w:val="Affiliation"/>
    <w:qFormat/>
    <w:rsid w:val="00C149FA"/>
    <w:pPr>
      <w:suppressAutoHyphens/>
      <w:jc w:val="center"/>
    </w:pPr>
    <w:rPr>
      <w:rFonts w:eastAsia="SimSun"/>
      <w:lang w:val="en-US" w:eastAsia="zh-CN" w:bidi="ar-SA"/>
    </w:rPr>
  </w:style>
  <w:style w:type="paragraph" w:customStyle="1" w:styleId="Author">
    <w:name w:val="Author"/>
    <w:qFormat/>
    <w:rsid w:val="00C149FA"/>
    <w:pPr>
      <w:suppressAutoHyphens/>
      <w:spacing w:before="360" w:after="40"/>
      <w:jc w:val="center"/>
    </w:pPr>
    <w:rPr>
      <w:rFonts w:eastAsia="SimSun"/>
      <w:sz w:val="22"/>
      <w:szCs w:val="22"/>
      <w:lang w:val="en-US" w:bidi="ar-SA"/>
    </w:rPr>
  </w:style>
  <w:style w:type="paragraph" w:customStyle="1" w:styleId="bulletlist">
    <w:name w:val="bullet list"/>
    <w:basedOn w:val="BodyText"/>
    <w:rsid w:val="00C149FA"/>
    <w:pPr>
      <w:tabs>
        <w:tab w:val="left" w:pos="648"/>
      </w:tabs>
      <w:ind w:left="648" w:hanging="360"/>
    </w:pPr>
  </w:style>
  <w:style w:type="paragraph" w:customStyle="1" w:styleId="equation">
    <w:name w:val="equation"/>
    <w:basedOn w:val="Normal"/>
    <w:rsid w:val="00C149FA"/>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C149FA"/>
    <w:pPr>
      <w:tabs>
        <w:tab w:val="num" w:pos="0"/>
      </w:tabs>
      <w:suppressAutoHyphens/>
      <w:spacing w:before="80" w:after="200"/>
      <w:ind w:left="360" w:hanging="360"/>
      <w:jc w:val="center"/>
    </w:pPr>
    <w:rPr>
      <w:rFonts w:eastAsia="SimSun"/>
      <w:sz w:val="16"/>
      <w:szCs w:val="16"/>
      <w:lang w:val="en-US" w:bidi="ar-SA"/>
    </w:rPr>
  </w:style>
  <w:style w:type="paragraph" w:customStyle="1" w:styleId="footnote">
    <w:name w:val="footnote"/>
    <w:rsid w:val="00C149FA"/>
    <w:pPr>
      <w:tabs>
        <w:tab w:val="left" w:pos="648"/>
      </w:tabs>
      <w:suppressAutoHyphens/>
      <w:spacing w:after="40"/>
      <w:ind w:firstLine="288"/>
    </w:pPr>
    <w:rPr>
      <w:rFonts w:eastAsia="SimSun"/>
      <w:sz w:val="16"/>
      <w:szCs w:val="16"/>
      <w:lang w:val="en-US" w:eastAsia="zh-CN" w:bidi="ar-SA"/>
    </w:rPr>
  </w:style>
  <w:style w:type="paragraph" w:customStyle="1" w:styleId="keywords">
    <w:name w:val="key words"/>
    <w:rsid w:val="00C149FA"/>
    <w:pPr>
      <w:suppressAutoHyphens/>
      <w:spacing w:after="120"/>
      <w:ind w:firstLine="288"/>
      <w:jc w:val="both"/>
    </w:pPr>
    <w:rPr>
      <w:rFonts w:eastAsia="SimSun"/>
      <w:b/>
      <w:bCs/>
      <w:iCs/>
      <w:sz w:val="18"/>
      <w:szCs w:val="18"/>
      <w:lang w:val="en-US" w:bidi="ar-SA"/>
    </w:rPr>
  </w:style>
  <w:style w:type="paragraph" w:customStyle="1" w:styleId="papersubtitle">
    <w:name w:val="paper subtitle"/>
    <w:rsid w:val="00C149FA"/>
    <w:pPr>
      <w:suppressAutoHyphens/>
      <w:spacing w:after="120"/>
      <w:jc w:val="center"/>
    </w:pPr>
    <w:rPr>
      <w:rFonts w:eastAsia="MS Mincho"/>
      <w:sz w:val="28"/>
      <w:szCs w:val="28"/>
      <w:lang w:val="en-US" w:bidi="ar-SA"/>
    </w:rPr>
  </w:style>
  <w:style w:type="paragraph" w:customStyle="1" w:styleId="papertitle">
    <w:name w:val="paper title"/>
    <w:rsid w:val="00C149FA"/>
    <w:pPr>
      <w:suppressAutoHyphens/>
      <w:spacing w:after="120"/>
      <w:jc w:val="center"/>
    </w:pPr>
    <w:rPr>
      <w:rFonts w:eastAsia="MS Mincho"/>
      <w:sz w:val="48"/>
      <w:szCs w:val="48"/>
      <w:lang w:val="en-US" w:bidi="ar-SA"/>
    </w:rPr>
  </w:style>
  <w:style w:type="paragraph" w:customStyle="1" w:styleId="references">
    <w:name w:val="references"/>
    <w:rsid w:val="00C149FA"/>
    <w:pPr>
      <w:tabs>
        <w:tab w:val="num" w:pos="360"/>
      </w:tabs>
      <w:suppressAutoHyphens/>
      <w:spacing w:after="50" w:line="180" w:lineRule="atLeast"/>
      <w:ind w:left="360" w:hanging="360"/>
      <w:jc w:val="both"/>
    </w:pPr>
    <w:rPr>
      <w:rFonts w:eastAsia="MS Mincho"/>
      <w:sz w:val="18"/>
      <w:szCs w:val="16"/>
      <w:lang w:val="en-US" w:bidi="ar-SA"/>
    </w:rPr>
  </w:style>
  <w:style w:type="paragraph" w:customStyle="1" w:styleId="sponsors">
    <w:name w:val="sponsors"/>
    <w:rsid w:val="00C149FA"/>
    <w:pPr>
      <w:pBdr>
        <w:top w:val="single" w:sz="4" w:space="2" w:color="000000"/>
      </w:pBdr>
      <w:suppressAutoHyphens/>
      <w:ind w:firstLine="288"/>
    </w:pPr>
    <w:rPr>
      <w:rFonts w:eastAsia="SimSun"/>
      <w:sz w:val="16"/>
      <w:szCs w:val="16"/>
      <w:lang w:val="en-US" w:eastAsia="zh-CN" w:bidi="ar-SA"/>
    </w:rPr>
  </w:style>
  <w:style w:type="paragraph" w:customStyle="1" w:styleId="tablecolhead">
    <w:name w:val="table col head"/>
    <w:basedOn w:val="Normal"/>
    <w:rsid w:val="00C149FA"/>
    <w:rPr>
      <w:b/>
      <w:bCs/>
      <w:sz w:val="16"/>
      <w:szCs w:val="16"/>
    </w:rPr>
  </w:style>
  <w:style w:type="paragraph" w:customStyle="1" w:styleId="tablecolsubhead">
    <w:name w:val="table col subhead"/>
    <w:basedOn w:val="tablecolhead"/>
    <w:rsid w:val="00C149FA"/>
    <w:rPr>
      <w:i/>
      <w:iCs/>
      <w:sz w:val="15"/>
      <w:szCs w:val="15"/>
    </w:rPr>
  </w:style>
  <w:style w:type="paragraph" w:customStyle="1" w:styleId="tablecopy">
    <w:name w:val="table copy"/>
    <w:rsid w:val="00C149FA"/>
    <w:pPr>
      <w:suppressAutoHyphens/>
      <w:jc w:val="both"/>
    </w:pPr>
    <w:rPr>
      <w:rFonts w:eastAsia="SimSun"/>
      <w:sz w:val="16"/>
      <w:szCs w:val="16"/>
      <w:lang w:val="en-US" w:bidi="ar-SA"/>
    </w:rPr>
  </w:style>
  <w:style w:type="paragraph" w:customStyle="1" w:styleId="tablefootnote">
    <w:name w:val="table footnote"/>
    <w:rsid w:val="00C149FA"/>
    <w:pPr>
      <w:suppressAutoHyphens/>
      <w:spacing w:before="60" w:after="30"/>
      <w:jc w:val="right"/>
    </w:pPr>
    <w:rPr>
      <w:rFonts w:eastAsia="SimSun"/>
      <w:sz w:val="12"/>
      <w:szCs w:val="12"/>
      <w:lang w:val="en-US" w:eastAsia="zh-CN" w:bidi="ar-SA"/>
    </w:rPr>
  </w:style>
  <w:style w:type="paragraph" w:customStyle="1" w:styleId="tablehead">
    <w:name w:val="table head"/>
    <w:rsid w:val="00C149FA"/>
    <w:pPr>
      <w:tabs>
        <w:tab w:val="num" w:pos="0"/>
        <w:tab w:val="left" w:pos="1080"/>
      </w:tabs>
      <w:suppressAutoHyphens/>
      <w:spacing w:before="240" w:after="120" w:line="216" w:lineRule="auto"/>
      <w:jc w:val="center"/>
    </w:pPr>
    <w:rPr>
      <w:rFonts w:eastAsia="SimSun"/>
      <w:smallCaps/>
      <w:sz w:val="16"/>
      <w:szCs w:val="16"/>
      <w:lang w:val="en-US" w:bidi="ar-SA"/>
    </w:rPr>
  </w:style>
  <w:style w:type="paragraph" w:customStyle="1" w:styleId="Framecontents">
    <w:name w:val="Frame contents"/>
    <w:basedOn w:val="BodyText"/>
    <w:rsid w:val="00C149FA"/>
  </w:style>
  <w:style w:type="paragraph" w:customStyle="1" w:styleId="TableContents">
    <w:name w:val="Table Contents"/>
    <w:basedOn w:val="Normal"/>
    <w:rsid w:val="00C149FA"/>
    <w:pPr>
      <w:suppressLineNumbers/>
    </w:pPr>
  </w:style>
  <w:style w:type="paragraph" w:customStyle="1" w:styleId="TableHeading">
    <w:name w:val="Table Heading"/>
    <w:basedOn w:val="TableContents"/>
    <w:rsid w:val="00C149FA"/>
    <w:rPr>
      <w:b/>
      <w:bCs/>
    </w:rPr>
  </w:style>
  <w:style w:type="paragraph" w:styleId="ListParagraph">
    <w:name w:val="List Paragraph"/>
    <w:basedOn w:val="Normal"/>
    <w:uiPriority w:val="34"/>
    <w:qFormat/>
    <w:rsid w:val="0081633B"/>
    <w:pPr>
      <w:ind w:left="720"/>
    </w:pPr>
  </w:style>
  <w:style w:type="paragraph" w:styleId="Header">
    <w:name w:val="header"/>
    <w:basedOn w:val="Normal"/>
    <w:link w:val="HeaderChar"/>
    <w:uiPriority w:val="99"/>
    <w:semiHidden/>
    <w:unhideWhenUsed/>
    <w:rsid w:val="0010729F"/>
    <w:pPr>
      <w:tabs>
        <w:tab w:val="center" w:pos="4680"/>
        <w:tab w:val="right" w:pos="9360"/>
      </w:tabs>
    </w:pPr>
    <w:rPr>
      <w:lang/>
    </w:rPr>
  </w:style>
  <w:style w:type="character" w:customStyle="1" w:styleId="HeaderChar">
    <w:name w:val="Header Char"/>
    <w:link w:val="Header"/>
    <w:uiPriority w:val="99"/>
    <w:semiHidden/>
    <w:rsid w:val="0010729F"/>
    <w:rPr>
      <w:rFonts w:eastAsia="SimSun"/>
      <w:lang w:eastAsia="zh-CN"/>
    </w:rPr>
  </w:style>
  <w:style w:type="paragraph" w:styleId="Footer">
    <w:name w:val="footer"/>
    <w:basedOn w:val="Normal"/>
    <w:link w:val="FooterChar"/>
    <w:uiPriority w:val="99"/>
    <w:semiHidden/>
    <w:unhideWhenUsed/>
    <w:rsid w:val="0010729F"/>
    <w:pPr>
      <w:tabs>
        <w:tab w:val="center" w:pos="4680"/>
        <w:tab w:val="right" w:pos="9360"/>
      </w:tabs>
    </w:pPr>
    <w:rPr>
      <w:lang/>
    </w:rPr>
  </w:style>
  <w:style w:type="character" w:customStyle="1" w:styleId="FooterChar">
    <w:name w:val="Footer Char"/>
    <w:link w:val="Footer"/>
    <w:uiPriority w:val="99"/>
    <w:semiHidden/>
    <w:rsid w:val="0010729F"/>
    <w:rPr>
      <w:rFonts w:eastAsia="SimSun"/>
      <w:lang w:eastAsia="zh-CN"/>
    </w:rPr>
  </w:style>
  <w:style w:type="character" w:customStyle="1" w:styleId="apple-converted-space">
    <w:name w:val="apple-converted-space"/>
    <w:basedOn w:val="DefaultParagraphFont"/>
    <w:rsid w:val="008369BE"/>
  </w:style>
  <w:style w:type="character" w:styleId="Hyperlink">
    <w:name w:val="Hyperlink"/>
    <w:uiPriority w:val="99"/>
    <w:unhideWhenUsed/>
    <w:rsid w:val="00DB79D2"/>
    <w:rPr>
      <w:color w:val="0000FF"/>
      <w:u w:val="single"/>
    </w:rPr>
  </w:style>
  <w:style w:type="character" w:styleId="Strong">
    <w:name w:val="Strong"/>
    <w:uiPriority w:val="22"/>
    <w:qFormat/>
    <w:rsid w:val="00786237"/>
    <w:rPr>
      <w:b/>
      <w:bCs/>
    </w:rPr>
  </w:style>
  <w:style w:type="paragraph" w:styleId="NormalWeb">
    <w:name w:val="Normal (Web)"/>
    <w:basedOn w:val="Normal"/>
    <w:uiPriority w:val="99"/>
    <w:unhideWhenUsed/>
    <w:rsid w:val="0031170E"/>
    <w:pPr>
      <w:suppressAutoHyphens w:val="0"/>
      <w:spacing w:before="100" w:beforeAutospacing="1" w:after="100" w:afterAutospacing="1"/>
      <w:jc w:val="left"/>
    </w:pPr>
    <w:rPr>
      <w:rFonts w:eastAsia="Times New Roman"/>
      <w:sz w:val="24"/>
      <w:szCs w:val="24"/>
      <w:lang w:eastAsia="en-US"/>
    </w:rPr>
  </w:style>
  <w:style w:type="character" w:customStyle="1" w:styleId="overflow-hidden">
    <w:name w:val="overflow-hidden"/>
    <w:basedOn w:val="DefaultParagraphFont"/>
    <w:rsid w:val="00BE6D84"/>
  </w:style>
  <w:style w:type="character" w:styleId="HTMLCode">
    <w:name w:val="HTML Code"/>
    <w:uiPriority w:val="99"/>
    <w:semiHidden/>
    <w:unhideWhenUsed/>
    <w:rsid w:val="004447A8"/>
    <w:rPr>
      <w:rFonts w:ascii="Courier New" w:eastAsia="Times New Roman" w:hAnsi="Courier New" w:cs="Courier New"/>
      <w:sz w:val="20"/>
      <w:szCs w:val="20"/>
    </w:rPr>
  </w:style>
  <w:style w:type="character" w:customStyle="1" w:styleId="html-italic">
    <w:name w:val="html-italic"/>
    <w:basedOn w:val="DefaultParagraphFont"/>
    <w:rsid w:val="007261B6"/>
  </w:style>
  <w:style w:type="character" w:styleId="Emphasis">
    <w:name w:val="Emphasis"/>
    <w:uiPriority w:val="20"/>
    <w:qFormat/>
    <w:rsid w:val="00E406E1"/>
    <w:rPr>
      <w:i/>
      <w:iCs/>
    </w:rPr>
  </w:style>
  <w:style w:type="paragraph" w:customStyle="1" w:styleId="ds-markdown-paragraph">
    <w:name w:val="ds-markdown-paragraph"/>
    <w:basedOn w:val="Normal"/>
    <w:rsid w:val="00F9229D"/>
    <w:pPr>
      <w:suppressAutoHyphens w:val="0"/>
      <w:spacing w:before="100" w:beforeAutospacing="1" w:after="100" w:afterAutospacing="1"/>
      <w:jc w:val="left"/>
    </w:pPr>
    <w:rPr>
      <w:rFonts w:eastAsia="Times New Roman"/>
      <w:sz w:val="24"/>
      <w:szCs w:val="24"/>
      <w:lang w:eastAsia="en-US"/>
    </w:rPr>
  </w:style>
  <w:style w:type="table" w:styleId="TableGrid">
    <w:name w:val="Table Grid"/>
    <w:basedOn w:val="TableNormal"/>
    <w:uiPriority w:val="59"/>
    <w:rsid w:val="00F9229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2D7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eastAsia="Times New Roman" w:hAnsi="Courier New" w:cs="Courier New"/>
      <w:lang w:eastAsia="en-US"/>
    </w:rPr>
  </w:style>
  <w:style w:type="character" w:customStyle="1" w:styleId="HTMLPreformattedChar">
    <w:name w:val="HTML Preformatted Char"/>
    <w:basedOn w:val="DefaultParagraphFont"/>
    <w:link w:val="HTMLPreformatted"/>
    <w:uiPriority w:val="99"/>
    <w:semiHidden/>
    <w:rsid w:val="002D7684"/>
    <w:rPr>
      <w:rFonts w:ascii="Courier New" w:hAnsi="Courier New" w:cs="Courier New"/>
    </w:rPr>
  </w:style>
  <w:style w:type="character" w:customStyle="1" w:styleId="token">
    <w:name w:val="token"/>
    <w:basedOn w:val="DefaultParagraphFont"/>
    <w:rsid w:val="002D7684"/>
  </w:style>
  <w:style w:type="paragraph" w:customStyle="1" w:styleId="zfr3q">
    <w:name w:val="zfr3q"/>
    <w:basedOn w:val="Normal"/>
    <w:rsid w:val="000D1EE8"/>
    <w:pPr>
      <w:suppressAutoHyphens w:val="0"/>
      <w:spacing w:before="100" w:beforeAutospacing="1" w:after="100" w:afterAutospacing="1"/>
      <w:jc w:val="left"/>
    </w:pPr>
    <w:rPr>
      <w:rFonts w:eastAsia="Times New Roman"/>
      <w:sz w:val="24"/>
      <w:szCs w:val="24"/>
      <w:lang w:eastAsia="en-US"/>
    </w:rPr>
  </w:style>
  <w:style w:type="character" w:customStyle="1" w:styleId="c9dxtc">
    <w:name w:val="c9dxtc"/>
    <w:basedOn w:val="DefaultParagraphFont"/>
    <w:rsid w:val="000D1EE8"/>
  </w:style>
  <w:style w:type="character" w:customStyle="1" w:styleId="UnresolvedMention">
    <w:name w:val="Unresolved Mention"/>
    <w:basedOn w:val="DefaultParagraphFont"/>
    <w:uiPriority w:val="99"/>
    <w:semiHidden/>
    <w:unhideWhenUsed/>
    <w:rsid w:val="001A69A6"/>
    <w:rPr>
      <w:color w:val="605E5C"/>
      <w:shd w:val="clear" w:color="auto" w:fill="E1DFDD"/>
    </w:rPr>
  </w:style>
  <w:style w:type="paragraph" w:styleId="BalloonText">
    <w:name w:val="Balloon Text"/>
    <w:basedOn w:val="Normal"/>
    <w:link w:val="BalloonTextChar"/>
    <w:uiPriority w:val="99"/>
    <w:semiHidden/>
    <w:unhideWhenUsed/>
    <w:rsid w:val="00D8596A"/>
    <w:rPr>
      <w:rFonts w:ascii="Tahoma" w:hAnsi="Tahoma" w:cs="Tahoma"/>
      <w:sz w:val="16"/>
      <w:szCs w:val="16"/>
    </w:rPr>
  </w:style>
  <w:style w:type="character" w:customStyle="1" w:styleId="BalloonTextChar">
    <w:name w:val="Balloon Text Char"/>
    <w:basedOn w:val="DefaultParagraphFont"/>
    <w:link w:val="BalloonText"/>
    <w:uiPriority w:val="99"/>
    <w:semiHidden/>
    <w:rsid w:val="00D8596A"/>
    <w:rPr>
      <w:rFonts w:ascii="Tahoma" w:eastAsia="SimSun" w:hAnsi="Tahoma" w:cs="Tahoma"/>
      <w:sz w:val="16"/>
      <w:szCs w:val="16"/>
      <w:lang w:val="en-US" w:eastAsia="zh-CN" w:bidi="ar-SA"/>
    </w:rPr>
  </w:style>
</w:styles>
</file>

<file path=word/webSettings.xml><?xml version="1.0" encoding="utf-8"?>
<w:webSettings xmlns:r="http://schemas.openxmlformats.org/officeDocument/2006/relationships" xmlns:w="http://schemas.openxmlformats.org/wordprocessingml/2006/main">
  <w:divs>
    <w:div w:id="17782034">
      <w:bodyDiv w:val="1"/>
      <w:marLeft w:val="0"/>
      <w:marRight w:val="0"/>
      <w:marTop w:val="0"/>
      <w:marBottom w:val="0"/>
      <w:divBdr>
        <w:top w:val="none" w:sz="0" w:space="0" w:color="auto"/>
        <w:left w:val="none" w:sz="0" w:space="0" w:color="auto"/>
        <w:bottom w:val="none" w:sz="0" w:space="0" w:color="auto"/>
        <w:right w:val="none" w:sz="0" w:space="0" w:color="auto"/>
      </w:divBdr>
    </w:div>
    <w:div w:id="84572411">
      <w:bodyDiv w:val="1"/>
      <w:marLeft w:val="0"/>
      <w:marRight w:val="0"/>
      <w:marTop w:val="0"/>
      <w:marBottom w:val="0"/>
      <w:divBdr>
        <w:top w:val="none" w:sz="0" w:space="0" w:color="auto"/>
        <w:left w:val="none" w:sz="0" w:space="0" w:color="auto"/>
        <w:bottom w:val="none" w:sz="0" w:space="0" w:color="auto"/>
        <w:right w:val="none" w:sz="0" w:space="0" w:color="auto"/>
      </w:divBdr>
    </w:div>
    <w:div w:id="94979201">
      <w:bodyDiv w:val="1"/>
      <w:marLeft w:val="0"/>
      <w:marRight w:val="0"/>
      <w:marTop w:val="0"/>
      <w:marBottom w:val="0"/>
      <w:divBdr>
        <w:top w:val="none" w:sz="0" w:space="0" w:color="auto"/>
        <w:left w:val="none" w:sz="0" w:space="0" w:color="auto"/>
        <w:bottom w:val="none" w:sz="0" w:space="0" w:color="auto"/>
        <w:right w:val="none" w:sz="0" w:space="0" w:color="auto"/>
      </w:divBdr>
    </w:div>
    <w:div w:id="106511117">
      <w:bodyDiv w:val="1"/>
      <w:marLeft w:val="0"/>
      <w:marRight w:val="0"/>
      <w:marTop w:val="0"/>
      <w:marBottom w:val="0"/>
      <w:divBdr>
        <w:top w:val="none" w:sz="0" w:space="0" w:color="auto"/>
        <w:left w:val="none" w:sz="0" w:space="0" w:color="auto"/>
        <w:bottom w:val="none" w:sz="0" w:space="0" w:color="auto"/>
        <w:right w:val="none" w:sz="0" w:space="0" w:color="auto"/>
      </w:divBdr>
    </w:div>
    <w:div w:id="124665683">
      <w:bodyDiv w:val="1"/>
      <w:marLeft w:val="0"/>
      <w:marRight w:val="0"/>
      <w:marTop w:val="0"/>
      <w:marBottom w:val="0"/>
      <w:divBdr>
        <w:top w:val="none" w:sz="0" w:space="0" w:color="auto"/>
        <w:left w:val="none" w:sz="0" w:space="0" w:color="auto"/>
        <w:bottom w:val="none" w:sz="0" w:space="0" w:color="auto"/>
        <w:right w:val="none" w:sz="0" w:space="0" w:color="auto"/>
      </w:divBdr>
    </w:div>
    <w:div w:id="153569333">
      <w:bodyDiv w:val="1"/>
      <w:marLeft w:val="0"/>
      <w:marRight w:val="0"/>
      <w:marTop w:val="0"/>
      <w:marBottom w:val="0"/>
      <w:divBdr>
        <w:top w:val="none" w:sz="0" w:space="0" w:color="auto"/>
        <w:left w:val="none" w:sz="0" w:space="0" w:color="auto"/>
        <w:bottom w:val="none" w:sz="0" w:space="0" w:color="auto"/>
        <w:right w:val="none" w:sz="0" w:space="0" w:color="auto"/>
      </w:divBdr>
    </w:div>
    <w:div w:id="158078353">
      <w:bodyDiv w:val="1"/>
      <w:marLeft w:val="0"/>
      <w:marRight w:val="0"/>
      <w:marTop w:val="0"/>
      <w:marBottom w:val="0"/>
      <w:divBdr>
        <w:top w:val="none" w:sz="0" w:space="0" w:color="auto"/>
        <w:left w:val="none" w:sz="0" w:space="0" w:color="auto"/>
        <w:bottom w:val="none" w:sz="0" w:space="0" w:color="auto"/>
        <w:right w:val="none" w:sz="0" w:space="0" w:color="auto"/>
      </w:divBdr>
      <w:divsChild>
        <w:div w:id="307130503">
          <w:marLeft w:val="0"/>
          <w:marRight w:val="0"/>
          <w:marTop w:val="0"/>
          <w:marBottom w:val="0"/>
          <w:divBdr>
            <w:top w:val="none" w:sz="0" w:space="0" w:color="auto"/>
            <w:left w:val="none" w:sz="0" w:space="0" w:color="auto"/>
            <w:bottom w:val="none" w:sz="0" w:space="0" w:color="auto"/>
            <w:right w:val="none" w:sz="0" w:space="0" w:color="auto"/>
          </w:divBdr>
          <w:divsChild>
            <w:div w:id="482159336">
              <w:marLeft w:val="0"/>
              <w:marRight w:val="0"/>
              <w:marTop w:val="0"/>
              <w:marBottom w:val="0"/>
              <w:divBdr>
                <w:top w:val="none" w:sz="0" w:space="0" w:color="auto"/>
                <w:left w:val="none" w:sz="0" w:space="0" w:color="auto"/>
                <w:bottom w:val="none" w:sz="0" w:space="0" w:color="auto"/>
                <w:right w:val="none" w:sz="0" w:space="0" w:color="auto"/>
              </w:divBdr>
              <w:divsChild>
                <w:div w:id="1257053307">
                  <w:marLeft w:val="0"/>
                  <w:marRight w:val="0"/>
                  <w:marTop w:val="0"/>
                  <w:marBottom w:val="0"/>
                  <w:divBdr>
                    <w:top w:val="none" w:sz="0" w:space="0" w:color="auto"/>
                    <w:left w:val="none" w:sz="0" w:space="0" w:color="auto"/>
                    <w:bottom w:val="none" w:sz="0" w:space="0" w:color="auto"/>
                    <w:right w:val="none" w:sz="0" w:space="0" w:color="auto"/>
                  </w:divBdr>
                  <w:divsChild>
                    <w:div w:id="51415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407215">
          <w:marLeft w:val="0"/>
          <w:marRight w:val="0"/>
          <w:marTop w:val="0"/>
          <w:marBottom w:val="0"/>
          <w:divBdr>
            <w:top w:val="none" w:sz="0" w:space="0" w:color="auto"/>
            <w:left w:val="none" w:sz="0" w:space="0" w:color="auto"/>
            <w:bottom w:val="none" w:sz="0" w:space="0" w:color="auto"/>
            <w:right w:val="none" w:sz="0" w:space="0" w:color="auto"/>
          </w:divBdr>
          <w:divsChild>
            <w:div w:id="591550933">
              <w:marLeft w:val="0"/>
              <w:marRight w:val="0"/>
              <w:marTop w:val="0"/>
              <w:marBottom w:val="0"/>
              <w:divBdr>
                <w:top w:val="none" w:sz="0" w:space="0" w:color="auto"/>
                <w:left w:val="none" w:sz="0" w:space="0" w:color="auto"/>
                <w:bottom w:val="none" w:sz="0" w:space="0" w:color="auto"/>
                <w:right w:val="none" w:sz="0" w:space="0" w:color="auto"/>
              </w:divBdr>
              <w:divsChild>
                <w:div w:id="1061370738">
                  <w:marLeft w:val="0"/>
                  <w:marRight w:val="0"/>
                  <w:marTop w:val="0"/>
                  <w:marBottom w:val="0"/>
                  <w:divBdr>
                    <w:top w:val="none" w:sz="0" w:space="0" w:color="auto"/>
                    <w:left w:val="none" w:sz="0" w:space="0" w:color="auto"/>
                    <w:bottom w:val="none" w:sz="0" w:space="0" w:color="auto"/>
                    <w:right w:val="none" w:sz="0" w:space="0" w:color="auto"/>
                  </w:divBdr>
                  <w:divsChild>
                    <w:div w:id="21215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185774">
      <w:bodyDiv w:val="1"/>
      <w:marLeft w:val="0"/>
      <w:marRight w:val="0"/>
      <w:marTop w:val="0"/>
      <w:marBottom w:val="0"/>
      <w:divBdr>
        <w:top w:val="none" w:sz="0" w:space="0" w:color="auto"/>
        <w:left w:val="none" w:sz="0" w:space="0" w:color="auto"/>
        <w:bottom w:val="none" w:sz="0" w:space="0" w:color="auto"/>
        <w:right w:val="none" w:sz="0" w:space="0" w:color="auto"/>
      </w:divBdr>
      <w:divsChild>
        <w:div w:id="1969435298">
          <w:marLeft w:val="0"/>
          <w:marRight w:val="0"/>
          <w:marTop w:val="0"/>
          <w:marBottom w:val="0"/>
          <w:divBdr>
            <w:top w:val="none" w:sz="0" w:space="0" w:color="auto"/>
            <w:left w:val="none" w:sz="0" w:space="0" w:color="auto"/>
            <w:bottom w:val="none" w:sz="0" w:space="0" w:color="auto"/>
            <w:right w:val="none" w:sz="0" w:space="0" w:color="auto"/>
          </w:divBdr>
          <w:divsChild>
            <w:div w:id="2118986604">
              <w:marLeft w:val="0"/>
              <w:marRight w:val="0"/>
              <w:marTop w:val="0"/>
              <w:marBottom w:val="0"/>
              <w:divBdr>
                <w:top w:val="none" w:sz="0" w:space="0" w:color="auto"/>
                <w:left w:val="none" w:sz="0" w:space="0" w:color="auto"/>
                <w:bottom w:val="none" w:sz="0" w:space="0" w:color="auto"/>
                <w:right w:val="none" w:sz="0" w:space="0" w:color="auto"/>
              </w:divBdr>
              <w:divsChild>
                <w:div w:id="1552885142">
                  <w:marLeft w:val="0"/>
                  <w:marRight w:val="0"/>
                  <w:marTop w:val="0"/>
                  <w:marBottom w:val="0"/>
                  <w:divBdr>
                    <w:top w:val="none" w:sz="0" w:space="0" w:color="auto"/>
                    <w:left w:val="none" w:sz="0" w:space="0" w:color="auto"/>
                    <w:bottom w:val="none" w:sz="0" w:space="0" w:color="auto"/>
                    <w:right w:val="none" w:sz="0" w:space="0" w:color="auto"/>
                  </w:divBdr>
                  <w:divsChild>
                    <w:div w:id="964044742">
                      <w:marLeft w:val="0"/>
                      <w:marRight w:val="0"/>
                      <w:marTop w:val="0"/>
                      <w:marBottom w:val="0"/>
                      <w:divBdr>
                        <w:top w:val="none" w:sz="0" w:space="0" w:color="auto"/>
                        <w:left w:val="none" w:sz="0" w:space="0" w:color="auto"/>
                        <w:bottom w:val="none" w:sz="0" w:space="0" w:color="auto"/>
                        <w:right w:val="none" w:sz="0" w:space="0" w:color="auto"/>
                      </w:divBdr>
                      <w:divsChild>
                        <w:div w:id="520049464">
                          <w:marLeft w:val="0"/>
                          <w:marRight w:val="0"/>
                          <w:marTop w:val="0"/>
                          <w:marBottom w:val="0"/>
                          <w:divBdr>
                            <w:top w:val="none" w:sz="0" w:space="0" w:color="auto"/>
                            <w:left w:val="none" w:sz="0" w:space="0" w:color="auto"/>
                            <w:bottom w:val="none" w:sz="0" w:space="0" w:color="auto"/>
                            <w:right w:val="none" w:sz="0" w:space="0" w:color="auto"/>
                          </w:divBdr>
                          <w:divsChild>
                            <w:div w:id="567230469">
                              <w:marLeft w:val="0"/>
                              <w:marRight w:val="0"/>
                              <w:marTop w:val="0"/>
                              <w:marBottom w:val="0"/>
                              <w:divBdr>
                                <w:top w:val="none" w:sz="0" w:space="0" w:color="auto"/>
                                <w:left w:val="none" w:sz="0" w:space="0" w:color="auto"/>
                                <w:bottom w:val="none" w:sz="0" w:space="0" w:color="auto"/>
                                <w:right w:val="none" w:sz="0" w:space="0" w:color="auto"/>
                              </w:divBdr>
                              <w:divsChild>
                                <w:div w:id="2594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6843183">
      <w:bodyDiv w:val="1"/>
      <w:marLeft w:val="0"/>
      <w:marRight w:val="0"/>
      <w:marTop w:val="0"/>
      <w:marBottom w:val="0"/>
      <w:divBdr>
        <w:top w:val="none" w:sz="0" w:space="0" w:color="auto"/>
        <w:left w:val="none" w:sz="0" w:space="0" w:color="auto"/>
        <w:bottom w:val="none" w:sz="0" w:space="0" w:color="auto"/>
        <w:right w:val="none" w:sz="0" w:space="0" w:color="auto"/>
      </w:divBdr>
    </w:div>
    <w:div w:id="305594410">
      <w:bodyDiv w:val="1"/>
      <w:marLeft w:val="0"/>
      <w:marRight w:val="0"/>
      <w:marTop w:val="0"/>
      <w:marBottom w:val="0"/>
      <w:divBdr>
        <w:top w:val="none" w:sz="0" w:space="0" w:color="auto"/>
        <w:left w:val="none" w:sz="0" w:space="0" w:color="auto"/>
        <w:bottom w:val="none" w:sz="0" w:space="0" w:color="auto"/>
        <w:right w:val="none" w:sz="0" w:space="0" w:color="auto"/>
      </w:divBdr>
    </w:div>
    <w:div w:id="322196193">
      <w:bodyDiv w:val="1"/>
      <w:marLeft w:val="0"/>
      <w:marRight w:val="0"/>
      <w:marTop w:val="0"/>
      <w:marBottom w:val="0"/>
      <w:divBdr>
        <w:top w:val="none" w:sz="0" w:space="0" w:color="auto"/>
        <w:left w:val="none" w:sz="0" w:space="0" w:color="auto"/>
        <w:bottom w:val="none" w:sz="0" w:space="0" w:color="auto"/>
        <w:right w:val="none" w:sz="0" w:space="0" w:color="auto"/>
      </w:divBdr>
    </w:div>
    <w:div w:id="539706162">
      <w:bodyDiv w:val="1"/>
      <w:marLeft w:val="0"/>
      <w:marRight w:val="0"/>
      <w:marTop w:val="0"/>
      <w:marBottom w:val="0"/>
      <w:divBdr>
        <w:top w:val="none" w:sz="0" w:space="0" w:color="auto"/>
        <w:left w:val="none" w:sz="0" w:space="0" w:color="auto"/>
        <w:bottom w:val="none" w:sz="0" w:space="0" w:color="auto"/>
        <w:right w:val="none" w:sz="0" w:space="0" w:color="auto"/>
      </w:divBdr>
    </w:div>
    <w:div w:id="553155198">
      <w:bodyDiv w:val="1"/>
      <w:marLeft w:val="0"/>
      <w:marRight w:val="0"/>
      <w:marTop w:val="0"/>
      <w:marBottom w:val="0"/>
      <w:divBdr>
        <w:top w:val="none" w:sz="0" w:space="0" w:color="auto"/>
        <w:left w:val="none" w:sz="0" w:space="0" w:color="auto"/>
        <w:bottom w:val="none" w:sz="0" w:space="0" w:color="auto"/>
        <w:right w:val="none" w:sz="0" w:space="0" w:color="auto"/>
      </w:divBdr>
    </w:div>
    <w:div w:id="555513318">
      <w:bodyDiv w:val="1"/>
      <w:marLeft w:val="0"/>
      <w:marRight w:val="0"/>
      <w:marTop w:val="0"/>
      <w:marBottom w:val="0"/>
      <w:divBdr>
        <w:top w:val="none" w:sz="0" w:space="0" w:color="auto"/>
        <w:left w:val="none" w:sz="0" w:space="0" w:color="auto"/>
        <w:bottom w:val="none" w:sz="0" w:space="0" w:color="auto"/>
        <w:right w:val="none" w:sz="0" w:space="0" w:color="auto"/>
      </w:divBdr>
    </w:div>
    <w:div w:id="582951076">
      <w:bodyDiv w:val="1"/>
      <w:marLeft w:val="0"/>
      <w:marRight w:val="0"/>
      <w:marTop w:val="0"/>
      <w:marBottom w:val="0"/>
      <w:divBdr>
        <w:top w:val="none" w:sz="0" w:space="0" w:color="auto"/>
        <w:left w:val="none" w:sz="0" w:space="0" w:color="auto"/>
        <w:bottom w:val="none" w:sz="0" w:space="0" w:color="auto"/>
        <w:right w:val="none" w:sz="0" w:space="0" w:color="auto"/>
      </w:divBdr>
    </w:div>
    <w:div w:id="583147750">
      <w:bodyDiv w:val="1"/>
      <w:marLeft w:val="0"/>
      <w:marRight w:val="0"/>
      <w:marTop w:val="0"/>
      <w:marBottom w:val="0"/>
      <w:divBdr>
        <w:top w:val="none" w:sz="0" w:space="0" w:color="auto"/>
        <w:left w:val="none" w:sz="0" w:space="0" w:color="auto"/>
        <w:bottom w:val="none" w:sz="0" w:space="0" w:color="auto"/>
        <w:right w:val="none" w:sz="0" w:space="0" w:color="auto"/>
      </w:divBdr>
    </w:div>
    <w:div w:id="591356669">
      <w:bodyDiv w:val="1"/>
      <w:marLeft w:val="0"/>
      <w:marRight w:val="0"/>
      <w:marTop w:val="0"/>
      <w:marBottom w:val="0"/>
      <w:divBdr>
        <w:top w:val="none" w:sz="0" w:space="0" w:color="auto"/>
        <w:left w:val="none" w:sz="0" w:space="0" w:color="auto"/>
        <w:bottom w:val="none" w:sz="0" w:space="0" w:color="auto"/>
        <w:right w:val="none" w:sz="0" w:space="0" w:color="auto"/>
      </w:divBdr>
    </w:div>
    <w:div w:id="761679786">
      <w:bodyDiv w:val="1"/>
      <w:marLeft w:val="0"/>
      <w:marRight w:val="0"/>
      <w:marTop w:val="0"/>
      <w:marBottom w:val="0"/>
      <w:divBdr>
        <w:top w:val="none" w:sz="0" w:space="0" w:color="auto"/>
        <w:left w:val="none" w:sz="0" w:space="0" w:color="auto"/>
        <w:bottom w:val="none" w:sz="0" w:space="0" w:color="auto"/>
        <w:right w:val="none" w:sz="0" w:space="0" w:color="auto"/>
      </w:divBdr>
    </w:div>
    <w:div w:id="780220844">
      <w:bodyDiv w:val="1"/>
      <w:marLeft w:val="0"/>
      <w:marRight w:val="0"/>
      <w:marTop w:val="0"/>
      <w:marBottom w:val="0"/>
      <w:divBdr>
        <w:top w:val="none" w:sz="0" w:space="0" w:color="auto"/>
        <w:left w:val="none" w:sz="0" w:space="0" w:color="auto"/>
        <w:bottom w:val="none" w:sz="0" w:space="0" w:color="auto"/>
        <w:right w:val="none" w:sz="0" w:space="0" w:color="auto"/>
      </w:divBdr>
    </w:div>
    <w:div w:id="834107416">
      <w:bodyDiv w:val="1"/>
      <w:marLeft w:val="0"/>
      <w:marRight w:val="0"/>
      <w:marTop w:val="0"/>
      <w:marBottom w:val="0"/>
      <w:divBdr>
        <w:top w:val="none" w:sz="0" w:space="0" w:color="auto"/>
        <w:left w:val="none" w:sz="0" w:space="0" w:color="auto"/>
        <w:bottom w:val="none" w:sz="0" w:space="0" w:color="auto"/>
        <w:right w:val="none" w:sz="0" w:space="0" w:color="auto"/>
      </w:divBdr>
    </w:div>
    <w:div w:id="883906464">
      <w:bodyDiv w:val="1"/>
      <w:marLeft w:val="0"/>
      <w:marRight w:val="0"/>
      <w:marTop w:val="0"/>
      <w:marBottom w:val="0"/>
      <w:divBdr>
        <w:top w:val="none" w:sz="0" w:space="0" w:color="auto"/>
        <w:left w:val="none" w:sz="0" w:space="0" w:color="auto"/>
        <w:bottom w:val="none" w:sz="0" w:space="0" w:color="auto"/>
        <w:right w:val="none" w:sz="0" w:space="0" w:color="auto"/>
      </w:divBdr>
    </w:div>
    <w:div w:id="898056691">
      <w:bodyDiv w:val="1"/>
      <w:marLeft w:val="0"/>
      <w:marRight w:val="0"/>
      <w:marTop w:val="0"/>
      <w:marBottom w:val="0"/>
      <w:divBdr>
        <w:top w:val="none" w:sz="0" w:space="0" w:color="auto"/>
        <w:left w:val="none" w:sz="0" w:space="0" w:color="auto"/>
        <w:bottom w:val="none" w:sz="0" w:space="0" w:color="auto"/>
        <w:right w:val="none" w:sz="0" w:space="0" w:color="auto"/>
      </w:divBdr>
    </w:div>
    <w:div w:id="903176403">
      <w:bodyDiv w:val="1"/>
      <w:marLeft w:val="0"/>
      <w:marRight w:val="0"/>
      <w:marTop w:val="0"/>
      <w:marBottom w:val="0"/>
      <w:divBdr>
        <w:top w:val="none" w:sz="0" w:space="0" w:color="auto"/>
        <w:left w:val="none" w:sz="0" w:space="0" w:color="auto"/>
        <w:bottom w:val="none" w:sz="0" w:space="0" w:color="auto"/>
        <w:right w:val="none" w:sz="0" w:space="0" w:color="auto"/>
      </w:divBdr>
    </w:div>
    <w:div w:id="926304222">
      <w:bodyDiv w:val="1"/>
      <w:marLeft w:val="0"/>
      <w:marRight w:val="0"/>
      <w:marTop w:val="0"/>
      <w:marBottom w:val="0"/>
      <w:divBdr>
        <w:top w:val="none" w:sz="0" w:space="0" w:color="auto"/>
        <w:left w:val="none" w:sz="0" w:space="0" w:color="auto"/>
        <w:bottom w:val="none" w:sz="0" w:space="0" w:color="auto"/>
        <w:right w:val="none" w:sz="0" w:space="0" w:color="auto"/>
      </w:divBdr>
      <w:divsChild>
        <w:div w:id="1528062337">
          <w:marLeft w:val="0"/>
          <w:marRight w:val="0"/>
          <w:marTop w:val="0"/>
          <w:marBottom w:val="0"/>
          <w:divBdr>
            <w:top w:val="none" w:sz="0" w:space="0" w:color="auto"/>
            <w:left w:val="none" w:sz="0" w:space="0" w:color="auto"/>
            <w:bottom w:val="none" w:sz="0" w:space="0" w:color="auto"/>
            <w:right w:val="none" w:sz="0" w:space="0" w:color="auto"/>
          </w:divBdr>
          <w:divsChild>
            <w:div w:id="643125256">
              <w:marLeft w:val="0"/>
              <w:marRight w:val="0"/>
              <w:marTop w:val="0"/>
              <w:marBottom w:val="0"/>
              <w:divBdr>
                <w:top w:val="none" w:sz="0" w:space="0" w:color="auto"/>
                <w:left w:val="none" w:sz="0" w:space="0" w:color="auto"/>
                <w:bottom w:val="none" w:sz="0" w:space="0" w:color="auto"/>
                <w:right w:val="none" w:sz="0" w:space="0" w:color="auto"/>
              </w:divBdr>
              <w:divsChild>
                <w:div w:id="1312556961">
                  <w:marLeft w:val="0"/>
                  <w:marRight w:val="0"/>
                  <w:marTop w:val="0"/>
                  <w:marBottom w:val="0"/>
                  <w:divBdr>
                    <w:top w:val="none" w:sz="0" w:space="0" w:color="auto"/>
                    <w:left w:val="none" w:sz="0" w:space="0" w:color="auto"/>
                    <w:bottom w:val="none" w:sz="0" w:space="0" w:color="auto"/>
                    <w:right w:val="none" w:sz="0" w:space="0" w:color="auto"/>
                  </w:divBdr>
                  <w:divsChild>
                    <w:div w:id="121708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478247">
      <w:bodyDiv w:val="1"/>
      <w:marLeft w:val="0"/>
      <w:marRight w:val="0"/>
      <w:marTop w:val="0"/>
      <w:marBottom w:val="0"/>
      <w:divBdr>
        <w:top w:val="none" w:sz="0" w:space="0" w:color="auto"/>
        <w:left w:val="none" w:sz="0" w:space="0" w:color="auto"/>
        <w:bottom w:val="none" w:sz="0" w:space="0" w:color="auto"/>
        <w:right w:val="none" w:sz="0" w:space="0" w:color="auto"/>
      </w:divBdr>
    </w:div>
    <w:div w:id="962225440">
      <w:bodyDiv w:val="1"/>
      <w:marLeft w:val="0"/>
      <w:marRight w:val="0"/>
      <w:marTop w:val="0"/>
      <w:marBottom w:val="0"/>
      <w:divBdr>
        <w:top w:val="none" w:sz="0" w:space="0" w:color="auto"/>
        <w:left w:val="none" w:sz="0" w:space="0" w:color="auto"/>
        <w:bottom w:val="none" w:sz="0" w:space="0" w:color="auto"/>
        <w:right w:val="none" w:sz="0" w:space="0" w:color="auto"/>
      </w:divBdr>
      <w:divsChild>
        <w:div w:id="1387292437">
          <w:marLeft w:val="0"/>
          <w:marRight w:val="0"/>
          <w:marTop w:val="0"/>
          <w:marBottom w:val="0"/>
          <w:divBdr>
            <w:top w:val="none" w:sz="0" w:space="0" w:color="auto"/>
            <w:left w:val="none" w:sz="0" w:space="0" w:color="auto"/>
            <w:bottom w:val="none" w:sz="0" w:space="0" w:color="auto"/>
            <w:right w:val="none" w:sz="0" w:space="0" w:color="auto"/>
          </w:divBdr>
          <w:divsChild>
            <w:div w:id="1804419986">
              <w:marLeft w:val="0"/>
              <w:marRight w:val="0"/>
              <w:marTop w:val="0"/>
              <w:marBottom w:val="0"/>
              <w:divBdr>
                <w:top w:val="none" w:sz="0" w:space="0" w:color="auto"/>
                <w:left w:val="none" w:sz="0" w:space="0" w:color="auto"/>
                <w:bottom w:val="none" w:sz="0" w:space="0" w:color="auto"/>
                <w:right w:val="none" w:sz="0" w:space="0" w:color="auto"/>
              </w:divBdr>
              <w:divsChild>
                <w:div w:id="1552112275">
                  <w:marLeft w:val="0"/>
                  <w:marRight w:val="0"/>
                  <w:marTop w:val="0"/>
                  <w:marBottom w:val="0"/>
                  <w:divBdr>
                    <w:top w:val="none" w:sz="0" w:space="0" w:color="auto"/>
                    <w:left w:val="none" w:sz="0" w:space="0" w:color="auto"/>
                    <w:bottom w:val="none" w:sz="0" w:space="0" w:color="auto"/>
                    <w:right w:val="none" w:sz="0" w:space="0" w:color="auto"/>
                  </w:divBdr>
                  <w:divsChild>
                    <w:div w:id="157450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419730">
          <w:marLeft w:val="0"/>
          <w:marRight w:val="0"/>
          <w:marTop w:val="0"/>
          <w:marBottom w:val="0"/>
          <w:divBdr>
            <w:top w:val="none" w:sz="0" w:space="0" w:color="auto"/>
            <w:left w:val="none" w:sz="0" w:space="0" w:color="auto"/>
            <w:bottom w:val="none" w:sz="0" w:space="0" w:color="auto"/>
            <w:right w:val="none" w:sz="0" w:space="0" w:color="auto"/>
          </w:divBdr>
          <w:divsChild>
            <w:div w:id="942373582">
              <w:marLeft w:val="0"/>
              <w:marRight w:val="0"/>
              <w:marTop w:val="0"/>
              <w:marBottom w:val="0"/>
              <w:divBdr>
                <w:top w:val="none" w:sz="0" w:space="0" w:color="auto"/>
                <w:left w:val="none" w:sz="0" w:space="0" w:color="auto"/>
                <w:bottom w:val="none" w:sz="0" w:space="0" w:color="auto"/>
                <w:right w:val="none" w:sz="0" w:space="0" w:color="auto"/>
              </w:divBdr>
              <w:divsChild>
                <w:div w:id="532959192">
                  <w:marLeft w:val="0"/>
                  <w:marRight w:val="0"/>
                  <w:marTop w:val="0"/>
                  <w:marBottom w:val="0"/>
                  <w:divBdr>
                    <w:top w:val="none" w:sz="0" w:space="0" w:color="auto"/>
                    <w:left w:val="none" w:sz="0" w:space="0" w:color="auto"/>
                    <w:bottom w:val="none" w:sz="0" w:space="0" w:color="auto"/>
                    <w:right w:val="none" w:sz="0" w:space="0" w:color="auto"/>
                  </w:divBdr>
                  <w:divsChild>
                    <w:div w:id="75408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111365">
      <w:bodyDiv w:val="1"/>
      <w:marLeft w:val="0"/>
      <w:marRight w:val="0"/>
      <w:marTop w:val="0"/>
      <w:marBottom w:val="0"/>
      <w:divBdr>
        <w:top w:val="none" w:sz="0" w:space="0" w:color="auto"/>
        <w:left w:val="none" w:sz="0" w:space="0" w:color="auto"/>
        <w:bottom w:val="none" w:sz="0" w:space="0" w:color="auto"/>
        <w:right w:val="none" w:sz="0" w:space="0" w:color="auto"/>
      </w:divBdr>
    </w:div>
    <w:div w:id="1015614977">
      <w:bodyDiv w:val="1"/>
      <w:marLeft w:val="0"/>
      <w:marRight w:val="0"/>
      <w:marTop w:val="0"/>
      <w:marBottom w:val="0"/>
      <w:divBdr>
        <w:top w:val="none" w:sz="0" w:space="0" w:color="auto"/>
        <w:left w:val="none" w:sz="0" w:space="0" w:color="auto"/>
        <w:bottom w:val="none" w:sz="0" w:space="0" w:color="auto"/>
        <w:right w:val="none" w:sz="0" w:space="0" w:color="auto"/>
      </w:divBdr>
    </w:div>
    <w:div w:id="1075280805">
      <w:bodyDiv w:val="1"/>
      <w:marLeft w:val="0"/>
      <w:marRight w:val="0"/>
      <w:marTop w:val="0"/>
      <w:marBottom w:val="0"/>
      <w:divBdr>
        <w:top w:val="none" w:sz="0" w:space="0" w:color="auto"/>
        <w:left w:val="none" w:sz="0" w:space="0" w:color="auto"/>
        <w:bottom w:val="none" w:sz="0" w:space="0" w:color="auto"/>
        <w:right w:val="none" w:sz="0" w:space="0" w:color="auto"/>
      </w:divBdr>
    </w:div>
    <w:div w:id="1101993173">
      <w:bodyDiv w:val="1"/>
      <w:marLeft w:val="0"/>
      <w:marRight w:val="0"/>
      <w:marTop w:val="0"/>
      <w:marBottom w:val="0"/>
      <w:divBdr>
        <w:top w:val="none" w:sz="0" w:space="0" w:color="auto"/>
        <w:left w:val="none" w:sz="0" w:space="0" w:color="auto"/>
        <w:bottom w:val="none" w:sz="0" w:space="0" w:color="auto"/>
        <w:right w:val="none" w:sz="0" w:space="0" w:color="auto"/>
      </w:divBdr>
    </w:div>
    <w:div w:id="1138762339">
      <w:bodyDiv w:val="1"/>
      <w:marLeft w:val="0"/>
      <w:marRight w:val="0"/>
      <w:marTop w:val="0"/>
      <w:marBottom w:val="0"/>
      <w:divBdr>
        <w:top w:val="none" w:sz="0" w:space="0" w:color="auto"/>
        <w:left w:val="none" w:sz="0" w:space="0" w:color="auto"/>
        <w:bottom w:val="none" w:sz="0" w:space="0" w:color="auto"/>
        <w:right w:val="none" w:sz="0" w:space="0" w:color="auto"/>
      </w:divBdr>
      <w:divsChild>
        <w:div w:id="69810173">
          <w:marLeft w:val="0"/>
          <w:marRight w:val="0"/>
          <w:marTop w:val="0"/>
          <w:marBottom w:val="0"/>
          <w:divBdr>
            <w:top w:val="none" w:sz="0" w:space="0" w:color="auto"/>
            <w:left w:val="none" w:sz="0" w:space="0" w:color="auto"/>
            <w:bottom w:val="none" w:sz="0" w:space="0" w:color="auto"/>
            <w:right w:val="none" w:sz="0" w:space="0" w:color="auto"/>
          </w:divBdr>
          <w:divsChild>
            <w:div w:id="1272131207">
              <w:marLeft w:val="0"/>
              <w:marRight w:val="0"/>
              <w:marTop w:val="0"/>
              <w:marBottom w:val="0"/>
              <w:divBdr>
                <w:top w:val="none" w:sz="0" w:space="0" w:color="auto"/>
                <w:left w:val="none" w:sz="0" w:space="0" w:color="auto"/>
                <w:bottom w:val="none" w:sz="0" w:space="0" w:color="auto"/>
                <w:right w:val="none" w:sz="0" w:space="0" w:color="auto"/>
              </w:divBdr>
            </w:div>
          </w:divsChild>
        </w:div>
        <w:div w:id="318776761">
          <w:marLeft w:val="0"/>
          <w:marRight w:val="0"/>
          <w:marTop w:val="0"/>
          <w:marBottom w:val="0"/>
          <w:divBdr>
            <w:top w:val="none" w:sz="0" w:space="0" w:color="auto"/>
            <w:left w:val="none" w:sz="0" w:space="0" w:color="auto"/>
            <w:bottom w:val="none" w:sz="0" w:space="0" w:color="auto"/>
            <w:right w:val="none" w:sz="0" w:space="0" w:color="auto"/>
          </w:divBdr>
          <w:divsChild>
            <w:div w:id="328409528">
              <w:marLeft w:val="0"/>
              <w:marRight w:val="0"/>
              <w:marTop w:val="0"/>
              <w:marBottom w:val="0"/>
              <w:divBdr>
                <w:top w:val="none" w:sz="0" w:space="0" w:color="auto"/>
                <w:left w:val="none" w:sz="0" w:space="0" w:color="auto"/>
                <w:bottom w:val="none" w:sz="0" w:space="0" w:color="auto"/>
                <w:right w:val="none" w:sz="0" w:space="0" w:color="auto"/>
              </w:divBdr>
            </w:div>
          </w:divsChild>
        </w:div>
        <w:div w:id="505361881">
          <w:marLeft w:val="0"/>
          <w:marRight w:val="0"/>
          <w:marTop w:val="0"/>
          <w:marBottom w:val="0"/>
          <w:divBdr>
            <w:top w:val="none" w:sz="0" w:space="0" w:color="auto"/>
            <w:left w:val="none" w:sz="0" w:space="0" w:color="auto"/>
            <w:bottom w:val="none" w:sz="0" w:space="0" w:color="auto"/>
            <w:right w:val="none" w:sz="0" w:space="0" w:color="auto"/>
          </w:divBdr>
          <w:divsChild>
            <w:div w:id="1939212353">
              <w:marLeft w:val="0"/>
              <w:marRight w:val="0"/>
              <w:marTop w:val="0"/>
              <w:marBottom w:val="0"/>
              <w:divBdr>
                <w:top w:val="none" w:sz="0" w:space="0" w:color="auto"/>
                <w:left w:val="none" w:sz="0" w:space="0" w:color="auto"/>
                <w:bottom w:val="none" w:sz="0" w:space="0" w:color="auto"/>
                <w:right w:val="none" w:sz="0" w:space="0" w:color="auto"/>
              </w:divBdr>
            </w:div>
          </w:divsChild>
        </w:div>
        <w:div w:id="1150710640">
          <w:marLeft w:val="0"/>
          <w:marRight w:val="0"/>
          <w:marTop w:val="0"/>
          <w:marBottom w:val="0"/>
          <w:divBdr>
            <w:top w:val="none" w:sz="0" w:space="0" w:color="auto"/>
            <w:left w:val="none" w:sz="0" w:space="0" w:color="auto"/>
            <w:bottom w:val="none" w:sz="0" w:space="0" w:color="auto"/>
            <w:right w:val="none" w:sz="0" w:space="0" w:color="auto"/>
          </w:divBdr>
          <w:divsChild>
            <w:div w:id="1733190601">
              <w:marLeft w:val="0"/>
              <w:marRight w:val="0"/>
              <w:marTop w:val="0"/>
              <w:marBottom w:val="0"/>
              <w:divBdr>
                <w:top w:val="none" w:sz="0" w:space="0" w:color="auto"/>
                <w:left w:val="none" w:sz="0" w:space="0" w:color="auto"/>
                <w:bottom w:val="none" w:sz="0" w:space="0" w:color="auto"/>
                <w:right w:val="none" w:sz="0" w:space="0" w:color="auto"/>
              </w:divBdr>
            </w:div>
          </w:divsChild>
        </w:div>
        <w:div w:id="1781149211">
          <w:marLeft w:val="0"/>
          <w:marRight w:val="0"/>
          <w:marTop w:val="0"/>
          <w:marBottom w:val="0"/>
          <w:divBdr>
            <w:top w:val="none" w:sz="0" w:space="0" w:color="auto"/>
            <w:left w:val="none" w:sz="0" w:space="0" w:color="auto"/>
            <w:bottom w:val="none" w:sz="0" w:space="0" w:color="auto"/>
            <w:right w:val="none" w:sz="0" w:space="0" w:color="auto"/>
          </w:divBdr>
          <w:divsChild>
            <w:div w:id="155492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800706">
      <w:bodyDiv w:val="1"/>
      <w:marLeft w:val="0"/>
      <w:marRight w:val="0"/>
      <w:marTop w:val="0"/>
      <w:marBottom w:val="0"/>
      <w:divBdr>
        <w:top w:val="none" w:sz="0" w:space="0" w:color="auto"/>
        <w:left w:val="none" w:sz="0" w:space="0" w:color="auto"/>
        <w:bottom w:val="none" w:sz="0" w:space="0" w:color="auto"/>
        <w:right w:val="none" w:sz="0" w:space="0" w:color="auto"/>
      </w:divBdr>
    </w:div>
    <w:div w:id="1219393845">
      <w:bodyDiv w:val="1"/>
      <w:marLeft w:val="0"/>
      <w:marRight w:val="0"/>
      <w:marTop w:val="0"/>
      <w:marBottom w:val="0"/>
      <w:divBdr>
        <w:top w:val="none" w:sz="0" w:space="0" w:color="auto"/>
        <w:left w:val="none" w:sz="0" w:space="0" w:color="auto"/>
        <w:bottom w:val="none" w:sz="0" w:space="0" w:color="auto"/>
        <w:right w:val="none" w:sz="0" w:space="0" w:color="auto"/>
      </w:divBdr>
    </w:div>
    <w:div w:id="1219511622">
      <w:bodyDiv w:val="1"/>
      <w:marLeft w:val="0"/>
      <w:marRight w:val="0"/>
      <w:marTop w:val="0"/>
      <w:marBottom w:val="0"/>
      <w:divBdr>
        <w:top w:val="none" w:sz="0" w:space="0" w:color="auto"/>
        <w:left w:val="none" w:sz="0" w:space="0" w:color="auto"/>
        <w:bottom w:val="none" w:sz="0" w:space="0" w:color="auto"/>
        <w:right w:val="none" w:sz="0" w:space="0" w:color="auto"/>
      </w:divBdr>
    </w:div>
    <w:div w:id="1233085187">
      <w:bodyDiv w:val="1"/>
      <w:marLeft w:val="0"/>
      <w:marRight w:val="0"/>
      <w:marTop w:val="0"/>
      <w:marBottom w:val="0"/>
      <w:divBdr>
        <w:top w:val="none" w:sz="0" w:space="0" w:color="auto"/>
        <w:left w:val="none" w:sz="0" w:space="0" w:color="auto"/>
        <w:bottom w:val="none" w:sz="0" w:space="0" w:color="auto"/>
        <w:right w:val="none" w:sz="0" w:space="0" w:color="auto"/>
      </w:divBdr>
      <w:divsChild>
        <w:div w:id="930968239">
          <w:marLeft w:val="0"/>
          <w:marRight w:val="0"/>
          <w:marTop w:val="0"/>
          <w:marBottom w:val="0"/>
          <w:divBdr>
            <w:top w:val="none" w:sz="0" w:space="0" w:color="auto"/>
            <w:left w:val="none" w:sz="0" w:space="0" w:color="auto"/>
            <w:bottom w:val="none" w:sz="0" w:space="0" w:color="auto"/>
            <w:right w:val="none" w:sz="0" w:space="0" w:color="auto"/>
          </w:divBdr>
          <w:divsChild>
            <w:div w:id="139542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13200">
      <w:bodyDiv w:val="1"/>
      <w:marLeft w:val="0"/>
      <w:marRight w:val="0"/>
      <w:marTop w:val="0"/>
      <w:marBottom w:val="0"/>
      <w:divBdr>
        <w:top w:val="none" w:sz="0" w:space="0" w:color="auto"/>
        <w:left w:val="none" w:sz="0" w:space="0" w:color="auto"/>
        <w:bottom w:val="none" w:sz="0" w:space="0" w:color="auto"/>
        <w:right w:val="none" w:sz="0" w:space="0" w:color="auto"/>
      </w:divBdr>
    </w:div>
    <w:div w:id="1283875538">
      <w:bodyDiv w:val="1"/>
      <w:marLeft w:val="0"/>
      <w:marRight w:val="0"/>
      <w:marTop w:val="0"/>
      <w:marBottom w:val="0"/>
      <w:divBdr>
        <w:top w:val="none" w:sz="0" w:space="0" w:color="auto"/>
        <w:left w:val="none" w:sz="0" w:space="0" w:color="auto"/>
        <w:bottom w:val="none" w:sz="0" w:space="0" w:color="auto"/>
        <w:right w:val="none" w:sz="0" w:space="0" w:color="auto"/>
      </w:divBdr>
    </w:div>
    <w:div w:id="1290740156">
      <w:bodyDiv w:val="1"/>
      <w:marLeft w:val="0"/>
      <w:marRight w:val="0"/>
      <w:marTop w:val="0"/>
      <w:marBottom w:val="0"/>
      <w:divBdr>
        <w:top w:val="none" w:sz="0" w:space="0" w:color="auto"/>
        <w:left w:val="none" w:sz="0" w:space="0" w:color="auto"/>
        <w:bottom w:val="none" w:sz="0" w:space="0" w:color="auto"/>
        <w:right w:val="none" w:sz="0" w:space="0" w:color="auto"/>
      </w:divBdr>
      <w:divsChild>
        <w:div w:id="1903833794">
          <w:marLeft w:val="0"/>
          <w:marRight w:val="0"/>
          <w:marTop w:val="0"/>
          <w:marBottom w:val="0"/>
          <w:divBdr>
            <w:top w:val="none" w:sz="0" w:space="0" w:color="auto"/>
            <w:left w:val="none" w:sz="0" w:space="0" w:color="auto"/>
            <w:bottom w:val="none" w:sz="0" w:space="0" w:color="auto"/>
            <w:right w:val="none" w:sz="0" w:space="0" w:color="auto"/>
          </w:divBdr>
          <w:divsChild>
            <w:div w:id="126773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278714">
      <w:bodyDiv w:val="1"/>
      <w:marLeft w:val="0"/>
      <w:marRight w:val="0"/>
      <w:marTop w:val="0"/>
      <w:marBottom w:val="0"/>
      <w:divBdr>
        <w:top w:val="none" w:sz="0" w:space="0" w:color="auto"/>
        <w:left w:val="none" w:sz="0" w:space="0" w:color="auto"/>
        <w:bottom w:val="none" w:sz="0" w:space="0" w:color="auto"/>
        <w:right w:val="none" w:sz="0" w:space="0" w:color="auto"/>
      </w:divBdr>
    </w:div>
    <w:div w:id="1384671071">
      <w:bodyDiv w:val="1"/>
      <w:marLeft w:val="0"/>
      <w:marRight w:val="0"/>
      <w:marTop w:val="0"/>
      <w:marBottom w:val="0"/>
      <w:divBdr>
        <w:top w:val="none" w:sz="0" w:space="0" w:color="auto"/>
        <w:left w:val="none" w:sz="0" w:space="0" w:color="auto"/>
        <w:bottom w:val="none" w:sz="0" w:space="0" w:color="auto"/>
        <w:right w:val="none" w:sz="0" w:space="0" w:color="auto"/>
      </w:divBdr>
    </w:div>
    <w:div w:id="1387024202">
      <w:bodyDiv w:val="1"/>
      <w:marLeft w:val="0"/>
      <w:marRight w:val="0"/>
      <w:marTop w:val="0"/>
      <w:marBottom w:val="0"/>
      <w:divBdr>
        <w:top w:val="none" w:sz="0" w:space="0" w:color="auto"/>
        <w:left w:val="none" w:sz="0" w:space="0" w:color="auto"/>
        <w:bottom w:val="none" w:sz="0" w:space="0" w:color="auto"/>
        <w:right w:val="none" w:sz="0" w:space="0" w:color="auto"/>
      </w:divBdr>
    </w:div>
    <w:div w:id="1397362640">
      <w:bodyDiv w:val="1"/>
      <w:marLeft w:val="0"/>
      <w:marRight w:val="0"/>
      <w:marTop w:val="0"/>
      <w:marBottom w:val="0"/>
      <w:divBdr>
        <w:top w:val="none" w:sz="0" w:space="0" w:color="auto"/>
        <w:left w:val="none" w:sz="0" w:space="0" w:color="auto"/>
        <w:bottom w:val="none" w:sz="0" w:space="0" w:color="auto"/>
        <w:right w:val="none" w:sz="0" w:space="0" w:color="auto"/>
      </w:divBdr>
    </w:div>
    <w:div w:id="1424716967">
      <w:bodyDiv w:val="1"/>
      <w:marLeft w:val="0"/>
      <w:marRight w:val="0"/>
      <w:marTop w:val="0"/>
      <w:marBottom w:val="0"/>
      <w:divBdr>
        <w:top w:val="none" w:sz="0" w:space="0" w:color="auto"/>
        <w:left w:val="none" w:sz="0" w:space="0" w:color="auto"/>
        <w:bottom w:val="none" w:sz="0" w:space="0" w:color="auto"/>
        <w:right w:val="none" w:sz="0" w:space="0" w:color="auto"/>
      </w:divBdr>
      <w:divsChild>
        <w:div w:id="338697053">
          <w:marLeft w:val="0"/>
          <w:marRight w:val="0"/>
          <w:marTop w:val="0"/>
          <w:marBottom w:val="0"/>
          <w:divBdr>
            <w:top w:val="none" w:sz="0" w:space="0" w:color="auto"/>
            <w:left w:val="none" w:sz="0" w:space="0" w:color="auto"/>
            <w:bottom w:val="none" w:sz="0" w:space="0" w:color="auto"/>
            <w:right w:val="none" w:sz="0" w:space="0" w:color="auto"/>
          </w:divBdr>
          <w:divsChild>
            <w:div w:id="296761008">
              <w:marLeft w:val="0"/>
              <w:marRight w:val="0"/>
              <w:marTop w:val="0"/>
              <w:marBottom w:val="0"/>
              <w:divBdr>
                <w:top w:val="none" w:sz="0" w:space="0" w:color="auto"/>
                <w:left w:val="none" w:sz="0" w:space="0" w:color="auto"/>
                <w:bottom w:val="none" w:sz="0" w:space="0" w:color="auto"/>
                <w:right w:val="none" w:sz="0" w:space="0" w:color="auto"/>
              </w:divBdr>
              <w:divsChild>
                <w:div w:id="940263843">
                  <w:marLeft w:val="0"/>
                  <w:marRight w:val="0"/>
                  <w:marTop w:val="0"/>
                  <w:marBottom w:val="0"/>
                  <w:divBdr>
                    <w:top w:val="none" w:sz="0" w:space="0" w:color="auto"/>
                    <w:left w:val="none" w:sz="0" w:space="0" w:color="auto"/>
                    <w:bottom w:val="none" w:sz="0" w:space="0" w:color="auto"/>
                    <w:right w:val="none" w:sz="0" w:space="0" w:color="auto"/>
                  </w:divBdr>
                  <w:divsChild>
                    <w:div w:id="773941734">
                      <w:marLeft w:val="0"/>
                      <w:marRight w:val="0"/>
                      <w:marTop w:val="0"/>
                      <w:marBottom w:val="0"/>
                      <w:divBdr>
                        <w:top w:val="none" w:sz="0" w:space="0" w:color="auto"/>
                        <w:left w:val="none" w:sz="0" w:space="0" w:color="auto"/>
                        <w:bottom w:val="none" w:sz="0" w:space="0" w:color="auto"/>
                        <w:right w:val="none" w:sz="0" w:space="0" w:color="auto"/>
                      </w:divBdr>
                      <w:divsChild>
                        <w:div w:id="1186482252">
                          <w:marLeft w:val="0"/>
                          <w:marRight w:val="0"/>
                          <w:marTop w:val="0"/>
                          <w:marBottom w:val="0"/>
                          <w:divBdr>
                            <w:top w:val="none" w:sz="0" w:space="0" w:color="auto"/>
                            <w:left w:val="none" w:sz="0" w:space="0" w:color="auto"/>
                            <w:bottom w:val="none" w:sz="0" w:space="0" w:color="auto"/>
                            <w:right w:val="none" w:sz="0" w:space="0" w:color="auto"/>
                          </w:divBdr>
                          <w:divsChild>
                            <w:div w:id="2001152612">
                              <w:marLeft w:val="0"/>
                              <w:marRight w:val="0"/>
                              <w:marTop w:val="0"/>
                              <w:marBottom w:val="0"/>
                              <w:divBdr>
                                <w:top w:val="none" w:sz="0" w:space="0" w:color="auto"/>
                                <w:left w:val="none" w:sz="0" w:space="0" w:color="auto"/>
                                <w:bottom w:val="none" w:sz="0" w:space="0" w:color="auto"/>
                                <w:right w:val="none" w:sz="0" w:space="0" w:color="auto"/>
                              </w:divBdr>
                              <w:divsChild>
                                <w:div w:id="455875155">
                                  <w:marLeft w:val="0"/>
                                  <w:marRight w:val="0"/>
                                  <w:marTop w:val="0"/>
                                  <w:marBottom w:val="0"/>
                                  <w:divBdr>
                                    <w:top w:val="none" w:sz="0" w:space="0" w:color="auto"/>
                                    <w:left w:val="none" w:sz="0" w:space="0" w:color="auto"/>
                                    <w:bottom w:val="none" w:sz="0" w:space="0" w:color="auto"/>
                                    <w:right w:val="none" w:sz="0" w:space="0" w:color="auto"/>
                                  </w:divBdr>
                                  <w:divsChild>
                                    <w:div w:id="1539856000">
                                      <w:marLeft w:val="0"/>
                                      <w:marRight w:val="0"/>
                                      <w:marTop w:val="0"/>
                                      <w:marBottom w:val="0"/>
                                      <w:divBdr>
                                        <w:top w:val="none" w:sz="0" w:space="0" w:color="auto"/>
                                        <w:left w:val="none" w:sz="0" w:space="0" w:color="auto"/>
                                        <w:bottom w:val="none" w:sz="0" w:space="0" w:color="auto"/>
                                        <w:right w:val="none" w:sz="0" w:space="0" w:color="auto"/>
                                      </w:divBdr>
                                      <w:divsChild>
                                        <w:div w:id="944118271">
                                          <w:marLeft w:val="0"/>
                                          <w:marRight w:val="0"/>
                                          <w:marTop w:val="0"/>
                                          <w:marBottom w:val="0"/>
                                          <w:divBdr>
                                            <w:top w:val="none" w:sz="0" w:space="0" w:color="auto"/>
                                            <w:left w:val="none" w:sz="0" w:space="0" w:color="auto"/>
                                            <w:bottom w:val="none" w:sz="0" w:space="0" w:color="auto"/>
                                            <w:right w:val="none" w:sz="0" w:space="0" w:color="auto"/>
                                          </w:divBdr>
                                          <w:divsChild>
                                            <w:div w:id="173434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5475740">
          <w:marLeft w:val="0"/>
          <w:marRight w:val="0"/>
          <w:marTop w:val="0"/>
          <w:marBottom w:val="0"/>
          <w:divBdr>
            <w:top w:val="none" w:sz="0" w:space="0" w:color="auto"/>
            <w:left w:val="none" w:sz="0" w:space="0" w:color="auto"/>
            <w:bottom w:val="none" w:sz="0" w:space="0" w:color="auto"/>
            <w:right w:val="none" w:sz="0" w:space="0" w:color="auto"/>
          </w:divBdr>
          <w:divsChild>
            <w:div w:id="1786457206">
              <w:marLeft w:val="0"/>
              <w:marRight w:val="0"/>
              <w:marTop w:val="0"/>
              <w:marBottom w:val="0"/>
              <w:divBdr>
                <w:top w:val="none" w:sz="0" w:space="0" w:color="auto"/>
                <w:left w:val="none" w:sz="0" w:space="0" w:color="auto"/>
                <w:bottom w:val="none" w:sz="0" w:space="0" w:color="auto"/>
                <w:right w:val="none" w:sz="0" w:space="0" w:color="auto"/>
              </w:divBdr>
              <w:divsChild>
                <w:div w:id="1929196901">
                  <w:marLeft w:val="0"/>
                  <w:marRight w:val="0"/>
                  <w:marTop w:val="0"/>
                  <w:marBottom w:val="0"/>
                  <w:divBdr>
                    <w:top w:val="none" w:sz="0" w:space="0" w:color="auto"/>
                    <w:left w:val="none" w:sz="0" w:space="0" w:color="auto"/>
                    <w:bottom w:val="none" w:sz="0" w:space="0" w:color="auto"/>
                    <w:right w:val="none" w:sz="0" w:space="0" w:color="auto"/>
                  </w:divBdr>
                  <w:divsChild>
                    <w:div w:id="1693259607">
                      <w:marLeft w:val="0"/>
                      <w:marRight w:val="0"/>
                      <w:marTop w:val="0"/>
                      <w:marBottom w:val="0"/>
                      <w:divBdr>
                        <w:top w:val="none" w:sz="0" w:space="0" w:color="auto"/>
                        <w:left w:val="none" w:sz="0" w:space="0" w:color="auto"/>
                        <w:bottom w:val="none" w:sz="0" w:space="0" w:color="auto"/>
                        <w:right w:val="none" w:sz="0" w:space="0" w:color="auto"/>
                      </w:divBdr>
                      <w:divsChild>
                        <w:div w:id="459685308">
                          <w:marLeft w:val="0"/>
                          <w:marRight w:val="0"/>
                          <w:marTop w:val="0"/>
                          <w:marBottom w:val="0"/>
                          <w:divBdr>
                            <w:top w:val="none" w:sz="0" w:space="0" w:color="auto"/>
                            <w:left w:val="none" w:sz="0" w:space="0" w:color="auto"/>
                            <w:bottom w:val="none" w:sz="0" w:space="0" w:color="auto"/>
                            <w:right w:val="none" w:sz="0" w:space="0" w:color="auto"/>
                          </w:divBdr>
                          <w:divsChild>
                            <w:div w:id="1355106610">
                              <w:marLeft w:val="0"/>
                              <w:marRight w:val="0"/>
                              <w:marTop w:val="0"/>
                              <w:marBottom w:val="0"/>
                              <w:divBdr>
                                <w:top w:val="none" w:sz="0" w:space="0" w:color="auto"/>
                                <w:left w:val="none" w:sz="0" w:space="0" w:color="auto"/>
                                <w:bottom w:val="none" w:sz="0" w:space="0" w:color="auto"/>
                                <w:right w:val="none" w:sz="0" w:space="0" w:color="auto"/>
                              </w:divBdr>
                              <w:divsChild>
                                <w:div w:id="1340236999">
                                  <w:marLeft w:val="0"/>
                                  <w:marRight w:val="0"/>
                                  <w:marTop w:val="0"/>
                                  <w:marBottom w:val="0"/>
                                  <w:divBdr>
                                    <w:top w:val="none" w:sz="0" w:space="0" w:color="auto"/>
                                    <w:left w:val="none" w:sz="0" w:space="0" w:color="auto"/>
                                    <w:bottom w:val="none" w:sz="0" w:space="0" w:color="auto"/>
                                    <w:right w:val="none" w:sz="0" w:space="0" w:color="auto"/>
                                  </w:divBdr>
                                  <w:divsChild>
                                    <w:div w:id="1557086738">
                                      <w:marLeft w:val="0"/>
                                      <w:marRight w:val="0"/>
                                      <w:marTop w:val="0"/>
                                      <w:marBottom w:val="0"/>
                                      <w:divBdr>
                                        <w:top w:val="none" w:sz="0" w:space="0" w:color="auto"/>
                                        <w:left w:val="none" w:sz="0" w:space="0" w:color="auto"/>
                                        <w:bottom w:val="none" w:sz="0" w:space="0" w:color="auto"/>
                                        <w:right w:val="none" w:sz="0" w:space="0" w:color="auto"/>
                                      </w:divBdr>
                                      <w:divsChild>
                                        <w:div w:id="597833467">
                                          <w:marLeft w:val="0"/>
                                          <w:marRight w:val="0"/>
                                          <w:marTop w:val="0"/>
                                          <w:marBottom w:val="0"/>
                                          <w:divBdr>
                                            <w:top w:val="none" w:sz="0" w:space="0" w:color="auto"/>
                                            <w:left w:val="none" w:sz="0" w:space="0" w:color="auto"/>
                                            <w:bottom w:val="none" w:sz="0" w:space="0" w:color="auto"/>
                                            <w:right w:val="none" w:sz="0" w:space="0" w:color="auto"/>
                                          </w:divBdr>
                                          <w:divsChild>
                                            <w:div w:id="369457138">
                                              <w:marLeft w:val="0"/>
                                              <w:marRight w:val="0"/>
                                              <w:marTop w:val="0"/>
                                              <w:marBottom w:val="0"/>
                                              <w:divBdr>
                                                <w:top w:val="none" w:sz="0" w:space="0" w:color="auto"/>
                                                <w:left w:val="none" w:sz="0" w:space="0" w:color="auto"/>
                                                <w:bottom w:val="none" w:sz="0" w:space="0" w:color="auto"/>
                                                <w:right w:val="none" w:sz="0" w:space="0" w:color="auto"/>
                                              </w:divBdr>
                                              <w:divsChild>
                                                <w:div w:id="1235820313">
                                                  <w:marLeft w:val="0"/>
                                                  <w:marRight w:val="0"/>
                                                  <w:marTop w:val="0"/>
                                                  <w:marBottom w:val="0"/>
                                                  <w:divBdr>
                                                    <w:top w:val="none" w:sz="0" w:space="0" w:color="auto"/>
                                                    <w:left w:val="none" w:sz="0" w:space="0" w:color="auto"/>
                                                    <w:bottom w:val="none" w:sz="0" w:space="0" w:color="auto"/>
                                                    <w:right w:val="none" w:sz="0" w:space="0" w:color="auto"/>
                                                  </w:divBdr>
                                                  <w:divsChild>
                                                    <w:div w:id="60297512">
                                                      <w:marLeft w:val="0"/>
                                                      <w:marRight w:val="0"/>
                                                      <w:marTop w:val="0"/>
                                                      <w:marBottom w:val="0"/>
                                                      <w:divBdr>
                                                        <w:top w:val="none" w:sz="0" w:space="0" w:color="auto"/>
                                                        <w:left w:val="none" w:sz="0" w:space="0" w:color="auto"/>
                                                        <w:bottom w:val="none" w:sz="0" w:space="0" w:color="auto"/>
                                                        <w:right w:val="none" w:sz="0" w:space="0" w:color="auto"/>
                                                      </w:divBdr>
                                                      <w:divsChild>
                                                        <w:div w:id="21654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582549">
                                              <w:marLeft w:val="0"/>
                                              <w:marRight w:val="0"/>
                                              <w:marTop w:val="0"/>
                                              <w:marBottom w:val="0"/>
                                              <w:divBdr>
                                                <w:top w:val="none" w:sz="0" w:space="0" w:color="auto"/>
                                                <w:left w:val="none" w:sz="0" w:space="0" w:color="auto"/>
                                                <w:bottom w:val="none" w:sz="0" w:space="0" w:color="auto"/>
                                                <w:right w:val="none" w:sz="0" w:space="0" w:color="auto"/>
                                              </w:divBdr>
                                              <w:divsChild>
                                                <w:div w:id="32847363">
                                                  <w:marLeft w:val="0"/>
                                                  <w:marRight w:val="0"/>
                                                  <w:marTop w:val="0"/>
                                                  <w:marBottom w:val="0"/>
                                                  <w:divBdr>
                                                    <w:top w:val="none" w:sz="0" w:space="0" w:color="auto"/>
                                                    <w:left w:val="none" w:sz="0" w:space="0" w:color="auto"/>
                                                    <w:bottom w:val="none" w:sz="0" w:space="0" w:color="auto"/>
                                                    <w:right w:val="none" w:sz="0" w:space="0" w:color="auto"/>
                                                  </w:divBdr>
                                                  <w:divsChild>
                                                    <w:div w:id="925304232">
                                                      <w:marLeft w:val="0"/>
                                                      <w:marRight w:val="0"/>
                                                      <w:marTop w:val="0"/>
                                                      <w:marBottom w:val="0"/>
                                                      <w:divBdr>
                                                        <w:top w:val="none" w:sz="0" w:space="0" w:color="auto"/>
                                                        <w:left w:val="none" w:sz="0" w:space="0" w:color="auto"/>
                                                        <w:bottom w:val="none" w:sz="0" w:space="0" w:color="auto"/>
                                                        <w:right w:val="none" w:sz="0" w:space="0" w:color="auto"/>
                                                      </w:divBdr>
                                                      <w:divsChild>
                                                        <w:div w:id="138362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1660960">
      <w:bodyDiv w:val="1"/>
      <w:marLeft w:val="0"/>
      <w:marRight w:val="0"/>
      <w:marTop w:val="0"/>
      <w:marBottom w:val="0"/>
      <w:divBdr>
        <w:top w:val="none" w:sz="0" w:space="0" w:color="auto"/>
        <w:left w:val="none" w:sz="0" w:space="0" w:color="auto"/>
        <w:bottom w:val="none" w:sz="0" w:space="0" w:color="auto"/>
        <w:right w:val="none" w:sz="0" w:space="0" w:color="auto"/>
      </w:divBdr>
    </w:div>
    <w:div w:id="1444768154">
      <w:bodyDiv w:val="1"/>
      <w:marLeft w:val="0"/>
      <w:marRight w:val="0"/>
      <w:marTop w:val="0"/>
      <w:marBottom w:val="0"/>
      <w:divBdr>
        <w:top w:val="none" w:sz="0" w:space="0" w:color="auto"/>
        <w:left w:val="none" w:sz="0" w:space="0" w:color="auto"/>
        <w:bottom w:val="none" w:sz="0" w:space="0" w:color="auto"/>
        <w:right w:val="none" w:sz="0" w:space="0" w:color="auto"/>
      </w:divBdr>
    </w:div>
    <w:div w:id="1460798779">
      <w:bodyDiv w:val="1"/>
      <w:marLeft w:val="0"/>
      <w:marRight w:val="0"/>
      <w:marTop w:val="0"/>
      <w:marBottom w:val="0"/>
      <w:divBdr>
        <w:top w:val="none" w:sz="0" w:space="0" w:color="auto"/>
        <w:left w:val="none" w:sz="0" w:space="0" w:color="auto"/>
        <w:bottom w:val="none" w:sz="0" w:space="0" w:color="auto"/>
        <w:right w:val="none" w:sz="0" w:space="0" w:color="auto"/>
      </w:divBdr>
    </w:div>
    <w:div w:id="1463428861">
      <w:bodyDiv w:val="1"/>
      <w:marLeft w:val="0"/>
      <w:marRight w:val="0"/>
      <w:marTop w:val="0"/>
      <w:marBottom w:val="0"/>
      <w:divBdr>
        <w:top w:val="none" w:sz="0" w:space="0" w:color="auto"/>
        <w:left w:val="none" w:sz="0" w:space="0" w:color="auto"/>
        <w:bottom w:val="none" w:sz="0" w:space="0" w:color="auto"/>
        <w:right w:val="none" w:sz="0" w:space="0" w:color="auto"/>
      </w:divBdr>
    </w:div>
    <w:div w:id="1521747475">
      <w:bodyDiv w:val="1"/>
      <w:marLeft w:val="0"/>
      <w:marRight w:val="0"/>
      <w:marTop w:val="0"/>
      <w:marBottom w:val="0"/>
      <w:divBdr>
        <w:top w:val="none" w:sz="0" w:space="0" w:color="auto"/>
        <w:left w:val="none" w:sz="0" w:space="0" w:color="auto"/>
        <w:bottom w:val="none" w:sz="0" w:space="0" w:color="auto"/>
        <w:right w:val="none" w:sz="0" w:space="0" w:color="auto"/>
      </w:divBdr>
    </w:div>
    <w:div w:id="1617983669">
      <w:bodyDiv w:val="1"/>
      <w:marLeft w:val="0"/>
      <w:marRight w:val="0"/>
      <w:marTop w:val="0"/>
      <w:marBottom w:val="0"/>
      <w:divBdr>
        <w:top w:val="none" w:sz="0" w:space="0" w:color="auto"/>
        <w:left w:val="none" w:sz="0" w:space="0" w:color="auto"/>
        <w:bottom w:val="none" w:sz="0" w:space="0" w:color="auto"/>
        <w:right w:val="none" w:sz="0" w:space="0" w:color="auto"/>
      </w:divBdr>
    </w:div>
    <w:div w:id="1633901442">
      <w:bodyDiv w:val="1"/>
      <w:marLeft w:val="0"/>
      <w:marRight w:val="0"/>
      <w:marTop w:val="0"/>
      <w:marBottom w:val="0"/>
      <w:divBdr>
        <w:top w:val="none" w:sz="0" w:space="0" w:color="auto"/>
        <w:left w:val="none" w:sz="0" w:space="0" w:color="auto"/>
        <w:bottom w:val="none" w:sz="0" w:space="0" w:color="auto"/>
        <w:right w:val="none" w:sz="0" w:space="0" w:color="auto"/>
      </w:divBdr>
    </w:div>
    <w:div w:id="1664358005">
      <w:bodyDiv w:val="1"/>
      <w:marLeft w:val="0"/>
      <w:marRight w:val="0"/>
      <w:marTop w:val="0"/>
      <w:marBottom w:val="0"/>
      <w:divBdr>
        <w:top w:val="none" w:sz="0" w:space="0" w:color="auto"/>
        <w:left w:val="none" w:sz="0" w:space="0" w:color="auto"/>
        <w:bottom w:val="none" w:sz="0" w:space="0" w:color="auto"/>
        <w:right w:val="none" w:sz="0" w:space="0" w:color="auto"/>
      </w:divBdr>
      <w:divsChild>
        <w:div w:id="1662732149">
          <w:marLeft w:val="0"/>
          <w:marRight w:val="0"/>
          <w:marTop w:val="0"/>
          <w:marBottom w:val="0"/>
          <w:divBdr>
            <w:top w:val="none" w:sz="0" w:space="0" w:color="auto"/>
            <w:left w:val="none" w:sz="0" w:space="0" w:color="auto"/>
            <w:bottom w:val="none" w:sz="0" w:space="0" w:color="auto"/>
            <w:right w:val="none" w:sz="0" w:space="0" w:color="auto"/>
          </w:divBdr>
        </w:div>
      </w:divsChild>
    </w:div>
    <w:div w:id="1719278865">
      <w:bodyDiv w:val="1"/>
      <w:marLeft w:val="0"/>
      <w:marRight w:val="0"/>
      <w:marTop w:val="0"/>
      <w:marBottom w:val="0"/>
      <w:divBdr>
        <w:top w:val="none" w:sz="0" w:space="0" w:color="auto"/>
        <w:left w:val="none" w:sz="0" w:space="0" w:color="auto"/>
        <w:bottom w:val="none" w:sz="0" w:space="0" w:color="auto"/>
        <w:right w:val="none" w:sz="0" w:space="0" w:color="auto"/>
      </w:divBdr>
    </w:div>
    <w:div w:id="1725759752">
      <w:bodyDiv w:val="1"/>
      <w:marLeft w:val="0"/>
      <w:marRight w:val="0"/>
      <w:marTop w:val="0"/>
      <w:marBottom w:val="0"/>
      <w:divBdr>
        <w:top w:val="none" w:sz="0" w:space="0" w:color="auto"/>
        <w:left w:val="none" w:sz="0" w:space="0" w:color="auto"/>
        <w:bottom w:val="none" w:sz="0" w:space="0" w:color="auto"/>
        <w:right w:val="none" w:sz="0" w:space="0" w:color="auto"/>
      </w:divBdr>
    </w:div>
    <w:div w:id="1741782674">
      <w:bodyDiv w:val="1"/>
      <w:marLeft w:val="0"/>
      <w:marRight w:val="0"/>
      <w:marTop w:val="0"/>
      <w:marBottom w:val="0"/>
      <w:divBdr>
        <w:top w:val="none" w:sz="0" w:space="0" w:color="auto"/>
        <w:left w:val="none" w:sz="0" w:space="0" w:color="auto"/>
        <w:bottom w:val="none" w:sz="0" w:space="0" w:color="auto"/>
        <w:right w:val="none" w:sz="0" w:space="0" w:color="auto"/>
      </w:divBdr>
    </w:div>
    <w:div w:id="1745492883">
      <w:bodyDiv w:val="1"/>
      <w:marLeft w:val="0"/>
      <w:marRight w:val="0"/>
      <w:marTop w:val="0"/>
      <w:marBottom w:val="0"/>
      <w:divBdr>
        <w:top w:val="none" w:sz="0" w:space="0" w:color="auto"/>
        <w:left w:val="none" w:sz="0" w:space="0" w:color="auto"/>
        <w:bottom w:val="none" w:sz="0" w:space="0" w:color="auto"/>
        <w:right w:val="none" w:sz="0" w:space="0" w:color="auto"/>
      </w:divBdr>
    </w:div>
    <w:div w:id="1760247108">
      <w:bodyDiv w:val="1"/>
      <w:marLeft w:val="0"/>
      <w:marRight w:val="0"/>
      <w:marTop w:val="0"/>
      <w:marBottom w:val="0"/>
      <w:divBdr>
        <w:top w:val="none" w:sz="0" w:space="0" w:color="auto"/>
        <w:left w:val="none" w:sz="0" w:space="0" w:color="auto"/>
        <w:bottom w:val="none" w:sz="0" w:space="0" w:color="auto"/>
        <w:right w:val="none" w:sz="0" w:space="0" w:color="auto"/>
      </w:divBdr>
    </w:div>
    <w:div w:id="1772892070">
      <w:bodyDiv w:val="1"/>
      <w:marLeft w:val="0"/>
      <w:marRight w:val="0"/>
      <w:marTop w:val="0"/>
      <w:marBottom w:val="0"/>
      <w:divBdr>
        <w:top w:val="none" w:sz="0" w:space="0" w:color="auto"/>
        <w:left w:val="none" w:sz="0" w:space="0" w:color="auto"/>
        <w:bottom w:val="none" w:sz="0" w:space="0" w:color="auto"/>
        <w:right w:val="none" w:sz="0" w:space="0" w:color="auto"/>
      </w:divBdr>
    </w:div>
    <w:div w:id="1795634647">
      <w:bodyDiv w:val="1"/>
      <w:marLeft w:val="0"/>
      <w:marRight w:val="0"/>
      <w:marTop w:val="0"/>
      <w:marBottom w:val="0"/>
      <w:divBdr>
        <w:top w:val="none" w:sz="0" w:space="0" w:color="auto"/>
        <w:left w:val="none" w:sz="0" w:space="0" w:color="auto"/>
        <w:bottom w:val="none" w:sz="0" w:space="0" w:color="auto"/>
        <w:right w:val="none" w:sz="0" w:space="0" w:color="auto"/>
      </w:divBdr>
    </w:div>
    <w:div w:id="1843813936">
      <w:bodyDiv w:val="1"/>
      <w:marLeft w:val="0"/>
      <w:marRight w:val="0"/>
      <w:marTop w:val="0"/>
      <w:marBottom w:val="0"/>
      <w:divBdr>
        <w:top w:val="none" w:sz="0" w:space="0" w:color="auto"/>
        <w:left w:val="none" w:sz="0" w:space="0" w:color="auto"/>
        <w:bottom w:val="none" w:sz="0" w:space="0" w:color="auto"/>
        <w:right w:val="none" w:sz="0" w:space="0" w:color="auto"/>
      </w:divBdr>
    </w:div>
    <w:div w:id="1873221337">
      <w:bodyDiv w:val="1"/>
      <w:marLeft w:val="0"/>
      <w:marRight w:val="0"/>
      <w:marTop w:val="0"/>
      <w:marBottom w:val="0"/>
      <w:divBdr>
        <w:top w:val="none" w:sz="0" w:space="0" w:color="auto"/>
        <w:left w:val="none" w:sz="0" w:space="0" w:color="auto"/>
        <w:bottom w:val="none" w:sz="0" w:space="0" w:color="auto"/>
        <w:right w:val="none" w:sz="0" w:space="0" w:color="auto"/>
      </w:divBdr>
      <w:divsChild>
        <w:div w:id="1356688671">
          <w:marLeft w:val="0"/>
          <w:marRight w:val="0"/>
          <w:marTop w:val="0"/>
          <w:marBottom w:val="0"/>
          <w:divBdr>
            <w:top w:val="none" w:sz="0" w:space="0" w:color="auto"/>
            <w:left w:val="none" w:sz="0" w:space="0" w:color="auto"/>
            <w:bottom w:val="none" w:sz="0" w:space="0" w:color="auto"/>
            <w:right w:val="none" w:sz="0" w:space="0" w:color="auto"/>
          </w:divBdr>
          <w:divsChild>
            <w:div w:id="3978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78438">
      <w:bodyDiv w:val="1"/>
      <w:marLeft w:val="0"/>
      <w:marRight w:val="0"/>
      <w:marTop w:val="0"/>
      <w:marBottom w:val="0"/>
      <w:divBdr>
        <w:top w:val="none" w:sz="0" w:space="0" w:color="auto"/>
        <w:left w:val="none" w:sz="0" w:space="0" w:color="auto"/>
        <w:bottom w:val="none" w:sz="0" w:space="0" w:color="auto"/>
        <w:right w:val="none" w:sz="0" w:space="0" w:color="auto"/>
      </w:divBdr>
    </w:div>
    <w:div w:id="2005626784">
      <w:bodyDiv w:val="1"/>
      <w:marLeft w:val="0"/>
      <w:marRight w:val="0"/>
      <w:marTop w:val="0"/>
      <w:marBottom w:val="0"/>
      <w:divBdr>
        <w:top w:val="none" w:sz="0" w:space="0" w:color="auto"/>
        <w:left w:val="none" w:sz="0" w:space="0" w:color="auto"/>
        <w:bottom w:val="none" w:sz="0" w:space="0" w:color="auto"/>
        <w:right w:val="none" w:sz="0" w:space="0" w:color="auto"/>
      </w:divBdr>
      <w:divsChild>
        <w:div w:id="2319241">
          <w:marLeft w:val="0"/>
          <w:marRight w:val="0"/>
          <w:marTop w:val="0"/>
          <w:marBottom w:val="0"/>
          <w:divBdr>
            <w:top w:val="none" w:sz="0" w:space="0" w:color="auto"/>
            <w:left w:val="none" w:sz="0" w:space="0" w:color="auto"/>
            <w:bottom w:val="none" w:sz="0" w:space="0" w:color="auto"/>
            <w:right w:val="none" w:sz="0" w:space="0" w:color="auto"/>
          </w:divBdr>
          <w:divsChild>
            <w:div w:id="63842290">
              <w:marLeft w:val="0"/>
              <w:marRight w:val="0"/>
              <w:marTop w:val="0"/>
              <w:marBottom w:val="0"/>
              <w:divBdr>
                <w:top w:val="none" w:sz="0" w:space="0" w:color="auto"/>
                <w:left w:val="none" w:sz="0" w:space="0" w:color="auto"/>
                <w:bottom w:val="none" w:sz="0" w:space="0" w:color="auto"/>
                <w:right w:val="none" w:sz="0" w:space="0" w:color="auto"/>
              </w:divBdr>
              <w:divsChild>
                <w:div w:id="805508641">
                  <w:marLeft w:val="0"/>
                  <w:marRight w:val="0"/>
                  <w:marTop w:val="0"/>
                  <w:marBottom w:val="0"/>
                  <w:divBdr>
                    <w:top w:val="none" w:sz="0" w:space="0" w:color="auto"/>
                    <w:left w:val="none" w:sz="0" w:space="0" w:color="auto"/>
                    <w:bottom w:val="none" w:sz="0" w:space="0" w:color="auto"/>
                    <w:right w:val="none" w:sz="0" w:space="0" w:color="auto"/>
                  </w:divBdr>
                  <w:divsChild>
                    <w:div w:id="31622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05142">
          <w:marLeft w:val="0"/>
          <w:marRight w:val="0"/>
          <w:marTop w:val="0"/>
          <w:marBottom w:val="0"/>
          <w:divBdr>
            <w:top w:val="none" w:sz="0" w:space="0" w:color="auto"/>
            <w:left w:val="none" w:sz="0" w:space="0" w:color="auto"/>
            <w:bottom w:val="none" w:sz="0" w:space="0" w:color="auto"/>
            <w:right w:val="none" w:sz="0" w:space="0" w:color="auto"/>
          </w:divBdr>
          <w:divsChild>
            <w:div w:id="1121149839">
              <w:marLeft w:val="0"/>
              <w:marRight w:val="0"/>
              <w:marTop w:val="0"/>
              <w:marBottom w:val="0"/>
              <w:divBdr>
                <w:top w:val="none" w:sz="0" w:space="0" w:color="auto"/>
                <w:left w:val="none" w:sz="0" w:space="0" w:color="auto"/>
                <w:bottom w:val="none" w:sz="0" w:space="0" w:color="auto"/>
                <w:right w:val="none" w:sz="0" w:space="0" w:color="auto"/>
              </w:divBdr>
              <w:divsChild>
                <w:div w:id="1616787161">
                  <w:marLeft w:val="0"/>
                  <w:marRight w:val="0"/>
                  <w:marTop w:val="0"/>
                  <w:marBottom w:val="0"/>
                  <w:divBdr>
                    <w:top w:val="none" w:sz="0" w:space="0" w:color="auto"/>
                    <w:left w:val="none" w:sz="0" w:space="0" w:color="auto"/>
                    <w:bottom w:val="none" w:sz="0" w:space="0" w:color="auto"/>
                    <w:right w:val="none" w:sz="0" w:space="0" w:color="auto"/>
                  </w:divBdr>
                  <w:divsChild>
                    <w:div w:id="53131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939246">
      <w:bodyDiv w:val="1"/>
      <w:marLeft w:val="0"/>
      <w:marRight w:val="0"/>
      <w:marTop w:val="0"/>
      <w:marBottom w:val="0"/>
      <w:divBdr>
        <w:top w:val="none" w:sz="0" w:space="0" w:color="auto"/>
        <w:left w:val="none" w:sz="0" w:space="0" w:color="auto"/>
        <w:bottom w:val="none" w:sz="0" w:space="0" w:color="auto"/>
        <w:right w:val="none" w:sz="0" w:space="0" w:color="auto"/>
      </w:divBdr>
      <w:divsChild>
        <w:div w:id="577788814">
          <w:marLeft w:val="0"/>
          <w:marRight w:val="0"/>
          <w:marTop w:val="0"/>
          <w:marBottom w:val="0"/>
          <w:divBdr>
            <w:top w:val="none" w:sz="0" w:space="0" w:color="auto"/>
            <w:left w:val="none" w:sz="0" w:space="0" w:color="auto"/>
            <w:bottom w:val="none" w:sz="0" w:space="0" w:color="auto"/>
            <w:right w:val="none" w:sz="0" w:space="0" w:color="auto"/>
          </w:divBdr>
          <w:divsChild>
            <w:div w:id="1674650894">
              <w:marLeft w:val="0"/>
              <w:marRight w:val="0"/>
              <w:marTop w:val="0"/>
              <w:marBottom w:val="0"/>
              <w:divBdr>
                <w:top w:val="none" w:sz="0" w:space="0" w:color="auto"/>
                <w:left w:val="none" w:sz="0" w:space="0" w:color="auto"/>
                <w:bottom w:val="none" w:sz="0" w:space="0" w:color="auto"/>
                <w:right w:val="none" w:sz="0" w:space="0" w:color="auto"/>
              </w:divBdr>
              <w:divsChild>
                <w:div w:id="1179276160">
                  <w:marLeft w:val="0"/>
                  <w:marRight w:val="0"/>
                  <w:marTop w:val="0"/>
                  <w:marBottom w:val="0"/>
                  <w:divBdr>
                    <w:top w:val="none" w:sz="0" w:space="0" w:color="auto"/>
                    <w:left w:val="none" w:sz="0" w:space="0" w:color="auto"/>
                    <w:bottom w:val="none" w:sz="0" w:space="0" w:color="auto"/>
                    <w:right w:val="none" w:sz="0" w:space="0" w:color="auto"/>
                  </w:divBdr>
                  <w:divsChild>
                    <w:div w:id="575020249">
                      <w:marLeft w:val="0"/>
                      <w:marRight w:val="0"/>
                      <w:marTop w:val="0"/>
                      <w:marBottom w:val="0"/>
                      <w:divBdr>
                        <w:top w:val="none" w:sz="0" w:space="0" w:color="auto"/>
                        <w:left w:val="none" w:sz="0" w:space="0" w:color="auto"/>
                        <w:bottom w:val="none" w:sz="0" w:space="0" w:color="auto"/>
                        <w:right w:val="none" w:sz="0" w:space="0" w:color="auto"/>
                      </w:divBdr>
                      <w:divsChild>
                        <w:div w:id="2116902576">
                          <w:marLeft w:val="0"/>
                          <w:marRight w:val="0"/>
                          <w:marTop w:val="0"/>
                          <w:marBottom w:val="0"/>
                          <w:divBdr>
                            <w:top w:val="none" w:sz="0" w:space="0" w:color="auto"/>
                            <w:left w:val="none" w:sz="0" w:space="0" w:color="auto"/>
                            <w:bottom w:val="none" w:sz="0" w:space="0" w:color="auto"/>
                            <w:right w:val="none" w:sz="0" w:space="0" w:color="auto"/>
                          </w:divBdr>
                          <w:divsChild>
                            <w:div w:id="29336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599128">
      <w:bodyDiv w:val="1"/>
      <w:marLeft w:val="0"/>
      <w:marRight w:val="0"/>
      <w:marTop w:val="0"/>
      <w:marBottom w:val="0"/>
      <w:divBdr>
        <w:top w:val="none" w:sz="0" w:space="0" w:color="auto"/>
        <w:left w:val="none" w:sz="0" w:space="0" w:color="auto"/>
        <w:bottom w:val="none" w:sz="0" w:space="0" w:color="auto"/>
        <w:right w:val="none" w:sz="0" w:space="0" w:color="auto"/>
      </w:divBdr>
      <w:divsChild>
        <w:div w:id="805783638">
          <w:marLeft w:val="0"/>
          <w:marRight w:val="0"/>
          <w:marTop w:val="0"/>
          <w:marBottom w:val="0"/>
          <w:divBdr>
            <w:top w:val="none" w:sz="0" w:space="0" w:color="auto"/>
            <w:left w:val="none" w:sz="0" w:space="0" w:color="auto"/>
            <w:bottom w:val="none" w:sz="0" w:space="0" w:color="auto"/>
            <w:right w:val="none" w:sz="0" w:space="0" w:color="auto"/>
          </w:divBdr>
          <w:divsChild>
            <w:div w:id="435709774">
              <w:marLeft w:val="0"/>
              <w:marRight w:val="0"/>
              <w:marTop w:val="0"/>
              <w:marBottom w:val="0"/>
              <w:divBdr>
                <w:top w:val="none" w:sz="0" w:space="0" w:color="auto"/>
                <w:left w:val="none" w:sz="0" w:space="0" w:color="auto"/>
                <w:bottom w:val="none" w:sz="0" w:space="0" w:color="auto"/>
                <w:right w:val="none" w:sz="0" w:space="0" w:color="auto"/>
              </w:divBdr>
              <w:divsChild>
                <w:div w:id="1220556070">
                  <w:marLeft w:val="0"/>
                  <w:marRight w:val="0"/>
                  <w:marTop w:val="0"/>
                  <w:marBottom w:val="0"/>
                  <w:divBdr>
                    <w:top w:val="none" w:sz="0" w:space="0" w:color="auto"/>
                    <w:left w:val="none" w:sz="0" w:space="0" w:color="auto"/>
                    <w:bottom w:val="none" w:sz="0" w:space="0" w:color="auto"/>
                    <w:right w:val="none" w:sz="0" w:space="0" w:color="auto"/>
                  </w:divBdr>
                  <w:divsChild>
                    <w:div w:id="203341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025689">
          <w:marLeft w:val="0"/>
          <w:marRight w:val="0"/>
          <w:marTop w:val="0"/>
          <w:marBottom w:val="0"/>
          <w:divBdr>
            <w:top w:val="none" w:sz="0" w:space="0" w:color="auto"/>
            <w:left w:val="none" w:sz="0" w:space="0" w:color="auto"/>
            <w:bottom w:val="none" w:sz="0" w:space="0" w:color="auto"/>
            <w:right w:val="none" w:sz="0" w:space="0" w:color="auto"/>
          </w:divBdr>
          <w:divsChild>
            <w:div w:id="667366315">
              <w:marLeft w:val="0"/>
              <w:marRight w:val="0"/>
              <w:marTop w:val="0"/>
              <w:marBottom w:val="0"/>
              <w:divBdr>
                <w:top w:val="none" w:sz="0" w:space="0" w:color="auto"/>
                <w:left w:val="none" w:sz="0" w:space="0" w:color="auto"/>
                <w:bottom w:val="none" w:sz="0" w:space="0" w:color="auto"/>
                <w:right w:val="none" w:sz="0" w:space="0" w:color="auto"/>
              </w:divBdr>
              <w:divsChild>
                <w:div w:id="2057509324">
                  <w:marLeft w:val="0"/>
                  <w:marRight w:val="0"/>
                  <w:marTop w:val="0"/>
                  <w:marBottom w:val="0"/>
                  <w:divBdr>
                    <w:top w:val="none" w:sz="0" w:space="0" w:color="auto"/>
                    <w:left w:val="none" w:sz="0" w:space="0" w:color="auto"/>
                    <w:bottom w:val="none" w:sz="0" w:space="0" w:color="auto"/>
                    <w:right w:val="none" w:sz="0" w:space="0" w:color="auto"/>
                  </w:divBdr>
                  <w:divsChild>
                    <w:div w:id="78095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ndana.mehandiratta@gmail.com"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anuj21@hotmail.com"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0D81D-E807-4E34-A8F2-0FED879CA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1438</Words>
  <Characters>8199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
  <LinksUpToDate>false</LinksUpToDate>
  <CharactersWithSpaces>9618</CharactersWithSpaces>
  <SharedDoc>false</SharedDoc>
  <HLinks>
    <vt:vector size="252" baseType="variant">
      <vt:variant>
        <vt:i4>8126503</vt:i4>
      </vt:variant>
      <vt:variant>
        <vt:i4>147</vt:i4>
      </vt:variant>
      <vt:variant>
        <vt:i4>0</vt:i4>
      </vt:variant>
      <vt:variant>
        <vt:i4>5</vt:i4>
      </vt:variant>
      <vt:variant>
        <vt:lpwstr>https://doi.org/10.4018/979-8-3693-0338-2.ch012</vt:lpwstr>
      </vt:variant>
      <vt:variant>
        <vt:lpwstr/>
      </vt:variant>
      <vt:variant>
        <vt:i4>5832820</vt:i4>
      </vt:variant>
      <vt:variant>
        <vt:i4>144</vt:i4>
      </vt:variant>
      <vt:variant>
        <vt:i4>0</vt:i4>
      </vt:variant>
      <vt:variant>
        <vt:i4>5</vt:i4>
      </vt:variant>
      <vt:variant>
        <vt:lpwstr>https://doi.org/10.1007/978-981-97-0700-3_6</vt:lpwstr>
      </vt:variant>
      <vt:variant>
        <vt:lpwstr/>
      </vt:variant>
      <vt:variant>
        <vt:i4>7798878</vt:i4>
      </vt:variant>
      <vt:variant>
        <vt:i4>141</vt:i4>
      </vt:variant>
      <vt:variant>
        <vt:i4>0</vt:i4>
      </vt:variant>
      <vt:variant>
        <vt:i4>5</vt:i4>
      </vt:variant>
      <vt:variant>
        <vt:lpwstr>https://doi.org/10.1007/978-3-031-53085-2_24</vt:lpwstr>
      </vt:variant>
      <vt:variant>
        <vt:lpwstr/>
      </vt:variant>
      <vt:variant>
        <vt:i4>7864364</vt:i4>
      </vt:variant>
      <vt:variant>
        <vt:i4>138</vt:i4>
      </vt:variant>
      <vt:variant>
        <vt:i4>0</vt:i4>
      </vt:variant>
      <vt:variant>
        <vt:i4>5</vt:i4>
      </vt:variant>
      <vt:variant>
        <vt:lpwstr>https://doi.org/10.4018/979-8-3373-2115-8.ch007</vt:lpwstr>
      </vt:variant>
      <vt:variant>
        <vt:lpwstr/>
      </vt:variant>
      <vt:variant>
        <vt:i4>1638407</vt:i4>
      </vt:variant>
      <vt:variant>
        <vt:i4>135</vt:i4>
      </vt:variant>
      <vt:variant>
        <vt:i4>0</vt:i4>
      </vt:variant>
      <vt:variant>
        <vt:i4>5</vt:i4>
      </vt:variant>
      <vt:variant>
        <vt:lpwstr>https://scholar.google.com/scholar_lookup?title=A+lightweight+portable+intrusion+detection+communication+system+for+auditing+applications&amp;author=Nykvist,+C.&amp;author=Larsson,+M.&amp;author=Sodhro,+A.H.&amp;author=Gurtov,+A.&amp;publication_year=2020&amp;journal=Int.+J.+Commun.+Syst.&amp;volume=33&amp;pages=e4327&amp;doi=10.1002/dac.4327</vt:lpwstr>
      </vt:variant>
      <vt:variant>
        <vt:lpwstr/>
      </vt:variant>
      <vt:variant>
        <vt:i4>3080252</vt:i4>
      </vt:variant>
      <vt:variant>
        <vt:i4>132</vt:i4>
      </vt:variant>
      <vt:variant>
        <vt:i4>0</vt:i4>
      </vt:variant>
      <vt:variant>
        <vt:i4>5</vt:i4>
      </vt:variant>
      <vt:variant>
        <vt:lpwstr>https://doi.org/10.1016/j.cose.2020.101740</vt:lpwstr>
      </vt:variant>
      <vt:variant>
        <vt:lpwstr/>
      </vt:variant>
      <vt:variant>
        <vt:i4>786441</vt:i4>
      </vt:variant>
      <vt:variant>
        <vt:i4>129</vt:i4>
      </vt:variant>
      <vt:variant>
        <vt:i4>0</vt:i4>
      </vt:variant>
      <vt:variant>
        <vt:i4>5</vt:i4>
      </vt:variant>
      <vt:variant>
        <vt:lpwstr>https://scholar.google.com/scholar_lookup?title=Byte-level+malware+classification+based+on+markov+images+and+deep+learning&amp;author=Yuan,+B.&amp;author=Wang,+J.&amp;author=Liu,+D.&amp;author=Guo,+W.&amp;author=Wu,+P.&amp;author=Bao,+X.&amp;publication_year=2020&amp;journal=Comput.+Secur.&amp;volume=92&amp;pages=101740&amp;doi=10.1016/j.cose.2020.101740</vt:lpwstr>
      </vt:variant>
      <vt:variant>
        <vt:lpwstr/>
      </vt:variant>
      <vt:variant>
        <vt:i4>2621496</vt:i4>
      </vt:variant>
      <vt:variant>
        <vt:i4>126</vt:i4>
      </vt:variant>
      <vt:variant>
        <vt:i4>0</vt:i4>
      </vt:variant>
      <vt:variant>
        <vt:i4>5</vt:i4>
      </vt:variant>
      <vt:variant>
        <vt:lpwstr>https://doi.org/10.1007/s10586-021-03528-5</vt:lpwstr>
      </vt:variant>
      <vt:variant>
        <vt:lpwstr/>
      </vt:variant>
      <vt:variant>
        <vt:i4>2490489</vt:i4>
      </vt:variant>
      <vt:variant>
        <vt:i4>123</vt:i4>
      </vt:variant>
      <vt:variant>
        <vt:i4>0</vt:i4>
      </vt:variant>
      <vt:variant>
        <vt:i4>5</vt:i4>
      </vt:variant>
      <vt:variant>
        <vt:lpwstr>https://scholar.google.com/scholar_lookup?title=Mitigating+the+worst+parent+attack+in+RPL+based+internet+of+things&amp;author=Sahay,+R.&amp;author=Geethakumari,+G.&amp;author=Mitra,+B.&amp;publication_year=2022&amp;journal=Clust.+Comput.&amp;volume=25&amp;pages=1303%E2%80%931320&amp;doi=10.1007/s10586-021-03528-5</vt:lpwstr>
      </vt:variant>
      <vt:variant>
        <vt:lpwstr/>
      </vt:variant>
      <vt:variant>
        <vt:i4>8060976</vt:i4>
      </vt:variant>
      <vt:variant>
        <vt:i4>120</vt:i4>
      </vt:variant>
      <vt:variant>
        <vt:i4>0</vt:i4>
      </vt:variant>
      <vt:variant>
        <vt:i4>5</vt:i4>
      </vt:variant>
      <vt:variant>
        <vt:lpwstr>https://doi.org/10.1109/ACCESS.2022.3150928</vt:lpwstr>
      </vt:variant>
      <vt:variant>
        <vt:lpwstr/>
      </vt:variant>
      <vt:variant>
        <vt:i4>2097198</vt:i4>
      </vt:variant>
      <vt:variant>
        <vt:i4>117</vt:i4>
      </vt:variant>
      <vt:variant>
        <vt:i4>0</vt:i4>
      </vt:variant>
      <vt:variant>
        <vt:i4>5</vt:i4>
      </vt:variant>
      <vt:variant>
        <vt:lpwstr>https://scholar.google.com/scholar_lookup?title=RPL+Based+Emergency+Routing+Protocol+for+Smart+Buildings&amp;author=Tsai,+R.G.&amp;author=Tsai,+P.H.&amp;author=Shih,+G.R.&amp;author=Tu,+J.&amp;publication_year=2022&amp;journal=IEEE+Access&amp;volume=10&amp;pages=18445%E2%80%9318455&amp;doi=10.1109/ACCESS.2022.3150928</vt:lpwstr>
      </vt:variant>
      <vt:variant>
        <vt:lpwstr/>
      </vt:variant>
      <vt:variant>
        <vt:i4>5505115</vt:i4>
      </vt:variant>
      <vt:variant>
        <vt:i4>114</vt:i4>
      </vt:variant>
      <vt:variant>
        <vt:i4>0</vt:i4>
      </vt:variant>
      <vt:variant>
        <vt:i4>5</vt:i4>
      </vt:variant>
      <vt:variant>
        <vt:lpwstr>https://link.springer.com/content/pdf/10.1007/s12652-019-01649-9.pdf</vt:lpwstr>
      </vt:variant>
      <vt:variant>
        <vt:lpwstr/>
      </vt:variant>
      <vt:variant>
        <vt:i4>2687024</vt:i4>
      </vt:variant>
      <vt:variant>
        <vt:i4>111</vt:i4>
      </vt:variant>
      <vt:variant>
        <vt:i4>0</vt:i4>
      </vt:variant>
      <vt:variant>
        <vt:i4>5</vt:i4>
      </vt:variant>
      <vt:variant>
        <vt:lpwstr>https://doi.org/10.1007/s12652-019-01649-9</vt:lpwstr>
      </vt:variant>
      <vt:variant>
        <vt:lpwstr/>
      </vt:variant>
      <vt:variant>
        <vt:i4>3145798</vt:i4>
      </vt:variant>
      <vt:variant>
        <vt:i4>108</vt:i4>
      </vt:variant>
      <vt:variant>
        <vt:i4>0</vt:i4>
      </vt:variant>
      <vt:variant>
        <vt:i4>5</vt:i4>
      </vt:variant>
      <vt:variant>
        <vt:lpwstr>https://scholar.google.com/scholar_lookup?title=Performance+analysis+of+machine+learning+classifiers+for+non-technical+loss+detection&amp;author=Ghori,+K.M.&amp;author=Imran,+M.&amp;author=Nawaz,+A.&amp;author=Abbasi,+R.A.&amp;author=Ullah,+A.&amp;author=Szathmary,+A.I.L.&amp;publication_year=2020&amp;journal=J.+Ambient.+Intell.+Humaniz.+Comput.&amp;pages=1%E2%80%9316&amp;doi=10.1007/s12652-019-01649-9</vt:lpwstr>
      </vt:variant>
      <vt:variant>
        <vt:lpwstr/>
      </vt:variant>
      <vt:variant>
        <vt:i4>327752</vt:i4>
      </vt:variant>
      <vt:variant>
        <vt:i4>105</vt:i4>
      </vt:variant>
      <vt:variant>
        <vt:i4>0</vt:i4>
      </vt:variant>
      <vt:variant>
        <vt:i4>5</vt:i4>
      </vt:variant>
      <vt:variant>
        <vt:lpwstr>https://scholar.google.com/scholar_lookup?title=Novel+adaptive+cyber-attack+prediction+model+using+an+enhanced+genetic+algorithm+and+deep+learning+(AdacDeep)&amp;author=Ibor,+A.E.&amp;author=Oladeji,+F.A.&amp;author=Okunoye,+O.B.&amp;author=Uwadia,+C.O.&amp;publication_year=2021&amp;journal=Inf.+Secur.+J.+A+Glob.+Perspect.&amp;volume=31&amp;pages=1%E2%80%9320</vt:lpwstr>
      </vt:variant>
      <vt:variant>
        <vt:lpwstr/>
      </vt:variant>
      <vt:variant>
        <vt:i4>1638479</vt:i4>
      </vt:variant>
      <vt:variant>
        <vt:i4>102</vt:i4>
      </vt:variant>
      <vt:variant>
        <vt:i4>0</vt:i4>
      </vt:variant>
      <vt:variant>
        <vt:i4>5</vt:i4>
      </vt:variant>
      <vt:variant>
        <vt:lpwstr>https://doi.org/10.1109/MNET.2019.1800358</vt:lpwstr>
      </vt:variant>
      <vt:variant>
        <vt:lpwstr/>
      </vt:variant>
      <vt:variant>
        <vt:i4>2031618</vt:i4>
      </vt:variant>
      <vt:variant>
        <vt:i4>99</vt:i4>
      </vt:variant>
      <vt:variant>
        <vt:i4>0</vt:i4>
      </vt:variant>
      <vt:variant>
        <vt:i4>5</vt:i4>
      </vt:variant>
      <vt:variant>
        <vt:lpwstr>https://scholar.google.com/scholar_lookup?title=Data-driven+network+intelligence+for+anomaly+detection&amp;author=Xu,+G.&amp;author=Qian,+Y.&amp;author=Hu,+R.Q.&amp;publication_year=2019&amp;journal=IEEE+Netw.&amp;volume=33&amp;pages=88%E2%80%9395&amp;doi=10.1109/MNET.2019.1800358</vt:lpwstr>
      </vt:variant>
      <vt:variant>
        <vt:lpwstr/>
      </vt:variant>
      <vt:variant>
        <vt:i4>6160404</vt:i4>
      </vt:variant>
      <vt:variant>
        <vt:i4>96</vt:i4>
      </vt:variant>
      <vt:variant>
        <vt:i4>0</vt:i4>
      </vt:variant>
      <vt:variant>
        <vt:i4>5</vt:i4>
      </vt:variant>
      <vt:variant>
        <vt:lpwstr>https://doi.org/10.1016/j.compeleceng.2021.107052</vt:lpwstr>
      </vt:variant>
      <vt:variant>
        <vt:lpwstr/>
      </vt:variant>
      <vt:variant>
        <vt:i4>6684788</vt:i4>
      </vt:variant>
      <vt:variant>
        <vt:i4>93</vt:i4>
      </vt:variant>
      <vt:variant>
        <vt:i4>0</vt:i4>
      </vt:variant>
      <vt:variant>
        <vt:i4>5</vt:i4>
      </vt:variant>
      <vt:variant>
        <vt:lpwstr>https://scholar.google.com/scholar_lookup?title=Machine+learning+for+network+application+security:+Empirical+evaluation+and+optimization&amp;author=Aledhari,+M.&amp;author=Razzak,+R.&amp;author=Parizi,+R.M.&amp;publication_year=2021&amp;journal=Comput.+Electr.+Eng.&amp;volume=91&amp;pages=107052&amp;doi=10.1016/j.compeleceng.2021.107052</vt:lpwstr>
      </vt:variant>
      <vt:variant>
        <vt:lpwstr/>
      </vt:variant>
      <vt:variant>
        <vt:i4>7209064</vt:i4>
      </vt:variant>
      <vt:variant>
        <vt:i4>90</vt:i4>
      </vt:variant>
      <vt:variant>
        <vt:i4>0</vt:i4>
      </vt:variant>
      <vt:variant>
        <vt:i4>5</vt:i4>
      </vt:variant>
      <vt:variant>
        <vt:lpwstr>https://doi.org/10.3390/electronics11010070</vt:lpwstr>
      </vt:variant>
      <vt:variant>
        <vt:lpwstr/>
      </vt:variant>
      <vt:variant>
        <vt:i4>6946942</vt:i4>
      </vt:variant>
      <vt:variant>
        <vt:i4>87</vt:i4>
      </vt:variant>
      <vt:variant>
        <vt:i4>0</vt:i4>
      </vt:variant>
      <vt:variant>
        <vt:i4>5</vt:i4>
      </vt:variant>
      <vt:variant>
        <vt:lpwstr>https://scholar.google.com/scholar_lookup?title=Privacy-Enhanced+MQTT+Protocol+for+Massive+IoT&amp;author=Hue,+A.&amp;author=Sharma,+G.&amp;author=Dricot,+M.J.&amp;publication_year=2021&amp;journal=Electronics&amp;volume=11&amp;pages=70&amp;doi=10.3390/electronics11010070</vt:lpwstr>
      </vt:variant>
      <vt:variant>
        <vt:lpwstr/>
      </vt:variant>
      <vt:variant>
        <vt:i4>131076</vt:i4>
      </vt:variant>
      <vt:variant>
        <vt:i4>84</vt:i4>
      </vt:variant>
      <vt:variant>
        <vt:i4>0</vt:i4>
      </vt:variant>
      <vt:variant>
        <vt:i4>5</vt:i4>
      </vt:variant>
      <vt:variant>
        <vt:lpwstr>https://doi.org/10.1504/IJWMC.2018.094644</vt:lpwstr>
      </vt:variant>
      <vt:variant>
        <vt:lpwstr/>
      </vt:variant>
      <vt:variant>
        <vt:i4>589899</vt:i4>
      </vt:variant>
      <vt:variant>
        <vt:i4>81</vt:i4>
      </vt:variant>
      <vt:variant>
        <vt:i4>0</vt:i4>
      </vt:variant>
      <vt:variant>
        <vt:i4>5</vt:i4>
      </vt:variant>
      <vt:variant>
        <vt:lpwstr>https://scholar.google.com/scholar_lookup?title=Using+machine+learning+methods+for+detecting+network+anomalies+within+SNMP-MIB+dataset&amp;author=Al-Naymat,+G.&amp;author=Al-Kasassbeh,+M.&amp;author=Al-Harwari,+E.&amp;publication_year=2018&amp;journal=Int.+J.+Wirel.+Mob.+Comput.&amp;volume=15&amp;pages=67%E2%80%9376&amp;doi=10.1504/IJWMC.2018.094644</vt:lpwstr>
      </vt:variant>
      <vt:variant>
        <vt:lpwstr/>
      </vt:variant>
      <vt:variant>
        <vt:i4>4194398</vt:i4>
      </vt:variant>
      <vt:variant>
        <vt:i4>78</vt:i4>
      </vt:variant>
      <vt:variant>
        <vt:i4>0</vt:i4>
      </vt:variant>
      <vt:variant>
        <vt:i4>5</vt:i4>
      </vt:variant>
      <vt:variant>
        <vt:lpwstr>https://doi.org/10.1016/j.comcom.2008.09.018</vt:lpwstr>
      </vt:variant>
      <vt:variant>
        <vt:lpwstr/>
      </vt:variant>
      <vt:variant>
        <vt:i4>5374022</vt:i4>
      </vt:variant>
      <vt:variant>
        <vt:i4>75</vt:i4>
      </vt:variant>
      <vt:variant>
        <vt:i4>0</vt:i4>
      </vt:variant>
      <vt:variant>
        <vt:i4>5</vt:i4>
      </vt:variant>
      <vt:variant>
        <vt:lpwstr>https://scholar.google.com/scholar_lookup?title=Traffic+flooding+attack+detection+with+SNMP+MIB+using+SVM&amp;author=Yu,+J.&amp;author=Lee,+H.&amp;author=Kim,+M.S.&amp;author=Park,+D.&amp;publication_year=2008&amp;journal=Comput.+Commun.&amp;volume=31&amp;pages=4212%E2%80%934219&amp;doi=10.1016/j.comcom.2008.09.018</vt:lpwstr>
      </vt:variant>
      <vt:variant>
        <vt:lpwstr/>
      </vt:variant>
      <vt:variant>
        <vt:i4>7405585</vt:i4>
      </vt:variant>
      <vt:variant>
        <vt:i4>72</vt:i4>
      </vt:variant>
      <vt:variant>
        <vt:i4>0</vt:i4>
      </vt:variant>
      <vt:variant>
        <vt:i4>5</vt:i4>
      </vt:variant>
      <vt:variant>
        <vt:lpwstr>https://scholar.google.com/scholar_lookup?title=A+theory+of+cyber+attacks:+A+step+towards+analyzing+MTD+systems&amp;conference=Proceedings+of+the+Second+ACM+Workshop+on+Moving+Target+Defense&amp;author=Zhuang,+R.&amp;author=Bardas,+A.G.&amp;author=DeLoach,+S.A.&amp;author=Ou,+X.&amp;publication_year=2015&amp;pages=11%E2%80%9320</vt:lpwstr>
      </vt:variant>
      <vt:variant>
        <vt:lpwstr/>
      </vt:variant>
      <vt:variant>
        <vt:i4>5963855</vt:i4>
      </vt:variant>
      <vt:variant>
        <vt:i4>69</vt:i4>
      </vt:variant>
      <vt:variant>
        <vt:i4>0</vt:i4>
      </vt:variant>
      <vt:variant>
        <vt:i4>5</vt:i4>
      </vt:variant>
      <vt:variant>
        <vt:lpwstr>https://doi.org/10.1016/j.promfg.2019.02.292</vt:lpwstr>
      </vt:variant>
      <vt:variant>
        <vt:lpwstr/>
      </vt:variant>
      <vt:variant>
        <vt:i4>1703936</vt:i4>
      </vt:variant>
      <vt:variant>
        <vt:i4>66</vt:i4>
      </vt:variant>
      <vt:variant>
        <vt:i4>0</vt:i4>
      </vt:variant>
      <vt:variant>
        <vt:i4>5</vt:i4>
      </vt:variant>
      <vt:variant>
        <vt:lpwstr>https://scholar.google.com/scholar_lookup?title=A+real-time+intrusion+detection+system+for+wormhole+attack+in+the+RPL-based+Internet+of+Things&amp;author=Bhosale,+S.D.&amp;author=Sonavane,+S.S.&amp;publication_year=2019&amp;journal=Procedia+Manuf.&amp;volume=32&amp;pages=840%E2%80%93847&amp;doi=10.1016/j.promfg.2019.02.292</vt:lpwstr>
      </vt:variant>
      <vt:variant>
        <vt:lpwstr/>
      </vt:variant>
      <vt:variant>
        <vt:i4>917584</vt:i4>
      </vt:variant>
      <vt:variant>
        <vt:i4>63</vt:i4>
      </vt:variant>
      <vt:variant>
        <vt:i4>0</vt:i4>
      </vt:variant>
      <vt:variant>
        <vt:i4>5</vt:i4>
      </vt:variant>
      <vt:variant>
        <vt:lpwstr>https://hal.archives-ouvertes.fr/hal-02472852/file/Shanay.pdf</vt:lpwstr>
      </vt:variant>
      <vt:variant>
        <vt:lpwstr/>
      </vt:variant>
      <vt:variant>
        <vt:i4>4259927</vt:i4>
      </vt:variant>
      <vt:variant>
        <vt:i4>60</vt:i4>
      </vt:variant>
      <vt:variant>
        <vt:i4>0</vt:i4>
      </vt:variant>
      <vt:variant>
        <vt:i4>5</vt:i4>
      </vt:variant>
      <vt:variant>
        <vt:lpwstr>https://doi.org/10.1016/j.future.2020.02.014</vt:lpwstr>
      </vt:variant>
      <vt:variant>
        <vt:lpwstr/>
      </vt:variant>
      <vt:variant>
        <vt:i4>5832718</vt:i4>
      </vt:variant>
      <vt:variant>
        <vt:i4>57</vt:i4>
      </vt:variant>
      <vt:variant>
        <vt:i4>0</vt:i4>
      </vt:variant>
      <vt:variant>
        <vt:i4>5</vt:i4>
      </vt:variant>
      <vt:variant>
        <vt:lpwstr>https://scholar.google.com/scholar_lookup?title=A+new+scalable+authentication+and+access+control+mechanism+for+5G-based+IoT&amp;author=Behrad,+S.&amp;author=Bertin,+E.&amp;author=Tuffin,+S.&amp;author=Crespi,+N.&amp;publication_year=2020&amp;journal=Future+Gener.+Comput.+Syst.&amp;volume=108&amp;pages=46%E2%80%9361&amp;doi=10.1016/j.future.2020.02.014</vt:lpwstr>
      </vt:variant>
      <vt:variant>
        <vt:lpwstr/>
      </vt:variant>
      <vt:variant>
        <vt:i4>5570588</vt:i4>
      </vt:variant>
      <vt:variant>
        <vt:i4>54</vt:i4>
      </vt:variant>
      <vt:variant>
        <vt:i4>0</vt:i4>
      </vt:variant>
      <vt:variant>
        <vt:i4>5</vt:i4>
      </vt:variant>
      <vt:variant>
        <vt:lpwstr>https://hal.archives-ouvertes.fr/hal-01673501/file/paper.pdf</vt:lpwstr>
      </vt:variant>
      <vt:variant>
        <vt:lpwstr/>
      </vt:variant>
      <vt:variant>
        <vt:i4>5111892</vt:i4>
      </vt:variant>
      <vt:variant>
        <vt:i4>51</vt:i4>
      </vt:variant>
      <vt:variant>
        <vt:i4>0</vt:i4>
      </vt:variant>
      <vt:variant>
        <vt:i4>5</vt:i4>
      </vt:variant>
      <vt:variant>
        <vt:lpwstr>https://doi.org/10.1016/j.future.2017.12.048</vt:lpwstr>
      </vt:variant>
      <vt:variant>
        <vt:lpwstr/>
      </vt:variant>
      <vt:variant>
        <vt:i4>3276801</vt:i4>
      </vt:variant>
      <vt:variant>
        <vt:i4>48</vt:i4>
      </vt:variant>
      <vt:variant>
        <vt:i4>0</vt:i4>
      </vt:variant>
      <vt:variant>
        <vt:i4>5</vt:i4>
      </vt:variant>
      <vt:variant>
        <vt:lpwstr>https://scholar.google.com/scholar_lookup?title=End-to-end+energy+models+for+Edge+Cloud-based+IoT+platforms:+Application+to+data+stream+analysis+in+IoT&amp;author=Li,+Y.&amp;author=Orgerie,+A.C.&amp;author=Rodero,+I.&amp;author=Amersho,+B.L.&amp;author=Parashar,+M.&amp;publication_year=2018&amp;journal=Future+Gener.+Comput.+Syst.&amp;volume=87&amp;pages=667%E2%80%93678&amp;doi=10.1016/j.future.2017.12.048</vt:lpwstr>
      </vt:variant>
      <vt:variant>
        <vt:lpwstr/>
      </vt:variant>
      <vt:variant>
        <vt:i4>2883682</vt:i4>
      </vt:variant>
      <vt:variant>
        <vt:i4>45</vt:i4>
      </vt:variant>
      <vt:variant>
        <vt:i4>0</vt:i4>
      </vt:variant>
      <vt:variant>
        <vt:i4>5</vt:i4>
      </vt:variant>
      <vt:variant>
        <vt:lpwstr>https://www.mdpi.com/1424-8220/18/3/817/pdf</vt:lpwstr>
      </vt:variant>
      <vt:variant>
        <vt:lpwstr/>
      </vt:variant>
      <vt:variant>
        <vt:i4>1572889</vt:i4>
      </vt:variant>
      <vt:variant>
        <vt:i4>42</vt:i4>
      </vt:variant>
      <vt:variant>
        <vt:i4>0</vt:i4>
      </vt:variant>
      <vt:variant>
        <vt:i4>5</vt:i4>
      </vt:variant>
      <vt:variant>
        <vt:lpwstr>https://doi.org/10.3390/s18030817</vt:lpwstr>
      </vt:variant>
      <vt:variant>
        <vt:lpwstr/>
      </vt:variant>
      <vt:variant>
        <vt:i4>1966166</vt:i4>
      </vt:variant>
      <vt:variant>
        <vt:i4>39</vt:i4>
      </vt:variant>
      <vt:variant>
        <vt:i4>0</vt:i4>
      </vt:variant>
      <vt:variant>
        <vt:i4>5</vt:i4>
      </vt:variant>
      <vt:variant>
        <vt:lpwstr>https://scholar.google.com/scholar_lookup?title=Cyber+and+physical+security+vulnerability+assessment+for+IoT-based+smart+homes&amp;author=Ali,+B.&amp;author=Awad,+A.I.&amp;publication_year=2018&amp;journal=Sensors&amp;volume=18&amp;pages=817&amp;doi=10.3390/s18030817</vt:lpwstr>
      </vt:variant>
      <vt:variant>
        <vt:lpwstr/>
      </vt:variant>
      <vt:variant>
        <vt:i4>4653081</vt:i4>
      </vt:variant>
      <vt:variant>
        <vt:i4>36</vt:i4>
      </vt:variant>
      <vt:variant>
        <vt:i4>0</vt:i4>
      </vt:variant>
      <vt:variant>
        <vt:i4>5</vt:i4>
      </vt:variant>
      <vt:variant>
        <vt:lpwstr>https://scholar.google.com/scholar_lookup?title=Towards+generating+realistic+SNMP-MIB+dataset+for+network+anomaly+detection&amp;author=Al-kasassbeh,+M.&amp;author=Al-Naymat,+G.&amp;author=Al-Hawari,+E.&amp;publication_year=2016&amp;journal=Int.+J.+Comput.+Sci.+Inf.+Secur.&amp;volume=14&amp;pages=1162</vt:lpwstr>
      </vt:variant>
      <vt:variant>
        <vt:lpwstr/>
      </vt:variant>
      <vt:variant>
        <vt:i4>1179649</vt:i4>
      </vt:variant>
      <vt:variant>
        <vt:i4>33</vt:i4>
      </vt:variant>
      <vt:variant>
        <vt:i4>0</vt:i4>
      </vt:variant>
      <vt:variant>
        <vt:i4>5</vt:i4>
      </vt:variant>
      <vt:variant>
        <vt:lpwstr>https://doi.org/10.32604/cmc.2020.012475</vt:lpwstr>
      </vt:variant>
      <vt:variant>
        <vt:lpwstr/>
      </vt:variant>
      <vt:variant>
        <vt:i4>6619170</vt:i4>
      </vt:variant>
      <vt:variant>
        <vt:i4>30</vt:i4>
      </vt:variant>
      <vt:variant>
        <vt:i4>0</vt:i4>
      </vt:variant>
      <vt:variant>
        <vt:i4>5</vt:i4>
      </vt:variant>
      <vt:variant>
        <vt:lpwstr>https://scholar.google.com/scholar_lookup?title=Multilayer+self-defense+system+to+protect+enterprise+cloud&amp;author=Mishra,+S.&amp;author=Sharma,+S.K.&amp;author=Alowaidi,+M.A.&amp;publication_year=2021&amp;journal=Comput.+Mater.+Contin.&amp;volume=66&amp;pages=71%E2%80%9385&amp;doi=10.32604/cmc.2020.012475</vt:lpwstr>
      </vt:variant>
      <vt:variant>
        <vt:lpwstr/>
      </vt:variant>
      <vt:variant>
        <vt:i4>3014669</vt:i4>
      </vt:variant>
      <vt:variant>
        <vt:i4>3</vt:i4>
      </vt:variant>
      <vt:variant>
        <vt:i4>0</vt:i4>
      </vt:variant>
      <vt:variant>
        <vt:i4>5</vt:i4>
      </vt:variant>
      <vt:variant>
        <vt:lpwstr>mailto:anuj21@hotmail.com</vt:lpwstr>
      </vt:variant>
      <vt:variant>
        <vt:lpwstr/>
      </vt:variant>
      <vt:variant>
        <vt:i4>6815745</vt:i4>
      </vt:variant>
      <vt:variant>
        <vt:i4>0</vt:i4>
      </vt:variant>
      <vt:variant>
        <vt:i4>0</vt:i4>
      </vt:variant>
      <vt:variant>
        <vt:i4>5</vt:i4>
      </vt:variant>
      <vt:variant>
        <vt:lpwstr>mailto:vandana.mehandiratta@gmail.com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Aradhya</cp:lastModifiedBy>
  <cp:revision>4</cp:revision>
  <cp:lastPrinted>2026-04-29T18:41:00Z</cp:lastPrinted>
  <dcterms:created xsi:type="dcterms:W3CDTF">2026-04-30T09:39:00Z</dcterms:created>
  <dcterms:modified xsi:type="dcterms:W3CDTF">2026-04-30T09:40:00Z</dcterms:modified>
</cp:coreProperties>
</file>