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3C56E">
      <w:pPr>
        <w:spacing w:line="360" w:lineRule="auto"/>
        <w:ind w:firstLine="0" w:firstLineChars="0"/>
        <w:jc w:val="center"/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>Supporting information</w:t>
      </w:r>
    </w:p>
    <w:p w14:paraId="21722E2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"/>
        </w:rPr>
        <w:t>Coupled structural and redox evolution of dissolved organic matter driven by biochar during aerobic composting</w:t>
      </w:r>
    </w:p>
    <w:p w14:paraId="5EA5D1F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Siyu Hang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, Xinyu Fang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, Limeng Shao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, Xufang Yu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a,*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, Yichun Wang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, Siyu Liu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, Xingjun Fan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>a,b</w:t>
      </w:r>
    </w:p>
    <w:p w14:paraId="3C292CD0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 xml:space="preserve">a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College of Resource and Environment, Anhui Science and Technology University, Fengyang, 233100, PR China </w:t>
      </w:r>
    </w:p>
    <w:p w14:paraId="253BA15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vertAlign w:val="superscript"/>
          <w:lang w:val="en-US" w:eastAsia="zh-CN" w:bidi="ar"/>
        </w:rPr>
        <w:t xml:space="preserve">b 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Anhui Province Key Laboratory of Biochar and Cropland Pollution Prevention, Bengbu, 233400, PR China</w:t>
      </w:r>
    </w:p>
    <w:p w14:paraId="79236FF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34973C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F90DA3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snapToGrid w:val="0"/>
          <w:kern w:val="2"/>
          <w:sz w:val="24"/>
          <w:szCs w:val="24"/>
          <w:lang w:val="en-US" w:eastAsia="en-US" w:bidi="ar"/>
        </w:rPr>
        <w:t>*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Correspondence:</w:t>
      </w:r>
    </w:p>
    <w:p w14:paraId="5F7BE46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E-mail address: yuxf@ahstu.edu.cn (Xufang Yu)</w:t>
      </w:r>
    </w:p>
    <w:p w14:paraId="46DDCC2D">
      <w:pPr>
        <w:tabs>
          <w:tab w:val="center" w:pos="4153"/>
        </w:tabs>
        <w:spacing w:line="360" w:lineRule="auto"/>
        <w:ind w:firstLine="0" w:firstLineChars="0"/>
        <w:rPr>
          <w:rFonts w:hint="default" w:ascii="Times New Roman" w:hAnsi="Times New Roman" w:cs="Times New Roman"/>
          <w:b/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B6E3A81">
      <w:pPr>
        <w:tabs>
          <w:tab w:val="center" w:pos="4153"/>
        </w:tabs>
        <w:spacing w:line="360" w:lineRule="auto"/>
        <w:ind w:firstLine="0" w:firstLineChars="0"/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Section S</w:t>
      </w:r>
      <w:r>
        <w:rPr>
          <w:rFonts w:hint="default" w:ascii="Times New Roman" w:hAnsi="Times New Roman" w:cs="Times New Roman"/>
          <w:b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Related tables for this article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eastAsia="zh-CN"/>
        </w:rPr>
        <w:tab/>
      </w:r>
    </w:p>
    <w:p w14:paraId="7E04C2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53675D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S1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Initial physicochemical properties of the raw materials (cow manure, rice straw, and biochar) used for aerobic composting</w:t>
      </w:r>
    </w:p>
    <w:tbl>
      <w:tblPr>
        <w:tblStyle w:val="4"/>
        <w:tblW w:w="4997" w:type="pct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239"/>
        <w:gridCol w:w="1184"/>
        <w:gridCol w:w="1239"/>
        <w:gridCol w:w="1776"/>
        <w:gridCol w:w="1239"/>
      </w:tblGrid>
      <w:tr w14:paraId="535BD59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3" w:hRule="atLeast"/>
          <w:tblHeader/>
          <w:jc w:val="center"/>
        </w:trPr>
        <w:tc>
          <w:tcPr>
            <w:tcW w:w="1080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B46F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Materials</w:t>
            </w:r>
          </w:p>
        </w:tc>
        <w:tc>
          <w:tcPr>
            <w:tcW w:w="727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258D7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TC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695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D533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Total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727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6C87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C/N</w:t>
            </w:r>
          </w:p>
        </w:tc>
        <w:tc>
          <w:tcPr>
            <w:tcW w:w="1042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51BF9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Moisture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content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727" w:type="pc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6F3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pH</w:t>
            </w:r>
          </w:p>
        </w:tc>
      </w:tr>
      <w:tr w14:paraId="174A15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80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EDF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Cow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Manure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640E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34.88</w:t>
            </w:r>
          </w:p>
        </w:tc>
        <w:tc>
          <w:tcPr>
            <w:tcW w:w="695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8630F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1.38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3786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25.28</w:t>
            </w:r>
          </w:p>
        </w:tc>
        <w:tc>
          <w:tcPr>
            <w:tcW w:w="1042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20E1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27" w:type="pct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7062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7.76</w:t>
            </w:r>
          </w:p>
        </w:tc>
      </w:tr>
      <w:tr w14:paraId="488E88A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AA5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Rice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straw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7EF0B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34.65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9F5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7C2E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28.17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6306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CE8C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6.77</w:t>
            </w:r>
          </w:p>
        </w:tc>
      </w:tr>
      <w:tr w14:paraId="2E37F24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080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C55B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Biochar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16BF1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695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ECAA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F0EAE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52.07</w:t>
            </w:r>
          </w:p>
        </w:tc>
        <w:tc>
          <w:tcPr>
            <w:tcW w:w="1042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4434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\</w:t>
            </w:r>
          </w:p>
        </w:tc>
        <w:tc>
          <w:tcPr>
            <w:tcW w:w="727" w:type="pct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3FEE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10.31</w:t>
            </w:r>
          </w:p>
        </w:tc>
      </w:tr>
    </w:tbl>
    <w:p w14:paraId="30532E89">
      <w:pPr>
        <w:spacing w:line="360" w:lineRule="auto"/>
        <w:ind w:firstLine="0" w:firstLineChars="0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</w:p>
    <w:p w14:paraId="40E70D9C">
      <w:pPr>
        <w:spacing w:line="360" w:lineRule="auto"/>
        <w:ind w:firstLine="0" w:firstLineChars="0"/>
        <w:rPr>
          <w:rFonts w:hint="default" w:ascii="Times New Roman" w:hAnsi="Times New Roman" w:cs="Times New Roman"/>
          <w:b w:val="0"/>
          <w:bCs/>
          <w:sz w:val="24"/>
          <w:szCs w:val="24"/>
          <w:lang w:val="en-US" w:eastAsia="zh-CN"/>
        </w:rPr>
      </w:pPr>
    </w:p>
    <w:p w14:paraId="3F76F1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Table.S2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Definitions and calculation formulas for the spectroscopic indices utilized for DOM characterization.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3311"/>
        <w:gridCol w:w="4272"/>
      </w:tblGrid>
      <w:tr w14:paraId="659E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6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58860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S</w:t>
            </w: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 xml:space="preserve">pectral 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index</w:t>
            </w:r>
          </w:p>
        </w:tc>
        <w:tc>
          <w:tcPr>
            <w:tcW w:w="331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EC686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C</w:t>
            </w: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 xml:space="preserve">alculation </w:t>
            </w: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F</w:t>
            </w: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>ormula</w:t>
            </w:r>
          </w:p>
        </w:tc>
        <w:tc>
          <w:tcPr>
            <w:tcW w:w="42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CEB6F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6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Style w:val="6"/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>escri</w:t>
            </w:r>
            <w:r>
              <w:rPr>
                <w:rStyle w:val="6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lang w:val="en-US" w:eastAsia="zh-CN"/>
              </w:rPr>
              <w:t>ption and ecological significance</w:t>
            </w:r>
          </w:p>
        </w:tc>
      </w:tr>
      <w:tr w14:paraId="48BC9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16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4EB7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  <w:t>SUVA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subscript"/>
                <w:lang w:val="en-US" w:eastAsia="zh-CN"/>
              </w:rPr>
              <w:t>254</w:t>
            </w:r>
          </w:p>
        </w:tc>
        <w:tc>
          <w:tcPr>
            <w:tcW w:w="331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D0AE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Sub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SUVA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254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bCs w:val="0"/>
                    <w:i w:val="0"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=100·</m:t>
                </m:r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Sub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A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254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bCs w:val="0"/>
                    <w:i w:val="0"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/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bCs w:val="0"/>
                    <w:i w:val="0"/>
                    <w:iCs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DOC</m:t>
                </m:r>
              </m:oMath>
            </m:oMathPara>
          </w:p>
        </w:tc>
        <w:tc>
          <w:tcPr>
            <w:tcW w:w="42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F3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>A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vertAlign w:val="subscript"/>
              </w:rPr>
              <w:t>254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 xml:space="preserve"> represents the UV absorbance at 254 nm, and DOC denotes the dissolved organic carbon concentration (mg L⁻¹). SUVA254 is positively correlated with the aromaticity and high-molecular-weight fraction of DOM.</w:t>
            </w:r>
          </w:p>
        </w:tc>
      </w:tr>
      <w:tr w14:paraId="79676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AFD06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subscript"/>
                <w:lang w:val="en-US" w:eastAsia="zh-CN"/>
              </w:rPr>
              <w:t>R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F75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m:oMathPara>
              <m:oMath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Sub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S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R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bCs w:val="0"/>
                    <w:i w:val="0"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=</m:t>
                </m:r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Sub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S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275~295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bCs w:val="0"/>
                    <w:i w:val="0"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/</m:t>
                </m:r>
                <m:sSub>
                  <m:sSubP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Sub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S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eastAsia="宋体" w:cs="Times New Roman"/>
                        <w:b w:val="0"/>
                        <w:bCs w:val="0"/>
                        <w:i w:val="0"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  <m:t>350~400</m:t>
                    </m: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sub>
                </m:sSub>
              </m:oMath>
            </m:oMathPara>
          </w:p>
          <w:p w14:paraId="179E4C0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m:oMath>
              <m:sSub>
                <m:sSubPr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  <m:t>α</m:t>
                  </m:r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</m:ctrlPr>
                </m:e>
                <m:sub>
                  <m:r>
                    <m:rPr>
                      <m:nor/>
                    </m:rP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  <m:t>λ</m:t>
                  </m:r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</m:ctrlPr>
                </m:sub>
              </m:sSub>
            </m:oMath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=</w:t>
            </w:r>
            <m:oMath>
              <m:sSub>
                <m:sSubPr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  <m:t>α</m:t>
                  </m:r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</m:ctrlPr>
                </m:e>
                <m:sub>
                  <m:sSup>
                    <m:sSupP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bidi="ar-SA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i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bidi="ar-SA"/>
                        </w:rPr>
                        <m:t>λ</m:t>
                      </m: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bidi="ar-SA"/>
                        </w:rPr>
                      </m:ctrlPr>
                    </m:e>
                    <m:sup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i w:val="0"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  <m:t>0</m:t>
                      </m: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bidi="ar-SA"/>
                        </w:rPr>
                      </m:ctrlPr>
                    </m:sup>
                  </m:sSup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</m:ctrlPr>
                </m:sub>
              </m:sSub>
              <m:r>
                <m:rPr>
                  <m:nor/>
                </m:rPr>
                <w:rPr>
                  <w:rFonts w:hint="default" w:ascii="Times New Roman" w:hAnsi="Times New Roman" w:eastAsia="宋体" w:cs="Times New Roman"/>
                  <w:b w:val="0"/>
                  <w:bCs w:val="0"/>
                  <w:i/>
                  <w:color w:val="000000"/>
                  <w:kern w:val="2"/>
                  <w:sz w:val="21"/>
                  <w:szCs w:val="21"/>
                  <w:vertAlign w:val="baseline"/>
                  <w:lang w:val="en-US" w:eastAsia="zh-CN" w:bidi="ar-SA"/>
                </w:rPr>
                <m:t>exp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color w:val="000000"/>
                  <w:kern w:val="2"/>
                  <w:sz w:val="21"/>
                  <w:szCs w:val="21"/>
                  <w:vertAlign w:val="baseline"/>
                  <w:lang w:val="en-US" w:eastAsia="zh-CN" w:bidi="ar-SA"/>
                </w:rPr>
                <m:t>(</m:t>
              </m:r>
              <m:sSub>
                <m:sSubPr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  <m:t>S</m:t>
                  </m:r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m:ctrlPr>
                </m:e>
                <m:sub>
                  <m:sSup>
                    <m:sSupP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i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bidi="ar-SA"/>
                        </w:rPr>
                        <m:t>λ</m:t>
                      </m: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</m:ctrlPr>
                    </m:e>
                    <m:sup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i w:val="0"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  <m:t>0</m:t>
                      </m: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</m:ctrlPr>
                    </m:sup>
                  </m:sSup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 w:val="0"/>
                      <w:color w:val="00000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  <m:t>−</m:t>
                  </m:r>
                  <m:r>
                    <m:rPr>
                      <m:nor/>
                    </m:rPr>
                    <w:rPr>
                      <w:rFonts w:hint="default" w:ascii="Times New Roman" w:hAnsi="Times New Roman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bidi="ar-SA"/>
                    </w:rPr>
                    <m:t>λ</m:t>
                  </m:r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/>
                      <w:color w:val="00000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m:ctrlPr>
                </m:sub>
              </m:sSub>
              <m:r>
                <m:rPr>
                  <m:nor/>
                  <m:sty m:val="p"/>
                </m:rP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color w:val="000000"/>
                  <w:kern w:val="2"/>
                  <w:sz w:val="21"/>
                  <w:szCs w:val="21"/>
                  <w:vertAlign w:val="baseline"/>
                  <w:lang w:val="en-US" w:eastAsia="zh-CN" w:bidi="ar-SA"/>
                </w:rPr>
                <m:t>)</m:t>
              </m:r>
            </m:oMath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E3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>S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vertAlign w:val="subscript"/>
              </w:rPr>
              <w:t>275~295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 xml:space="preserve"> and S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  <w:vertAlign w:val="subscript"/>
              </w:rPr>
              <w:t>350~400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 xml:space="preserve"> represent the spectral slope values obtained via non-linear fitting within the wavelength ranges of 275–295 nm and 350–400 nm, respectively. SR is inversely correlated with the weight-average molecular weight of DOM..</w:t>
            </w:r>
          </w:p>
        </w:tc>
      </w:tr>
      <w:tr w14:paraId="1648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153C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FI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3BB4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m:oMath>
              <m:r>
                <m:rPr>
                  <m:nor/>
                  <m:sty m:val="p"/>
                </m:rP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color w:val="000000"/>
                  <w:kern w:val="2"/>
                  <w:sz w:val="21"/>
                  <w:szCs w:val="21"/>
                  <w:vertAlign w:val="baseline"/>
                  <w:lang w:val="en-US" w:eastAsia="zh-CN" w:bidi="ar-SA"/>
                </w:rPr>
                <m:t>FI=</m:t>
              </m:r>
              <m:f>
                <m:fPr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 w:val="0"/>
                      <w:iCs/>
                      <w:color w:val="00000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m:ctrlPr>
                </m:fPr>
                <m:num>
                  <m:sSub>
                    <m:sSubP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 w:val="0"/>
                          <w:iCs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</m:ctrlPr>
                    </m:sSub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i w:val="0"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  <m:t>I</m:t>
                      </m: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 w:val="0"/>
                          <w:iCs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</m:ctrlPr>
                    </m:e>
                    <m:sub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i w:val="0"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  <m:t>Em=470 nm</m:t>
                      </m: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 w:val="0"/>
                          <w:iCs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 w:val="0"/>
                      <w:iCs/>
                      <w:color w:val="00000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m:ctrlPr>
                </m:num>
                <m:den>
                  <m:sSub>
                    <m:sSubP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 w:val="0"/>
                          <w:iCs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</m:ctrlPr>
                    </m:sSubPr>
                    <m:e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i w:val="0"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  <m:t>I</m:t>
                      </m: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 w:val="0"/>
                          <w:iCs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</m:ctrlPr>
                    </m:e>
                    <m:sub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eastAsia="宋体" w:cs="Times New Roman"/>
                          <w:b w:val="0"/>
                          <w:bCs w:val="0"/>
                          <w:i w:val="0"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  <m:t>Em=520 nm</m:t>
                      </m:r>
                      <m:ctrlPr>
                        <w:rPr>
                          <w:rFonts w:hint="default" w:ascii="Cambria Math" w:hAnsi="Cambria Math" w:eastAsia="宋体" w:cs="Times New Roman"/>
                          <w:b w:val="0"/>
                          <w:bCs w:val="0"/>
                          <w:i w:val="0"/>
                          <w:iCs/>
                          <w:color w:val="000000"/>
                          <w:kern w:val="2"/>
                          <w:sz w:val="21"/>
                          <w:szCs w:val="21"/>
                          <w:vertAlign w:val="baseline"/>
                          <w:lang w:val="en-US" w:eastAsia="zh-CN" w:bidi="ar-SA"/>
                        </w:rPr>
                      </m:ctrlPr>
                    </m:sub>
                  </m:sSub>
                  <m:ctrlPr>
                    <w:rPr>
                      <w:rFonts w:hint="default" w:ascii="Cambria Math" w:hAnsi="Cambria Math" w:eastAsia="宋体" w:cs="Times New Roman"/>
                      <w:b w:val="0"/>
                      <w:bCs w:val="0"/>
                      <w:i w:val="0"/>
                      <w:iCs/>
                      <w:color w:val="000000"/>
                      <w:kern w:val="2"/>
                      <w:sz w:val="21"/>
                      <w:szCs w:val="21"/>
                      <w:vertAlign w:val="baseline"/>
                      <w:lang w:val="en-US" w:eastAsia="zh-CN" w:bidi="ar-SA"/>
                    </w:rPr>
                  </m:ctrlPr>
                </m:den>
              </m:f>
              <m:r>
                <m:rPr>
                  <m:nor/>
                  <m:sty m:val="p"/>
                </m:rPr>
                <w:rPr>
                  <w:rFonts w:hint="default" w:ascii="Times New Roman" w:hAnsi="Times New Roman" w:eastAsia="宋体" w:cs="Times New Roman"/>
                  <w:b w:val="0"/>
                  <w:bCs w:val="0"/>
                  <w:i w:val="0"/>
                  <w:color w:val="000000"/>
                  <w:kern w:val="2"/>
                  <w:sz w:val="21"/>
                  <w:szCs w:val="21"/>
                  <w:vertAlign w:val="baseline"/>
                  <w:lang w:val="en-US" w:eastAsia="zh-CN" w:bidi="ar-SA"/>
                </w:rPr>
                <m:t>，</m:t>
              </m:r>
            </m:oMath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  <w:t>Ex=370 nm</w:t>
            </w: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046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>Evaluates the source of DOM. Higher FI values (typically &gt; 1.9) indicate that DOM primarily originates from autochthonous microbial activity, whereas lower values (typically &lt; 1.4) suggest a predominance of allochthonous terrestrial inputs.</w:t>
            </w:r>
          </w:p>
        </w:tc>
      </w:tr>
      <w:tr w14:paraId="1F2E8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FBB4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HIX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6005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m:oMathPara>
              <m:oMath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bCs w:val="0"/>
                    <w:i w:val="0"/>
                    <w:iCs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HIX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bCs w:val="0"/>
                    <w:i w:val="0"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=</m:t>
                </m:r>
                <m:f>
                  <m:fP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fPr>
                  <m:num>
                    <m:nary>
                      <m:naryPr>
                        <m:limLoc m:val="subSup"/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naryPr>
                      <m:sub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  <m:t>Em=435-480 nm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sub>
                      <m:sup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sup>
                      <m:e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e>
                    </m:nary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num>
                  <m:den>
                    <m:nary>
                      <m:naryPr>
                        <m:limLoc m:val="subSup"/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naryPr>
                      <m:sub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  <m:t>Em=300-345 nm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sub>
                      <m:sup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sup>
                      <m:e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e>
                    </m:nary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 w:val="0"/>
                        <w:iCs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den>
                </m:f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bCs w:val="0"/>
                    <w:i w:val="0"/>
                    <w:iCs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，Ex=254 nm</m:t>
                </m:r>
              </m:oMath>
            </m:oMathPara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53E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>Characterizes the degree of DOM humification. A higher HIX value signifies extensive aromatic condensation, an increased degree of humification, and a more complex structural composition within the DOM pool.</w:t>
            </w:r>
          </w:p>
        </w:tc>
      </w:tr>
      <w:tr w14:paraId="3920B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81F0FD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BIX</w:t>
            </w:r>
          </w:p>
        </w:tc>
        <w:tc>
          <w:tcPr>
            <w:tcW w:w="33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592B6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m:oMathPara>
              <m:oMath>
                <m:r>
                  <m:rPr>
                    <m:nor/>
                    <m:sty m:val="p"/>
                  </m:rPr>
                  <w:rPr>
                    <w:rFonts w:hint="default" w:ascii="Times New Roman" w:hAnsi="Times New Roman" w:eastAsia="宋体" w:cs="Times New Roman"/>
                    <w:b w:val="0"/>
                    <w:bCs w:val="0"/>
                    <w:i w:val="0"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BIX=</m:t>
                </m:r>
                <m:f>
                  <m:fPr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 w:val="0"/>
                        <w:iCs w:val="0"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sSubPr>
                      <m:e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i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  <m:t>I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e>
                      <m:sub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i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  <m:t>Em=380 nm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sub>
                    </m:sSub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 w:val="0"/>
                        <w:iCs w:val="0"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sSubPr>
                      <m:e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i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  <m:t>I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e>
                      <m:sub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eastAsia="宋体" w:cs="Times New Roman"/>
                            <w:b w:val="0"/>
                            <w:bCs w:val="0"/>
                            <w:i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  <m:t>Em=430 nm</m:t>
                        </m:r>
                        <m:ctrlPr>
                          <w:rPr>
                            <w:rFonts w:hint="default" w:ascii="Cambria Math" w:hAnsi="Cambria Math" w:eastAsia="宋体" w:cs="Times New Roman"/>
                            <w:b w:val="0"/>
                            <w:bCs w:val="0"/>
                            <w:i w:val="0"/>
                            <w:iCs w:val="0"/>
                            <w:color w:val="000000"/>
                            <w:kern w:val="2"/>
                            <w:sz w:val="21"/>
                            <w:szCs w:val="21"/>
                            <w:vertAlign w:val="baseline"/>
                            <w:lang w:val="en-US" w:eastAsia="zh-CN" w:bidi="ar-SA"/>
                          </w:rPr>
                        </m:ctrlPr>
                      </m:sub>
                    </m:sSub>
                    <m:ctrlPr>
                      <w:rPr>
                        <w:rFonts w:hint="default" w:ascii="Cambria Math" w:hAnsi="Cambria Math" w:eastAsia="宋体" w:cs="Times New Roman"/>
                        <w:b w:val="0"/>
                        <w:bCs w:val="0"/>
                        <w:i w:val="0"/>
                        <w:iCs w:val="0"/>
                        <w:color w:val="000000"/>
                        <w:kern w:val="2"/>
                        <w:sz w:val="21"/>
                        <w:szCs w:val="21"/>
                        <w:vertAlign w:val="baseline"/>
                        <w:lang w:val="en-US" w:eastAsia="zh-CN" w:bidi="ar-SA"/>
                      </w:rPr>
                    </m:ctrlPr>
                  </m:den>
                </m:f>
                <m:r>
                  <m:rPr>
                    <m:sty m:val="p"/>
                  </m:rPr>
                  <w:rPr>
                    <w:rFonts w:hint="default" w:ascii="Times New Roman" w:hAnsi="Times New Roman" w:eastAsia="宋体" w:cs="Times New Roman"/>
                    <w:color w:val="000000"/>
                    <w:kern w:val="2"/>
                    <w:sz w:val="21"/>
                    <w:szCs w:val="21"/>
                    <w:vertAlign w:val="baseline"/>
                    <w:lang w:val="en-US" w:eastAsia="zh-CN" w:bidi="ar-SA"/>
                  </w:rPr>
                  <m:t>，Ex=310 nm</m:t>
                </m:r>
              </m:oMath>
            </m:oMathPara>
          </w:p>
        </w:tc>
        <w:tc>
          <w:tcPr>
            <w:tcW w:w="42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9758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left="0" w:leftChars="0" w:right="0" w:rightChars="0" w:firstLine="0" w:firstLineChars="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0D0D0D"/>
                <w:spacing w:val="0"/>
                <w:sz w:val="21"/>
                <w:szCs w:val="21"/>
                <w:shd w:val="clear" w:fill="FFFFFF"/>
              </w:rPr>
              <w:t>Assesses the relative contribution of freshly produced DOM. A higher BIX value indicates a stronger contribution from recent autochthonous (microbial) sources, corresponding to greater bioavailability and active microbial metabolism.</w:t>
            </w:r>
          </w:p>
        </w:tc>
      </w:tr>
    </w:tbl>
    <w:p w14:paraId="70C43B90"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Note: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bookmarkStart w:id="0" w:name="_GoBack"/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I</w:t>
      </w:r>
      <w:r>
        <w:rPr>
          <w:rFonts w:hint="eastAsia" w:ascii="Times New Roman" w:hAnsi="Times New Roman" w:cs="Times New Roman"/>
          <w:i/>
          <w:iCs/>
          <w:sz w:val="24"/>
          <w:szCs w:val="24"/>
          <w:vertAlign w:val="subscript"/>
          <w:lang w:val="en-US" w:eastAsia="zh-CN"/>
        </w:rPr>
        <w:t>Em</w:t>
      </w:r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represents the fluorescence emission intensity at the specified wavelength (nm); Ex denotes the excitation wavelength (nm); DOC is the dissolved organic carbon concentration of the measured sample (</w:t>
      </w:r>
      <w:r>
        <w:rPr>
          <w:rFonts w:hint="default" w:ascii="Times New Roman" w:hAnsi="Times New Roman" w:cs="Times New Roman"/>
          <w:sz w:val="24"/>
          <w:szCs w:val="24"/>
        </w:rPr>
        <w:t>mg·L</w:t>
      </w:r>
      <w:r>
        <w:rPr>
          <w:rFonts w:hint="default"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); 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>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is the spectral slope calculated via non-linear least-squares fitting of the absorption spectra. </w:t>
      </w:r>
    </w:p>
    <w:p w14:paraId="4D163A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STIX-Regular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53E1F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STIX-Regular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Section S2</w:t>
      </w:r>
      <w:r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  <w:t>. Related figures for this article</w:t>
      </w:r>
    </w:p>
    <w:p w14:paraId="5AA07A14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437790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object>
          <v:shape id="_x0000_i1025" o:spt="75" type="#_x0000_t75" style="height:133.25pt;width:415.0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Origin95.Graph" ShapeID="_x0000_i1025" DrawAspect="Content" ObjectID="_1468075725" r:id="rId4">
            <o:LockedField>false</o:LockedField>
          </o:OLEObject>
        </w:object>
      </w:r>
    </w:p>
    <w:p w14:paraId="2CEBAB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Fig. S1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  <w:t>Temporal variations of the normalized UV-vis absorption spectra of DOM extracted from the CK (a), T5 (b), and T10 (c) treatments.</w:t>
      </w:r>
    </w:p>
    <w:p w14:paraId="0D352BE8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p w14:paraId="1160D2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sz w:val="24"/>
          <w:szCs w:val="24"/>
        </w:rPr>
        <w:object>
          <v:shape id="_x0000_i1026" o:spt="75" type="#_x0000_t75" style="height:157.3pt;width:429.3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Origin95.Graph" ShapeID="_x0000_i1026" DrawAspect="Content" ObjectID="_1468075726" r:id="rId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Fig.S2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  <w:t>Evolution of fluorescence indices of compost DOM: humification index (HIX) (a), biological index (BIX) (b), and fluorescence index (FI) (c) throughout the composting process.</w:t>
      </w:r>
    </w:p>
    <w:p w14:paraId="534533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cs="Times New Roman"/>
          <w:sz w:val="24"/>
          <w:szCs w:val="24"/>
        </w:rPr>
        <w:object>
          <v:shape id="_x0000_i1027" o:spt="75" type="#_x0000_t75" style="height:162.25pt;width:436.3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Origin95.Graph" ShapeID="_x0000_i1027" DrawAspect="Content" ObjectID="_1468075727" r:id="rId8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Fig. S3.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Evolution of the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Mw (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), Mn (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b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) and ρ (</w:t>
      </w:r>
      <w:r>
        <w:rPr>
          <w:rFonts w:hint="default" w:ascii="Times New Roman" w:hAnsi="Times New Roman" w:eastAsia="TimesNewRomanPS-BoldMT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) </w:t>
      </w:r>
      <w:r>
        <w:rPr>
          <w:rFonts w:hint="eastAsia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 xml:space="preserve">for compost DOM 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throughout the composting process.</w:t>
      </w:r>
    </w:p>
    <w:p w14:paraId="1C6F987E">
      <w:pPr>
        <w:spacing w:line="360" w:lineRule="auto"/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</w:pPr>
    </w:p>
    <w:p w14:paraId="04BF8A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  <w:object>
          <v:shape id="_x0000_i1028" o:spt="75" type="#_x0000_t75" style="height:264.7pt;width:293.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Origin95.Graph" ShapeID="_x0000_i1028" DrawAspect="Content" ObjectID="_1468075728" r:id="rId10">
            <o:LockedField>false</o:LockedField>
          </o:OLEObject>
        </w:object>
      </w:r>
    </w:p>
    <w:p w14:paraId="50E158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both"/>
        <w:textAlignment w:val="auto"/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Fig. S4. </w:t>
      </w:r>
      <w:r>
        <w:rPr>
          <w:rFonts w:hint="default" w:ascii="Times New Roman" w:hAnsi="Times New Roman" w:eastAsia="STIX-Regular" w:cs="Times New Roman"/>
          <w:color w:val="000000"/>
          <w:kern w:val="0"/>
          <w:sz w:val="24"/>
          <w:szCs w:val="24"/>
          <w:lang w:val="en-US" w:eastAsia="zh-CN" w:bidi="ar"/>
        </w:rPr>
        <w:t>Dynamic changes in the total phenolic content of compost DOM across the different treatments during the composting period.</w:t>
      </w:r>
    </w:p>
    <w:p w14:paraId="67AE38CB"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TIX-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F32DFC"/>
    <w:rsid w:val="02F6136A"/>
    <w:rsid w:val="06BE0E86"/>
    <w:rsid w:val="1FB230D5"/>
    <w:rsid w:val="223E6D44"/>
    <w:rsid w:val="31BB4D3B"/>
    <w:rsid w:val="39BB745E"/>
    <w:rsid w:val="46C9474D"/>
    <w:rsid w:val="47733B5D"/>
    <w:rsid w:val="47F32DFC"/>
    <w:rsid w:val="616D07E9"/>
    <w:rsid w:val="7DED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393</Words>
  <Characters>2195</Characters>
  <Lines>0</Lines>
  <Paragraphs>0</Paragraphs>
  <TotalTime>18</TotalTime>
  <ScaleCrop>false</ScaleCrop>
  <LinksUpToDate>false</LinksUpToDate>
  <CharactersWithSpaces>2525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2026-04-15T07:56:00Z</dcterms:created>
  <dc:creator>浮萍</dc:creator>
  <cp:lastModifiedBy>fanxj</cp:lastModifiedBy>
  <dcterms:modified xsi:type="dcterms:W3CDTF">2026-04-30T08:56:39Z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09515DD31287440FADC0D0BDAB7297CC_11</vt:lpwstr>
  </property>
  <property fmtid="{D5CDD505-2E9C-101B-9397-08002B2CF9AE}" pid="4" name="KSOTemplateDocerSaveRecord">
    <vt:lpwstr>eyJoZGlkIjoiM2Q0MGZlNDhiNWZjM2Q1OTUzZTA4NWY4YjE0NWE3NGUiLCJ1c2VySWQiOiI1MDY3NzA5MTUifQ==</vt:lpwstr>
  </property>
</Properties>
</file>