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tjnqc459acd3" w:id="0"/>
      <w:bookmarkEnd w:id="0"/>
      <w:r w:rsidDel="00000000" w:rsidR="00000000" w:rsidRPr="00000000">
        <w:rPr>
          <w:rtl w:val="0"/>
        </w:rPr>
        <w:t xml:space="preserve">Supplementary Material</w:t>
      </w:r>
    </w:p>
    <w:p w:rsidR="00000000" w:rsidDel="00000000" w:rsidP="00000000" w:rsidRDefault="00000000" w:rsidRPr="00000000" w14:paraId="00000002">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80" w:before="360" w:lineRule="auto"/>
        <w:ind w:left="0" w:firstLine="0"/>
        <w:jc w:val="both"/>
        <w:rPr/>
      </w:pPr>
      <w:bookmarkStart w:colFirst="0" w:colLast="0" w:name="_kz5ve57fi36s" w:id="1"/>
      <w:bookmarkEnd w:id="1"/>
      <w:r w:rsidDel="00000000" w:rsidR="00000000" w:rsidRPr="00000000">
        <w:rPr>
          <w:rtl w:val="0"/>
        </w:rPr>
        <w:t xml:space="preserve">Supplementary Notes</w:t>
      </w:r>
    </w:p>
    <w:p w:rsidR="00000000" w:rsidDel="00000000" w:rsidP="00000000" w:rsidRDefault="00000000" w:rsidRPr="00000000" w14:paraId="00000003">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80" w:before="360" w:line="480" w:lineRule="auto"/>
        <w:ind w:left="0" w:firstLine="0"/>
        <w:jc w:val="both"/>
        <w:rPr/>
      </w:pPr>
      <w:bookmarkStart w:colFirst="0" w:colLast="0" w:name="_ifb44xh3op5t" w:id="2"/>
      <w:bookmarkEnd w:id="2"/>
      <w:r w:rsidDel="00000000" w:rsidR="00000000" w:rsidRPr="00000000">
        <w:rPr>
          <w:rtl w:val="0"/>
        </w:rPr>
        <w:t xml:space="preserve">Supplementary Methods</w:t>
      </w:r>
    </w:p>
    <w:p w:rsidR="00000000" w:rsidDel="00000000" w:rsidP="00000000" w:rsidRDefault="00000000" w:rsidRPr="00000000" w14:paraId="00000004">
      <w:pPr>
        <w:pStyle w:val="Heading3"/>
        <w:spacing w:line="480" w:lineRule="auto"/>
        <w:ind w:left="0" w:firstLine="0"/>
        <w:jc w:val="both"/>
        <w:rPr/>
      </w:pPr>
      <w:bookmarkStart w:colFirst="0" w:colLast="0" w:name="_ormq1el0bsp2" w:id="3"/>
      <w:bookmarkEnd w:id="3"/>
      <w:r w:rsidDel="00000000" w:rsidR="00000000" w:rsidRPr="00000000">
        <w:rPr>
          <w:rtl w:val="0"/>
        </w:rPr>
        <w:t xml:space="preserve">Blood Sample Acquisition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b w:val="1"/>
          <w:bCs w:val="1"/>
          <w:color w:val="121212"/>
          <w:sz w:val="24"/>
          <w:szCs w:val="24"/>
        </w:rPr>
      </w:pPr>
      <w:r w:rsidDel="00000000" w:rsidR="00000000" w:rsidRPr="00000000">
        <w:rPr>
          <w:rFonts w:ascii="Arial Unicode MS" w:cs="Arial Unicode MS" w:eastAsia="Arial Unicode MS" w:hAnsi="Arial Unicode MS"/>
          <w:color w:val="121212"/>
          <w:rtl w:val="0"/>
        </w:rPr>
        <w:t xml:space="preserve">Peripheral blood was collected at the time of diagnosis in CPT tubes (8 mL, containing either citrate or heparin anticoagulant and separation medium with polyester gel and FICOLL™ Hypaque™). Within 2 hours of collection, tubes were centrifuged at 1800×g for 20 min at room temperature (RT). Plasma was aliquoted and stored at −80 °C, and the PBMC fraction was recovered, washed with PBS 1×, and centrifuged at 300×g. Cell viability and total counts were assessed by Trypan Blue exclusion using an automated counter (LUNA, PBMC dil 2 program). For cryopreservation, PBMCs were resuspended in commercial freezing medium (ATCC or NutriFreez® D10) at ~10</w:t>
      </w:r>
      <w:r w:rsidDel="00000000" w:rsidR="00000000" w:rsidRPr="00000000">
        <w:rPr>
          <w:color w:val="121212"/>
          <w:vertAlign w:val="superscript"/>
          <w:rtl w:val="0"/>
        </w:rPr>
        <w:t xml:space="preserve">6</w:t>
      </w:r>
      <w:r w:rsidDel="00000000" w:rsidR="00000000" w:rsidRPr="00000000">
        <w:rPr>
          <w:rFonts w:ascii="Arial Unicode MS" w:cs="Arial Unicode MS" w:eastAsia="Arial Unicode MS" w:hAnsi="Arial Unicode MS"/>
          <w:color w:val="121212"/>
          <w:rtl w:val="0"/>
        </w:rPr>
        <w:t xml:space="preserve"> cells/mL, aliquoted into sterile cryovials, gradually cooled in a Mr. Frosty container at −80 °C, and transferred to liquid nitrogen for long-term storage.</w:t>
      </w:r>
      <w:r w:rsidDel="00000000" w:rsidR="00000000" w:rsidRPr="00000000">
        <w:rPr>
          <w:rtl w:val="0"/>
        </w:rPr>
      </w:r>
    </w:p>
    <w:p w:rsidR="00000000" w:rsidDel="00000000" w:rsidP="00000000" w:rsidRDefault="00000000" w:rsidRPr="00000000" w14:paraId="00000006">
      <w:pPr>
        <w:pStyle w:val="Heading3"/>
        <w:spacing w:line="480" w:lineRule="auto"/>
        <w:ind w:left="0" w:firstLine="0"/>
        <w:jc w:val="both"/>
        <w:rPr/>
      </w:pPr>
      <w:bookmarkStart w:colFirst="0" w:colLast="0" w:name="_3azy8t2seora" w:id="4"/>
      <w:bookmarkEnd w:id="4"/>
      <w:r w:rsidDel="00000000" w:rsidR="00000000" w:rsidRPr="00000000">
        <w:rPr>
          <w:rtl w:val="0"/>
        </w:rPr>
      </w:r>
    </w:p>
    <w:p w:rsidR="00000000" w:rsidDel="00000000" w:rsidP="00000000" w:rsidRDefault="00000000" w:rsidRPr="00000000" w14:paraId="00000007">
      <w:pPr>
        <w:pStyle w:val="Heading3"/>
        <w:spacing w:line="480" w:lineRule="auto"/>
        <w:ind w:left="0" w:firstLine="0"/>
        <w:jc w:val="both"/>
        <w:rPr>
          <w:color w:val="121212"/>
        </w:rPr>
      </w:pPr>
      <w:bookmarkStart w:colFirst="0" w:colLast="0" w:name="_r0m1zkyrc8hc" w:id="5"/>
      <w:bookmarkEnd w:id="5"/>
      <w:r w:rsidDel="00000000" w:rsidR="00000000" w:rsidRPr="00000000">
        <w:rPr>
          <w:rtl w:val="0"/>
        </w:rPr>
        <w:t xml:space="preserve">PBMC Single-Cell 5’RNA Sequencing</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jc w:val="both"/>
        <w:rPr>
          <w:color w:val="121212"/>
        </w:rPr>
      </w:pPr>
      <w:r w:rsidDel="00000000" w:rsidR="00000000" w:rsidRPr="00000000">
        <w:rPr>
          <w:color w:val="121212"/>
          <w:rtl w:val="0"/>
        </w:rPr>
        <w:t xml:space="preserve">The cryovials with the PBMCs were thawed in a water bath at 37°C. The thawed samples were transferred into a 50 ml tube using a wide bore tip. One ml prewarmed RPMI medium with 10% FBS was added dropwise to 1 ml sample (1:1) and incubated for 1 min at RT. The 1:1 dilution steps with prewarmed growth medium were repeated four times. Next, the sample was centrifuged at 300g for 5 min and the supernatant was removed. The cells were resuspended in 9 ml growth medium, centrifuged again and the supernatant was removed. The cell pellet was resuspended in 1 ml PBS with 0.04% BSA and transferred into an Eppendorf tube. The 50 ml tube was rinsed with 0.5 ml PBS with 0.04 BSA and the liquid was added to the sample. The Eppendorf tube was centrifuged, the supernatant was removed and the cells were resuspended in 0.5 ml PBS with 0.04% BSA. The cell number and viability rate was determined using a Countess® II Automated Cell Counter. In case the viability rate was below 85% and above 70%, the Dead Cell Removal Kit (Miltenyi Biotech) was applied and the cell count was determined again. In case the viability rate was below 70%, the second cryovial with PMBCs of the same patient was thawed. In case the sample showed cell aggregates, the cells were passed through a 30 um MACS Smart Strainer (Miltenyi Biotech).</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jc w:val="both"/>
        <w:rPr/>
      </w:pPr>
      <w:r w:rsidDel="00000000" w:rsidR="00000000" w:rsidRPr="00000000">
        <w:rPr>
          <w:color w:val="121212"/>
          <w:rtl w:val="0"/>
        </w:rPr>
        <w:t xml:space="preserve">The 10X 5’RNA sequencing was performed using the Chromium Next GEM Single Cell 5' HT Kit v2 (10X Genomics) according to the manual. The PBMCs were diluted to 700-1,200 cells per ul aiming a cell recovery of 7,000 cells. All samples were processed with the same batch of 10X reagents. For the GEX Sample Index PCR, 15 cycles were used. For library quality control, the DNA concentration was determined using the Qubit High Sensitivity DNA kit (Life Technologies) and the fragment length distribution was evaluated on a Bioanalyzer High Sensitivity dsDNA Chip (Agilent Technologies). The libraries were quantified using the KAPA Library Quantification Kit for Illumina (Roche), pooled in equimolar amounts and sequenced on an Illumina NovaSeq instrument.</w:t>
      </w:r>
      <w:r w:rsidDel="00000000" w:rsidR="00000000" w:rsidRPr="00000000">
        <w:rPr>
          <w:rtl w:val="0"/>
        </w:rPr>
      </w:r>
    </w:p>
    <w:p w:rsidR="00000000" w:rsidDel="00000000" w:rsidP="00000000" w:rsidRDefault="00000000" w:rsidRPr="00000000" w14:paraId="0000000A">
      <w:pPr>
        <w:pStyle w:val="Heading3"/>
        <w:spacing w:line="480" w:lineRule="auto"/>
        <w:ind w:left="0" w:firstLine="0"/>
        <w:jc w:val="both"/>
        <w:rPr/>
      </w:pPr>
      <w:bookmarkStart w:colFirst="0" w:colLast="0" w:name="_3yj0gf22e1rh" w:id="6"/>
      <w:bookmarkEnd w:id="6"/>
      <w:r w:rsidDel="00000000" w:rsidR="00000000" w:rsidRPr="00000000">
        <w:rPr>
          <w:rtl w:val="0"/>
        </w:rPr>
      </w:r>
    </w:p>
    <w:p w:rsidR="00000000" w:rsidDel="00000000" w:rsidP="00000000" w:rsidRDefault="00000000" w:rsidRPr="00000000" w14:paraId="0000000B">
      <w:pPr>
        <w:pStyle w:val="Heading3"/>
        <w:spacing w:line="480" w:lineRule="auto"/>
        <w:ind w:left="0" w:firstLine="0"/>
        <w:jc w:val="both"/>
        <w:rPr>
          <w:color w:val="121212"/>
        </w:rPr>
      </w:pPr>
      <w:bookmarkStart w:colFirst="0" w:colLast="0" w:name="_mni02hjorlrp" w:id="7"/>
      <w:bookmarkEnd w:id="7"/>
      <w:r w:rsidDel="00000000" w:rsidR="00000000" w:rsidRPr="00000000">
        <w:rPr>
          <w:rtl w:val="0"/>
        </w:rPr>
        <w:t xml:space="preserve">T Cell Receptor Sequencing </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jc w:val="both"/>
        <w:rPr>
          <w:color w:val="121212"/>
        </w:rPr>
      </w:pPr>
      <w:r w:rsidDel="00000000" w:rsidR="00000000" w:rsidRPr="00000000">
        <w:rPr>
          <w:color w:val="121212"/>
          <w:rtl w:val="0"/>
        </w:rPr>
        <w:t xml:space="preserve">The TCR-Seq libraries were prepared using the Chromium Single Cell V(D)J Amplification Kits, Human (10X Genomics) according to the manual. The same cDNA as of the 5’RNA-Seq library preparation was used for TCR-Seq library preparation and every sample received the same index combination as in the RNA-Seq experiment. For library quality control, the DNA concentration was determined using the Qubit High Sensitivity DNA kit (Life Technologies) and the fragment length distribution was evaluated on a Bioanalyzer High Sensitivity dsDNA Chip (Agilent Technologies). The libraries were quantified using the KAPA Library Quantification Kit for Illumina (Roche), pooled in equimolar amounts and sequenced on an Illumina NovaSeq instrument.</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color w:val="121212"/>
        </w:rPr>
      </w:pPr>
      <w:r w:rsidDel="00000000" w:rsidR="00000000" w:rsidRPr="00000000">
        <w:rPr>
          <w:rtl w:val="0"/>
        </w:rPr>
      </w:r>
    </w:p>
    <w:p w:rsidR="00000000" w:rsidDel="00000000" w:rsidP="00000000" w:rsidRDefault="00000000" w:rsidRPr="00000000" w14:paraId="0000000E">
      <w:pPr>
        <w:pStyle w:val="Heading3"/>
        <w:spacing w:line="480" w:lineRule="auto"/>
        <w:ind w:left="0" w:firstLine="0"/>
        <w:jc w:val="both"/>
        <w:rPr/>
      </w:pPr>
      <w:bookmarkStart w:colFirst="0" w:colLast="0" w:name="_ddqg9wfu7gnq" w:id="8"/>
      <w:bookmarkEnd w:id="8"/>
      <w:r w:rsidDel="00000000" w:rsidR="00000000" w:rsidRPr="00000000">
        <w:rPr>
          <w:rtl w:val="0"/>
        </w:rPr>
        <w:t xml:space="preserve">CSF Neuroinflammatory Marker and Noradrenaline Measurement </w:t>
      </w:r>
    </w:p>
    <w:p w:rsidR="00000000" w:rsidDel="00000000" w:rsidP="00000000" w:rsidRDefault="00000000" w:rsidRPr="00000000" w14:paraId="0000000F">
      <w:pPr>
        <w:spacing w:after="160" w:line="480" w:lineRule="auto"/>
        <w:jc w:val="both"/>
        <w:rPr/>
      </w:pPr>
      <w:r w:rsidDel="00000000" w:rsidR="00000000" w:rsidRPr="00000000">
        <w:rPr>
          <w:rtl w:val="0"/>
        </w:rPr>
        <w:t xml:space="preserve">Lumbar punctures were performed in the morning to collect CSF samples. Briefly, CSF samples were thawed on ice, gently mixed, and centrifuged to remove debris prior to analysis. Samples were incubated with fluorescent-coded magnetic beads pre-coated with analyte-specific capture antibodies, followed by incubation with biotinylated detection antibodies and streptavidin–phycoerythrin. Data acquisition was carried out on a Luminex® xMAP platform, and analyte concentrations were calculated from standard curves generated using recombinant protein standards and a five-parameter logistic regression model. Quality control samples and calibration standards were included in each run. Laboratory personnel were blinded to clinical data during the analysis.</w:t>
      </w:r>
    </w:p>
    <w:p w:rsidR="00000000" w:rsidDel="00000000" w:rsidP="00000000" w:rsidRDefault="00000000" w:rsidRPr="00000000" w14:paraId="00000010">
      <w:pPr>
        <w:spacing w:after="160" w:line="480" w:lineRule="auto"/>
        <w:jc w:val="both"/>
        <w:rPr/>
      </w:pPr>
      <w:r w:rsidDel="00000000" w:rsidR="00000000" w:rsidRPr="00000000">
        <w:rPr>
          <w:rtl w:val="0"/>
        </w:rPr>
        <w:t xml:space="preserve">A panel of cytokines and neuroinflammatory markers in cerebrospinal fluid (CSF), including interleukin (IL)-6, IL-8, IL-10, monocyte chemoattractant protein-1 (MCP-1), tumor necrosis factor (TNF), intercellular adhesion molecule-1 (ICAM-1), triggering receptor expressed on myeloid cells 2 (TREM2), and complement component C3, was quantified using a multiplex bead-based immunoassay. Measurements were performed with commercially available kits (Human Cytokine Panel A [HCYTA-60K], Neurodegenerative Panel 1 [HNDG1MAG-36K], Neurodegenerative Panel 3 [HNDG3MAG-36K], and Neuroscience Panel 2 [HNS2MAG-95K]; Merck Millipore, Darmstadt, Germany) according to the manufacturer’s instructions.</w:t>
      </w:r>
    </w:p>
    <w:p w:rsidR="00000000" w:rsidDel="00000000" w:rsidP="00000000" w:rsidRDefault="00000000" w:rsidRPr="00000000" w14:paraId="00000011">
      <w:pPr>
        <w:spacing w:after="160" w:line="480" w:lineRule="auto"/>
        <w:jc w:val="both"/>
        <w:rPr/>
      </w:pPr>
      <w:r w:rsidDel="00000000" w:rsidR="00000000" w:rsidRPr="00000000">
        <w:rPr>
          <w:rtl w:val="0"/>
        </w:rPr>
        <w:t xml:space="preserve">Noradrenaline was quantified using a plasma-HPLC kit (Chromsystems), after the analytes were extracted from the CSF matrix through adsorption onto alumina.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both"/>
        <w:rPr>
          <w:color w:val="121212"/>
          <w:sz w:val="24"/>
          <w:szCs w:val="24"/>
        </w:rPr>
      </w:pPr>
      <w:r w:rsidDel="00000000" w:rsidR="00000000" w:rsidRPr="00000000">
        <w:rPr>
          <w:rtl w:val="0"/>
        </w:rPr>
      </w:r>
    </w:p>
    <w:p w:rsidR="00000000" w:rsidDel="00000000" w:rsidP="00000000" w:rsidRDefault="00000000" w:rsidRPr="00000000" w14:paraId="00000013">
      <w:pPr>
        <w:pStyle w:val="Heading3"/>
        <w:spacing w:line="480" w:lineRule="auto"/>
        <w:ind w:left="0" w:firstLine="0"/>
        <w:jc w:val="both"/>
        <w:rPr/>
      </w:pPr>
      <w:bookmarkStart w:colFirst="0" w:colLast="0" w:name="_vbtf2vf4lbcg" w:id="9"/>
      <w:bookmarkEnd w:id="9"/>
      <w:r w:rsidDel="00000000" w:rsidR="00000000" w:rsidRPr="00000000">
        <w:rPr>
          <w:rtl w:val="0"/>
        </w:rPr>
        <w:t xml:space="preserve">ApoE Genotyping</w:t>
      </w:r>
    </w:p>
    <w:p w:rsidR="00000000" w:rsidDel="00000000" w:rsidP="00000000" w:rsidRDefault="00000000" w:rsidRPr="00000000" w14:paraId="00000014">
      <w:pPr>
        <w:spacing w:after="160" w:line="480" w:lineRule="auto"/>
        <w:jc w:val="both"/>
        <w:rPr/>
      </w:pPr>
      <w:r w:rsidDel="00000000" w:rsidR="00000000" w:rsidRPr="00000000">
        <w:rPr>
          <w:rtl w:val="0"/>
        </w:rPr>
        <w:t xml:space="preserve">APOE genotyping was performed via Sanger sequencing of the two defining single nucleotide polymorphisms (rs429358 and rs7412).</w:t>
      </w:r>
    </w:p>
    <w:p w:rsidR="00000000" w:rsidDel="00000000" w:rsidP="00000000" w:rsidRDefault="00000000" w:rsidRPr="00000000" w14:paraId="00000015">
      <w:pPr>
        <w:spacing w:after="160" w:line="480" w:lineRule="auto"/>
        <w:jc w:val="both"/>
        <w:rPr/>
      </w:pPr>
      <w:r w:rsidDel="00000000" w:rsidR="00000000" w:rsidRPr="00000000">
        <w:rPr>
          <w:rtl w:val="0"/>
        </w:rPr>
      </w:r>
    </w:p>
    <w:p w:rsidR="00000000" w:rsidDel="00000000" w:rsidP="00000000" w:rsidRDefault="00000000" w:rsidRPr="00000000" w14:paraId="00000016">
      <w:pPr>
        <w:pStyle w:val="Heading3"/>
        <w:spacing w:line="480" w:lineRule="auto"/>
        <w:ind w:left="0" w:firstLine="0"/>
        <w:jc w:val="both"/>
        <w:rPr/>
      </w:pPr>
      <w:bookmarkStart w:colFirst="0" w:colLast="0" w:name="_n1eifep6srol" w:id="10"/>
      <w:bookmarkEnd w:id="10"/>
      <w:r w:rsidDel="00000000" w:rsidR="00000000" w:rsidRPr="00000000">
        <w:rPr>
          <w:rtl w:val="0"/>
        </w:rPr>
        <w:t xml:space="preserve">Autologous Mixed Lymphocyte Reaction (MLR) Assay</w:t>
      </w:r>
    </w:p>
    <w:p w:rsidR="00000000" w:rsidDel="00000000" w:rsidP="00000000" w:rsidRDefault="00000000" w:rsidRPr="00000000" w14:paraId="00000017">
      <w:pPr>
        <w:spacing w:after="160" w:line="480" w:lineRule="auto"/>
        <w:jc w:val="both"/>
        <w:rPr/>
      </w:pPr>
      <w:r w:rsidDel="00000000" w:rsidR="00000000" w:rsidRPr="00000000">
        <w:rPr>
          <w:rtl w:val="0"/>
        </w:rPr>
        <w:t xml:space="preserve">The autologous MLR assay consisted of incubation of memory CD45RO</w:t>
      </w:r>
      <w:r w:rsidDel="00000000" w:rsidR="00000000" w:rsidRPr="00000000">
        <w:rPr>
          <w:vertAlign w:val="superscript"/>
          <w:rtl w:val="0"/>
        </w:rPr>
        <w:t xml:space="preserve">+</w:t>
      </w:r>
      <w:r w:rsidDel="00000000" w:rsidR="00000000" w:rsidRPr="00000000">
        <w:rPr>
          <w:rtl w:val="0"/>
        </w:rPr>
        <w:t xml:space="preserve"> T cells with CD14</w:t>
      </w:r>
      <w:r w:rsidDel="00000000" w:rsidR="00000000" w:rsidRPr="00000000">
        <w:rPr>
          <w:vertAlign w:val="superscript"/>
          <w:rtl w:val="0"/>
        </w:rPr>
        <w:t xml:space="preserve">+</w:t>
      </w:r>
      <w:r w:rsidDel="00000000" w:rsidR="00000000" w:rsidRPr="00000000">
        <w:rPr>
          <w:rtl w:val="0"/>
        </w:rPr>
        <w:t xml:space="preserve"> monocytes, isolated from blood samples of the same person, and soluble anti-CD3 antibody to drive T cell activation. The CD14</w:t>
      </w:r>
      <w:r w:rsidDel="00000000" w:rsidR="00000000" w:rsidRPr="00000000">
        <w:rPr>
          <w:vertAlign w:val="superscript"/>
          <w:rtl w:val="0"/>
        </w:rPr>
        <w:t xml:space="preserve">+ </w:t>
      </w:r>
      <w:r w:rsidDel="00000000" w:rsidR="00000000" w:rsidRPr="00000000">
        <w:rPr>
          <w:rtl w:val="0"/>
        </w:rPr>
        <w:t xml:space="preserve">monocytes, which are professional antigen presenting cells (APC), express co-stimulatory receptors and the inhibitory molecule PD-L1, thereby regulating the activation of T cells. In this assay, the T cells and monocytes are co-cultured for several days in the presence of increasing concentration of the anti-PD-L1 antibody, or with IgG isotype control. Anti-PD-L1 antibody concentrations between log(10</w:t>
      </w:r>
      <w:r w:rsidDel="00000000" w:rsidR="00000000" w:rsidRPr="00000000">
        <w:rPr>
          <w:vertAlign w:val="superscript"/>
          <w:rtl w:val="0"/>
        </w:rPr>
        <w:t xml:space="preserve">-11</w:t>
      </w:r>
      <w:r w:rsidDel="00000000" w:rsidR="00000000" w:rsidRPr="00000000">
        <w:rPr>
          <w:rtl w:val="0"/>
        </w:rPr>
        <w:t xml:space="preserve">) M to log(10</w:t>
      </w:r>
      <w:r w:rsidDel="00000000" w:rsidR="00000000" w:rsidRPr="00000000">
        <w:rPr>
          <w:vertAlign w:val="superscript"/>
          <w:rtl w:val="0"/>
        </w:rPr>
        <w:t xml:space="preserve">-9</w:t>
      </w:r>
      <w:r w:rsidDel="00000000" w:rsidR="00000000" w:rsidRPr="00000000">
        <w:rPr>
          <w:rtl w:val="0"/>
        </w:rPr>
        <w:t xml:space="preserve">) M were chosen based on previous results by Matalon et al., which define the experimental concentrations between the two plateaus of % PD-1 expressing cells </w:t>
      </w:r>
      <w:hyperlink r:id="rId6">
        <w:r w:rsidDel="00000000" w:rsidR="00000000" w:rsidRPr="00000000">
          <w:rPr>
            <w:vertAlign w:val="superscript"/>
            <w:rtl w:val="0"/>
          </w:rPr>
          <w:t xml:space="preserve">108</w:t>
        </w:r>
      </w:hyperlink>
      <w:r w:rsidDel="00000000" w:rsidR="00000000" w:rsidRPr="00000000">
        <w:rPr>
          <w:rtl w:val="0"/>
        </w:rPr>
        <w:t xml:space="preserve">. Intensity of T cell activation was measured in terms of induced-expression of the T cell surface activation marker, PD-1, which is upregulated on stimulated T cells. Monocyte and memory T cells were isolated from thawed PBMCs by magnetic separation using human CD14 microbeads (Miltenyi Biotech; cat. #130-050-201), and by magnetic separation using human CD45RO microbeads (Miltenyi Biotech; cat. #130-046-001), respectively. The mixed cells were plated in 200μl of medium (RPMI with 10% heat-inactivated fetal bovine serum (hiFBS)) in a 96 well flat bottom plate at 125x10</w:t>
      </w:r>
      <w:r w:rsidDel="00000000" w:rsidR="00000000" w:rsidRPr="00000000">
        <w:rPr>
          <w:vertAlign w:val="superscript"/>
          <w:rtl w:val="0"/>
        </w:rPr>
        <w:t xml:space="preserve">3</w:t>
      </w:r>
      <w:r w:rsidDel="00000000" w:rsidR="00000000" w:rsidRPr="00000000">
        <w:rPr>
          <w:rtl w:val="0"/>
        </w:rPr>
        <w:t xml:space="preserve"> monocyte and 75x10</w:t>
      </w:r>
      <w:r w:rsidDel="00000000" w:rsidR="00000000" w:rsidRPr="00000000">
        <w:rPr>
          <w:vertAlign w:val="superscript"/>
          <w:rtl w:val="0"/>
        </w:rPr>
        <w:t xml:space="preserve">3</w:t>
      </w:r>
      <w:r w:rsidDel="00000000" w:rsidR="00000000" w:rsidRPr="00000000">
        <w:rPr>
          <w:rtl w:val="0"/>
        </w:rPr>
        <w:t xml:space="preserve"> memory CD45RO T cells per well. Cells were incubated (at 37⁰C, 5% CO2) for 4 days, with or without the activator soluble Leaf</w:t>
      </w:r>
      <w:r w:rsidDel="00000000" w:rsidR="00000000" w:rsidRPr="00000000">
        <w:rPr>
          <w:vertAlign w:val="superscript"/>
          <w:rtl w:val="0"/>
        </w:rPr>
        <w:t xml:space="preserve">TM</w:t>
      </w:r>
      <w:r w:rsidDel="00000000" w:rsidR="00000000" w:rsidRPr="00000000">
        <w:rPr>
          <w:rtl w:val="0"/>
        </w:rPr>
        <w:t xml:space="preserve"> anti-human CD3 (Biolegend; cat.#300414) and the tested anti-PD-L1 monoclonal antibody (IBC-Ab002; ImmunoBrain Checkpoint Inc.). Each experimental stimulation dose of the anti-PD-L1 antibody (10</w:t>
      </w:r>
      <w:r w:rsidDel="00000000" w:rsidR="00000000" w:rsidRPr="00000000">
        <w:rPr>
          <w:rFonts w:ascii="Arial Unicode MS" w:cs="Arial Unicode MS" w:eastAsia="Arial Unicode MS" w:hAnsi="Arial Unicode MS"/>
          <w:vertAlign w:val="superscript"/>
          <w:rtl w:val="0"/>
        </w:rPr>
        <w:t xml:space="preserve">−11</w:t>
      </w:r>
      <w:r w:rsidDel="00000000" w:rsidR="00000000" w:rsidRPr="00000000">
        <w:rPr>
          <w:rtl w:val="0"/>
        </w:rPr>
        <w:t xml:space="preserve">, 10</w:t>
      </w:r>
      <w:r w:rsidDel="00000000" w:rsidR="00000000" w:rsidRPr="00000000">
        <w:rPr>
          <w:rFonts w:ascii="Arial Unicode MS" w:cs="Arial Unicode MS" w:eastAsia="Arial Unicode MS" w:hAnsi="Arial Unicode MS"/>
          <w:vertAlign w:val="superscript"/>
          <w:rtl w:val="0"/>
        </w:rPr>
        <w:t xml:space="preserve">−10</w:t>
      </w:r>
      <w:r w:rsidDel="00000000" w:rsidR="00000000" w:rsidRPr="00000000">
        <w:rPr>
          <w:rtl w:val="0"/>
        </w:rPr>
        <w:t xml:space="preserve">, 10</w:t>
      </w:r>
      <w:r w:rsidDel="00000000" w:rsidR="00000000" w:rsidRPr="00000000">
        <w:rPr>
          <w:rFonts w:ascii="Arial Unicode MS" w:cs="Arial Unicode MS" w:eastAsia="Arial Unicode MS" w:hAnsi="Arial Unicode MS"/>
          <w:vertAlign w:val="superscript"/>
          <w:rtl w:val="0"/>
        </w:rPr>
        <w:t xml:space="preserve">−9</w:t>
      </w:r>
      <w:r w:rsidDel="00000000" w:rsidR="00000000" w:rsidRPr="00000000">
        <w:rPr>
          <w:rtl w:val="0"/>
        </w:rPr>
        <w:t xml:space="preserve"> M) were performed in duplicates. Following the incubation period, immune cells were collected for flow cytometry immunophenotyping analysis.</w:t>
      </w:r>
    </w:p>
    <w:p w:rsidR="00000000" w:rsidDel="00000000" w:rsidP="00000000" w:rsidRDefault="00000000" w:rsidRPr="00000000" w14:paraId="00000018">
      <w:pPr>
        <w:pStyle w:val="Heading3"/>
        <w:spacing w:line="480" w:lineRule="auto"/>
        <w:ind w:left="0" w:firstLine="0"/>
        <w:jc w:val="both"/>
        <w:rPr/>
      </w:pPr>
      <w:bookmarkStart w:colFirst="0" w:colLast="0" w:name="_eckix0ya76fp" w:id="11"/>
      <w:bookmarkEnd w:id="11"/>
      <w:r w:rsidDel="00000000" w:rsidR="00000000" w:rsidRPr="00000000">
        <w:rPr>
          <w:rtl w:val="0"/>
        </w:rPr>
      </w:r>
    </w:p>
    <w:p w:rsidR="00000000" w:rsidDel="00000000" w:rsidP="00000000" w:rsidRDefault="00000000" w:rsidRPr="00000000" w14:paraId="00000019">
      <w:pPr>
        <w:pStyle w:val="Heading3"/>
        <w:spacing w:line="480" w:lineRule="auto"/>
        <w:ind w:left="0" w:firstLine="0"/>
        <w:jc w:val="both"/>
        <w:rPr/>
      </w:pPr>
      <w:bookmarkStart w:colFirst="0" w:colLast="0" w:name="_en4evfqcq9uy" w:id="12"/>
      <w:bookmarkEnd w:id="12"/>
      <w:r w:rsidDel="00000000" w:rsidR="00000000" w:rsidRPr="00000000">
        <w:rPr>
          <w:rtl w:val="0"/>
        </w:rPr>
        <w:t xml:space="preserve">Flow cytometry</w:t>
      </w:r>
    </w:p>
    <w:p w:rsidR="00000000" w:rsidDel="00000000" w:rsidP="00000000" w:rsidRDefault="00000000" w:rsidRPr="00000000" w14:paraId="0000001A">
      <w:pPr>
        <w:spacing w:after="160" w:line="480" w:lineRule="auto"/>
        <w:jc w:val="both"/>
        <w:rPr/>
      </w:pPr>
      <w:r w:rsidDel="00000000" w:rsidR="00000000" w:rsidRPr="00000000">
        <w:rPr>
          <w:rtl w:val="0"/>
        </w:rPr>
        <w:t xml:space="preserve">Immunophenotyping of PBMCs was performed using flow cytometry (CytoFLEX flow cytometer; Beckman Coulter). The following fluorochrome-labelled monoclonal antibodies were purchased from BD Pharmingen: PE anti-human Ki-67 (cat. #556027); from BioLegend: FITC anti-human PD-1 (cat. #329904), FITC anti-human FoxP3 (cat. #320106), FITC anti-human KLRG-1 (cat. #367713), FITC anti-human CD4 (cat. #300506), PE anti-human CCR-7 (cat. #353204), PE anti-human LAG-3 (cat. #369306), PE anti-human CD16 (cat. #302008), PerCP/Cy5.5 anti-human CD3 (cat. #300328), PerCP/Cy5.5 anti human/mouse/rat ICOS-1 (cat. #313518), PerCP/Cy5.5 anti-human TIM-3 (cat. #345016), PerCP/Cy5.5 anti-human CD16 (cat. #302028), APC anti-human PD-1 (cat. #329908), anti human CD56 (cat. #318310), APC/Cy7 anti-human CD4 (cat. #317418), APC/Cy7 anti-human CD45RO (cat. #304228); and from Miltenyi Biotec: Live/dead staining (cat. #423114), PE anti-human KIR2D (cat. # 130-099-417), PE anti-human KIR3DL-1 (cat. #130-092-473), PE anti-human (NKG2A cat. #130-098-813). Intracellular markers were stained following fixation with Human Regulatory T cell Whole Blood Staining kit (cat. #88-8996-4; Invitrogen), and used according to the manufacturers' protocols. Fluorochrome-labelled monoclonal antibodies were used in staining mixes to evaluate different panels representing distinct immune cell populations, according to the gating strategy described in Suppl. </w:t>
      </w:r>
      <w:hyperlink w:anchor="sta_flow_cytometry">
        <w:r w:rsidDel="00000000" w:rsidR="00000000" w:rsidRPr="00000000">
          <w:rPr>
            <w:rtl w:val="0"/>
          </w:rPr>
          <w:t xml:space="preserve">Table 2</w:t>
        </w:r>
      </w:hyperlink>
      <w:r w:rsidDel="00000000" w:rsidR="00000000" w:rsidRPr="00000000">
        <w:rPr>
          <w:rtl w:val="0"/>
        </w:rPr>
        <w:t xml:space="preserve">.</w:t>
      </w:r>
    </w:p>
    <w:p w:rsidR="00000000" w:rsidDel="00000000" w:rsidP="00000000" w:rsidRDefault="00000000" w:rsidRPr="00000000" w14:paraId="0000001B">
      <w:pPr>
        <w:spacing w:line="480" w:lineRule="auto"/>
        <w:jc w:val="both"/>
        <w:rPr/>
      </w:pPr>
      <w:r w:rsidDel="00000000" w:rsidR="00000000" w:rsidRPr="00000000">
        <w:rPr>
          <w:rtl w:val="0"/>
        </w:rPr>
      </w:r>
    </w:p>
    <w:p w:rsidR="00000000" w:rsidDel="00000000" w:rsidP="00000000" w:rsidRDefault="00000000" w:rsidRPr="00000000" w14:paraId="0000001C">
      <w:pPr>
        <w:pStyle w:val="Heading3"/>
        <w:spacing w:line="480" w:lineRule="auto"/>
        <w:ind w:left="0" w:firstLine="0"/>
        <w:jc w:val="both"/>
        <w:rPr/>
      </w:pPr>
      <w:bookmarkStart w:colFirst="0" w:colLast="0" w:name="_fyt1qjitet2v" w:id="13"/>
      <w:bookmarkEnd w:id="13"/>
      <w:r w:rsidDel="00000000" w:rsidR="00000000" w:rsidRPr="00000000">
        <w:rPr>
          <w:rtl w:val="0"/>
        </w:rPr>
        <w:t xml:space="preserve">Machine Learning Classifier Training Pipeline for Immunophenotyping Data </w:t>
      </w:r>
    </w:p>
    <w:p w:rsidR="00000000" w:rsidDel="00000000" w:rsidP="00000000" w:rsidRDefault="00000000" w:rsidRPr="00000000" w14:paraId="0000001D">
      <w:pPr>
        <w:spacing w:after="160" w:line="480" w:lineRule="auto"/>
        <w:jc w:val="both"/>
        <w:rPr/>
      </w:pPr>
      <w:r w:rsidDel="00000000" w:rsidR="00000000" w:rsidRPr="00000000">
        <w:rPr>
          <w:rtl w:val="0"/>
        </w:rPr>
        <w:t xml:space="preserve">We used several machine learning classifiers, including logistic regression, SVM, Random Forest and XGBoost from the scikit-learn package (version 1.7.2). Based on the data from the deep immunophenotyping assay (see section “</w:t>
      </w:r>
      <w:hyperlink w:anchor="_en4evfqcq9uy">
        <w:r w:rsidDel="00000000" w:rsidR="00000000" w:rsidRPr="00000000">
          <w:rPr>
            <w:color w:val="1155cc"/>
            <w:u w:val="single"/>
            <w:rtl w:val="0"/>
          </w:rPr>
          <w:t xml:space="preserve">Flow Cytometry</w:t>
        </w:r>
      </w:hyperlink>
      <w:r w:rsidDel="00000000" w:rsidR="00000000" w:rsidRPr="00000000">
        <w:rPr>
          <w:rtl w:val="0"/>
        </w:rPr>
        <w:t xml:space="preserve">”), we performed hyperparameter optimization with a 10-fold nested cross-validation for each classifier. The search spaces for the hyperparameters are defined in Suppl. </w:t>
      </w:r>
      <w:hyperlink w:anchor="sta_hpoipt">
        <w:r w:rsidDel="00000000" w:rsidR="00000000" w:rsidRPr="00000000">
          <w:rPr>
            <w:rtl w:val="0"/>
          </w:rPr>
          <w:t xml:space="preserve">Table 3</w:t>
        </w:r>
      </w:hyperlink>
      <w:r w:rsidDel="00000000" w:rsidR="00000000" w:rsidRPr="00000000">
        <w:rPr>
          <w:rtl w:val="0"/>
        </w:rPr>
        <w:t xml:space="preserve">. We used KNNImputer for imputation of missing values with n_neighbors = 5 and the RobustScaler for scaling of the data after data splitting to avoid data leakage. The data set splits were stratified by diagnosis. Classifiers were trained on binary classification for HC vs. MCI, HC vs. AD and HC vs. MCI + AD and evaluated based on area under the receiver-operating characteristic curve (AUROC).</w:t>
      </w:r>
    </w:p>
    <w:p w:rsidR="00000000" w:rsidDel="00000000" w:rsidP="00000000" w:rsidRDefault="00000000" w:rsidRPr="00000000" w14:paraId="0000001E">
      <w:pPr>
        <w:spacing w:line="480" w:lineRule="auto"/>
        <w:jc w:val="both"/>
        <w:rPr/>
      </w:pPr>
      <w:r w:rsidDel="00000000" w:rsidR="00000000" w:rsidRPr="00000000">
        <w:rPr>
          <w:rtl w:val="0"/>
        </w:rPr>
      </w:r>
    </w:p>
    <w:p w:rsidR="00000000" w:rsidDel="00000000" w:rsidP="00000000" w:rsidRDefault="00000000" w:rsidRPr="00000000" w14:paraId="0000001F">
      <w:pPr>
        <w:pStyle w:val="Heading3"/>
        <w:spacing w:line="480" w:lineRule="auto"/>
        <w:ind w:left="0" w:firstLine="0"/>
        <w:jc w:val="both"/>
        <w:rPr/>
      </w:pPr>
      <w:bookmarkStart w:colFirst="0" w:colLast="0" w:name="_qsz1qiug0nyr" w:id="14"/>
      <w:bookmarkEnd w:id="14"/>
      <w:r w:rsidDel="00000000" w:rsidR="00000000" w:rsidRPr="00000000">
        <w:rPr>
          <w:rtl w:val="0"/>
        </w:rPr>
        <w:t xml:space="preserve">Representation Learning for scRNA-seq Data and Cognitive Assessments</w:t>
      </w:r>
    </w:p>
    <w:p w:rsidR="00000000" w:rsidDel="00000000" w:rsidP="00000000" w:rsidRDefault="00000000" w:rsidRPr="00000000" w14:paraId="00000020">
      <w:pPr>
        <w:pStyle w:val="Heading4"/>
        <w:spacing w:after="160" w:before="280" w:line="480" w:lineRule="auto"/>
        <w:jc w:val="both"/>
        <w:rPr/>
      </w:pPr>
      <w:bookmarkStart w:colFirst="0" w:colLast="0" w:name="_3aoxlw37phs3" w:id="15"/>
      <w:bookmarkEnd w:id="15"/>
      <w:r w:rsidDel="00000000" w:rsidR="00000000" w:rsidRPr="00000000">
        <w:rPr>
          <w:rtl w:val="0"/>
        </w:rPr>
        <w:t xml:space="preserve">Cognitive Assessments</w:t>
      </w:r>
    </w:p>
    <w:p w:rsidR="00000000" w:rsidDel="00000000" w:rsidP="00000000" w:rsidRDefault="00000000" w:rsidRPr="00000000" w14:paraId="00000021">
      <w:pPr>
        <w:spacing w:after="160" w:before="280" w:line="480" w:lineRule="auto"/>
        <w:jc w:val="both"/>
        <w:rPr/>
      </w:pPr>
      <w:r w:rsidDel="00000000" w:rsidR="00000000" w:rsidRPr="00000000">
        <w:rPr>
          <w:rtl w:val="0"/>
        </w:rPr>
        <w:t xml:space="preserve">The cognitive assessments performed in our study are grouped into categories, including neuropsychiatric symptoms, global cognitive function, memory, language, praxis, visual perception and spatial processing, executive function and digital cognitive assessment (Suppl. </w:t>
      </w:r>
      <w:hyperlink w:anchor="sta_cogtests">
        <w:r w:rsidDel="00000000" w:rsidR="00000000" w:rsidRPr="00000000">
          <w:rPr>
            <w:rtl w:val="0"/>
          </w:rPr>
          <w:t xml:space="preserve">Table 4</w:t>
        </w:r>
      </w:hyperlink>
      <w:r w:rsidDel="00000000" w:rsidR="00000000" w:rsidRPr="00000000">
        <w:rPr>
          <w:rtl w:val="0"/>
        </w:rPr>
        <w:t xml:space="preserve">). To obtain a low-dimensional representation for each cognitive assessment category, we applied a dimensionality reduction technique that takes into account the limited sample number. First, we calculated the Spearman rank correlation matrix for each cognitive test category, then performed a PCA. The first eigenvector was used as the low-dimensional representation in the following steps.</w:t>
      </w:r>
    </w:p>
    <w:p w:rsidR="00000000" w:rsidDel="00000000" w:rsidP="00000000" w:rsidRDefault="00000000" w:rsidRPr="00000000" w14:paraId="00000022">
      <w:pPr>
        <w:pStyle w:val="Heading4"/>
        <w:spacing w:after="160" w:before="280" w:line="480" w:lineRule="auto"/>
        <w:jc w:val="both"/>
        <w:rPr/>
      </w:pPr>
      <w:bookmarkStart w:colFirst="0" w:colLast="0" w:name="_gm9ogg67idd2" w:id="16"/>
      <w:bookmarkEnd w:id="16"/>
      <w:r w:rsidDel="00000000" w:rsidR="00000000" w:rsidRPr="00000000">
        <w:rPr>
          <w:rtl w:val="0"/>
        </w:rPr>
        <w:t xml:space="preserve">scRNA Sequencing Data</w:t>
      </w:r>
    </w:p>
    <w:p w:rsidR="00000000" w:rsidDel="00000000" w:rsidP="00000000" w:rsidRDefault="00000000" w:rsidRPr="00000000" w14:paraId="00000023">
      <w:pPr>
        <w:spacing w:after="160" w:before="280" w:line="480" w:lineRule="auto"/>
        <w:jc w:val="both"/>
        <w:rPr/>
      </w:pPr>
      <w:r w:rsidDel="00000000" w:rsidR="00000000" w:rsidRPr="00000000">
        <w:rPr>
          <w:rtl w:val="0"/>
        </w:rPr>
        <w:t xml:space="preserve">Low-dimensional embeddings of the scRNA sequencing data were designed to represent the dysregulation of immune system pathways in certain cell types. The gene expression profiles of each cell type were extracted for relevant immune system pathways. We used a selection of KEGG pathways and GO Biological Process terms which include pathways related to inflammatory signalling, IFN-gamma, ICOS, KLRG1, KIR, T-bet and EOMES signalling (Suppl. </w:t>
      </w:r>
      <w:hyperlink w:anchor="sta_kegg_pathways">
        <w:r w:rsidDel="00000000" w:rsidR="00000000" w:rsidRPr="00000000">
          <w:rPr>
            <w:rtl w:val="0"/>
          </w:rPr>
          <w:t xml:space="preserve">Table 5</w:t>
        </w:r>
      </w:hyperlink>
      <w:r w:rsidDel="00000000" w:rsidR="00000000" w:rsidRPr="00000000">
        <w:rPr>
          <w:rtl w:val="0"/>
        </w:rPr>
        <w:t xml:space="preserve"> and </w:t>
      </w:r>
      <w:hyperlink w:anchor="sta_go_terms">
        <w:r w:rsidDel="00000000" w:rsidR="00000000" w:rsidRPr="00000000">
          <w:rPr>
            <w:rtl w:val="0"/>
          </w:rPr>
          <w:t xml:space="preserve">Table 6</w:t>
        </w:r>
      </w:hyperlink>
      <w:r w:rsidDel="00000000" w:rsidR="00000000" w:rsidRPr="00000000">
        <w:rPr>
          <w:rtl w:val="0"/>
        </w:rPr>
        <w:t xml:space="preserve">). The R packages limma (3.62.2), AnnotationDbi (1.68.0) and org.Hs.eg.db (3.20.0) were used to find the corresponding genes of KEGG pathway IDs and GO Biological Process terms. A conditional variational autoencoder was trained per cell type and pathway using scvi-tools (1.3.0) </w:t>
      </w:r>
      <w:hyperlink r:id="rId7">
        <w:r w:rsidDel="00000000" w:rsidR="00000000" w:rsidRPr="00000000">
          <w:rPr>
            <w:vertAlign w:val="superscript"/>
            <w:rtl w:val="0"/>
          </w:rPr>
          <w:t xml:space="preserve">131,132</w:t>
        </w:r>
      </w:hyperlink>
      <w:r w:rsidDel="00000000" w:rsidR="00000000" w:rsidRPr="00000000">
        <w:rPr>
          <w:rtl w:val="0"/>
        </w:rPr>
        <w:t xml:space="preserve"> after a hyperparameter optimization of 20 trials on the best parameters selected for minimizing the validation loss. The search space for the hyperparameters is documented in Suppl. </w:t>
      </w:r>
      <w:hyperlink w:anchor="sta_hyperparams_cvae">
        <w:r w:rsidDel="00000000" w:rsidR="00000000" w:rsidRPr="00000000">
          <w:rPr>
            <w:rtl w:val="0"/>
          </w:rPr>
          <w:t xml:space="preserve">Table 7</w:t>
        </w:r>
      </w:hyperlink>
      <w:r w:rsidDel="00000000" w:rsidR="00000000" w:rsidRPr="00000000">
        <w:rPr>
          <w:rtl w:val="0"/>
        </w:rPr>
        <w:t xml:space="preserve">.</w:t>
      </w:r>
    </w:p>
    <w:p w:rsidR="00000000" w:rsidDel="00000000" w:rsidP="00000000" w:rsidRDefault="00000000" w:rsidRPr="00000000" w14:paraId="00000024">
      <w:pPr>
        <w:pStyle w:val="Heading3"/>
        <w:spacing w:line="480" w:lineRule="auto"/>
        <w:ind w:left="0" w:firstLine="0"/>
        <w:jc w:val="both"/>
        <w:rPr/>
      </w:pPr>
      <w:bookmarkStart w:colFirst="0" w:colLast="0" w:name="_yir5rpgf3f6f" w:id="17"/>
      <w:bookmarkEnd w:id="17"/>
      <w:r w:rsidDel="00000000" w:rsidR="00000000" w:rsidRPr="00000000">
        <w:rPr>
          <w:rtl w:val="0"/>
        </w:rPr>
      </w:r>
    </w:p>
    <w:p w:rsidR="00000000" w:rsidDel="00000000" w:rsidP="00000000" w:rsidRDefault="00000000" w:rsidRPr="00000000" w14:paraId="00000025">
      <w:pPr>
        <w:pStyle w:val="Heading3"/>
        <w:spacing w:line="480" w:lineRule="auto"/>
        <w:ind w:left="0" w:firstLine="0"/>
        <w:jc w:val="both"/>
        <w:rPr/>
      </w:pPr>
      <w:bookmarkStart w:colFirst="0" w:colLast="0" w:name="_rqv0e14be0dl" w:id="18"/>
      <w:bookmarkEnd w:id="18"/>
      <w:r w:rsidDel="00000000" w:rsidR="00000000" w:rsidRPr="00000000">
        <w:rPr>
          <w:rtl w:val="0"/>
        </w:rPr>
        <w:t xml:space="preserve">AI-Based Directed Acyclic Graph Learning</w:t>
      </w:r>
    </w:p>
    <w:p w:rsidR="00000000" w:rsidDel="00000000" w:rsidP="00000000" w:rsidRDefault="00000000" w:rsidRPr="00000000" w14:paraId="00000026">
      <w:pPr>
        <w:spacing w:after="160" w:line="480" w:lineRule="auto"/>
        <w:jc w:val="both"/>
        <w:rPr/>
      </w:pPr>
      <w:r w:rsidDel="00000000" w:rsidR="00000000" w:rsidRPr="00000000">
        <w:rPr>
          <w:rtl w:val="0"/>
        </w:rPr>
        <w:t xml:space="preserve">We investigated the complex relationships between several modalities of interest that were gathered for the ADIS cohort. We used DAGMA (1.1.1) </w:t>
      </w:r>
      <w:hyperlink r:id="rId8">
        <w:r w:rsidDel="00000000" w:rsidR="00000000" w:rsidRPr="00000000">
          <w:rPr>
            <w:vertAlign w:val="superscript"/>
            <w:rtl w:val="0"/>
          </w:rPr>
          <w:t xml:space="preserve">133</w:t>
        </w:r>
      </w:hyperlink>
      <w:r w:rsidDel="00000000" w:rsidR="00000000" w:rsidRPr="00000000">
        <w:rPr>
          <w:rtl w:val="0"/>
        </w:rPr>
        <w:t xml:space="preserve"> to learn a directed acyclic graph (DAG) by optimizing nonlinear structural equation models with multilayer perceptrons under an exact smooth acyclicity constraint. This AI-based approach is favorable because it scales to high-dimensional settings, naturally handles heterogeneous outcomes, and can identify edge directions under nonlinear assumptions better than conventional Bayesian Network structure learning methods. We performed bootstrapping with 100 samples for fitting a nonlinear model and used the L1 penalty coefficient = 0.02 and L2 penalty coefficient = 0.005 as fixed model parameters. To discourage spurious confounding, we added an L1 penalty term on incoming weights to the constrained nodes (age, gender, ApoE), thereby shrinking incoming edges of demographics and genotype. </w:t>
      </w:r>
    </w:p>
    <w:p w:rsidR="00000000" w:rsidDel="00000000" w:rsidP="00000000" w:rsidRDefault="00000000" w:rsidRPr="00000000" w14:paraId="00000027">
      <w:pPr>
        <w:spacing w:after="160" w:line="480" w:lineRule="auto"/>
        <w:jc w:val="both"/>
        <w:rPr/>
      </w:pPr>
      <w:r w:rsidDel="00000000" w:rsidR="00000000" w:rsidRPr="00000000">
        <w:rPr>
          <w:rtl w:val="0"/>
        </w:rPr>
        <w:t xml:space="preserve">We applied this nonlinear DAG learning approach to integrate heterogeneous modalities after z-score normalization and low-dimensional embedding of high‑dimensional features. Immune pathway activity was summarized by pathway- and cell type-specific cVAE embeddings from scRNA‑seq, and cognitive domains were reduced via correlation‑informed PCA (first eigenvector) (see below).</w:t>
      </w:r>
    </w:p>
    <w:p w:rsidR="00000000" w:rsidDel="00000000" w:rsidP="00000000" w:rsidRDefault="00000000" w:rsidRPr="00000000" w14:paraId="00000028">
      <w:pPr>
        <w:spacing w:after="160" w:line="480" w:lineRule="auto"/>
        <w:jc w:val="both"/>
        <w:rPr/>
      </w:pPr>
      <w:r w:rsidDel="00000000" w:rsidR="00000000" w:rsidRPr="00000000">
        <w:rPr>
          <w:rtl w:val="0"/>
        </w:rPr>
        <w:t xml:space="preserve">We included the following data, which we grouped into the following data types:</w:t>
      </w:r>
    </w:p>
    <w:p w:rsidR="00000000" w:rsidDel="00000000" w:rsidP="00000000" w:rsidRDefault="00000000" w:rsidRPr="00000000" w14:paraId="00000029">
      <w:pPr>
        <w:numPr>
          <w:ilvl w:val="0"/>
          <w:numId w:val="1"/>
        </w:numPr>
        <w:spacing w:after="160" w:line="480" w:lineRule="auto"/>
        <w:ind w:left="720" w:hanging="360"/>
        <w:jc w:val="both"/>
      </w:pPr>
      <w:r w:rsidDel="00000000" w:rsidR="00000000" w:rsidRPr="00000000">
        <w:rPr>
          <w:b w:val="1"/>
          <w:bCs w:val="1"/>
          <w:rtl w:val="0"/>
        </w:rPr>
        <w:t xml:space="preserve">Cognition</w:t>
      </w:r>
      <w:r w:rsidDel="00000000" w:rsidR="00000000" w:rsidRPr="00000000">
        <w:rPr>
          <w:rtl w:val="0"/>
        </w:rPr>
        <w:t xml:space="preserve">: Language, memory, praxis, visual perception and spatial processing, global cognitive function, executive functions, neuropsychiatric inventory questionnaire, anxiety, GDS depression, Altoida</w:t>
      </w:r>
    </w:p>
    <w:p w:rsidR="00000000" w:rsidDel="00000000" w:rsidP="00000000" w:rsidRDefault="00000000" w:rsidRPr="00000000" w14:paraId="0000002A">
      <w:pPr>
        <w:numPr>
          <w:ilvl w:val="0"/>
          <w:numId w:val="1"/>
        </w:numPr>
        <w:spacing w:after="160" w:line="480" w:lineRule="auto"/>
        <w:ind w:left="720" w:hanging="360"/>
        <w:jc w:val="both"/>
        <w:rPr>
          <w:b w:val="1"/>
          <w:bCs w:val="1"/>
        </w:rPr>
      </w:pPr>
      <w:r w:rsidDel="00000000" w:rsidR="00000000" w:rsidRPr="00000000">
        <w:rPr>
          <w:b w:val="1"/>
          <w:bCs w:val="1"/>
          <w:rtl w:val="0"/>
        </w:rPr>
        <w:t xml:space="preserve">Demographics</w:t>
      </w:r>
      <w:r w:rsidDel="00000000" w:rsidR="00000000" w:rsidRPr="00000000">
        <w:rPr>
          <w:rtl w:val="0"/>
        </w:rPr>
        <w:t xml:space="preserve">: age, gender</w:t>
      </w:r>
    </w:p>
    <w:p w:rsidR="00000000" w:rsidDel="00000000" w:rsidP="00000000" w:rsidRDefault="00000000" w:rsidRPr="00000000" w14:paraId="0000002B">
      <w:pPr>
        <w:numPr>
          <w:ilvl w:val="0"/>
          <w:numId w:val="1"/>
        </w:numPr>
        <w:spacing w:after="160" w:line="480" w:lineRule="auto"/>
        <w:ind w:left="720" w:hanging="360"/>
        <w:jc w:val="both"/>
        <w:rPr>
          <w:b w:val="1"/>
          <w:bCs w:val="1"/>
        </w:rPr>
      </w:pPr>
      <w:r w:rsidDel="00000000" w:rsidR="00000000" w:rsidRPr="00000000">
        <w:rPr>
          <w:b w:val="1"/>
          <w:bCs w:val="1"/>
          <w:rtl w:val="0"/>
        </w:rPr>
        <w:t xml:space="preserve">Genotype</w:t>
      </w:r>
      <w:r w:rsidDel="00000000" w:rsidR="00000000" w:rsidRPr="00000000">
        <w:rPr>
          <w:rtl w:val="0"/>
        </w:rPr>
        <w:t xml:space="preserve">: ApoE</w:t>
      </w:r>
    </w:p>
    <w:p w:rsidR="00000000" w:rsidDel="00000000" w:rsidP="00000000" w:rsidRDefault="00000000" w:rsidRPr="00000000" w14:paraId="0000002C">
      <w:pPr>
        <w:numPr>
          <w:ilvl w:val="0"/>
          <w:numId w:val="1"/>
        </w:numPr>
        <w:spacing w:after="160" w:line="480" w:lineRule="auto"/>
        <w:ind w:left="720" w:hanging="360"/>
        <w:jc w:val="both"/>
        <w:rPr>
          <w:b w:val="1"/>
          <w:bCs w:val="1"/>
        </w:rPr>
      </w:pPr>
      <w:r w:rsidDel="00000000" w:rsidR="00000000" w:rsidRPr="00000000">
        <w:rPr>
          <w:b w:val="1"/>
          <w:bCs w:val="1"/>
          <w:rtl w:val="0"/>
        </w:rPr>
        <w:t xml:space="preserve">Sleep</w:t>
      </w:r>
      <w:r w:rsidDel="00000000" w:rsidR="00000000" w:rsidRPr="00000000">
        <w:rPr>
          <w:rtl w:val="0"/>
        </w:rPr>
        <w:t xml:space="preserve">: PSQI, ESS, time in bed, assumed sleep, sleep latency, nonzero activity, rest per 24 h, M10 average, relative amplitude, intra-daily variability, naps</w:t>
      </w:r>
    </w:p>
    <w:p w:rsidR="00000000" w:rsidDel="00000000" w:rsidP="00000000" w:rsidRDefault="00000000" w:rsidRPr="00000000" w14:paraId="0000002D">
      <w:pPr>
        <w:numPr>
          <w:ilvl w:val="0"/>
          <w:numId w:val="1"/>
        </w:numPr>
        <w:spacing w:after="160" w:line="480" w:lineRule="auto"/>
        <w:ind w:left="720" w:hanging="360"/>
        <w:jc w:val="both"/>
        <w:rPr>
          <w:b w:val="1"/>
          <w:bCs w:val="1"/>
        </w:rPr>
      </w:pPr>
      <w:r w:rsidDel="00000000" w:rsidR="00000000" w:rsidRPr="00000000">
        <w:rPr>
          <w:b w:val="1"/>
          <w:bCs w:val="1"/>
          <w:rtl w:val="0"/>
        </w:rPr>
        <w:t xml:space="preserve">Cytokines</w:t>
      </w:r>
      <w:r w:rsidDel="00000000" w:rsidR="00000000" w:rsidRPr="00000000">
        <w:rPr>
          <w:rtl w:val="0"/>
        </w:rPr>
        <w:t xml:space="preserve">: IL-6, IL-8, IL-10, MCP-1, TNF, ICAM-1, TREM2, complement C3, noradrenaline</w:t>
      </w:r>
    </w:p>
    <w:p w:rsidR="00000000" w:rsidDel="00000000" w:rsidP="00000000" w:rsidRDefault="00000000" w:rsidRPr="00000000" w14:paraId="0000002E">
      <w:pPr>
        <w:numPr>
          <w:ilvl w:val="0"/>
          <w:numId w:val="1"/>
        </w:numPr>
        <w:spacing w:after="160" w:line="480" w:lineRule="auto"/>
        <w:ind w:left="720" w:hanging="360"/>
        <w:jc w:val="both"/>
        <w:rPr>
          <w:b w:val="1"/>
          <w:bCs w:val="1"/>
        </w:rPr>
      </w:pPr>
      <w:r w:rsidDel="00000000" w:rsidR="00000000" w:rsidRPr="00000000">
        <w:rPr>
          <w:b w:val="1"/>
          <w:bCs w:val="1"/>
          <w:rtl w:val="0"/>
        </w:rPr>
        <w:t xml:space="preserve">T cell receptor</w:t>
      </w:r>
      <w:r w:rsidDel="00000000" w:rsidR="00000000" w:rsidRPr="00000000">
        <w:rPr>
          <w:rtl w:val="0"/>
        </w:rPr>
        <w:t xml:space="preserve">: Richness index (ACE), clonal abundance (small), clonal abundance (large)</w:t>
      </w:r>
    </w:p>
    <w:p w:rsidR="00000000" w:rsidDel="00000000" w:rsidP="00000000" w:rsidRDefault="00000000" w:rsidRPr="00000000" w14:paraId="0000002F">
      <w:pPr>
        <w:numPr>
          <w:ilvl w:val="0"/>
          <w:numId w:val="1"/>
        </w:numPr>
        <w:spacing w:after="160" w:line="480" w:lineRule="auto"/>
        <w:ind w:left="720" w:hanging="360"/>
        <w:jc w:val="both"/>
        <w:rPr>
          <w:b w:val="1"/>
          <w:bCs w:val="1"/>
        </w:rPr>
      </w:pPr>
      <w:r w:rsidDel="00000000" w:rsidR="00000000" w:rsidRPr="00000000">
        <w:rPr>
          <w:b w:val="1"/>
          <w:bCs w:val="1"/>
          <w:rtl w:val="0"/>
        </w:rPr>
        <w:t xml:space="preserve">Immune System</w:t>
      </w:r>
      <w:r w:rsidDel="00000000" w:rsidR="00000000" w:rsidRPr="00000000">
        <w:rPr>
          <w:rtl w:val="0"/>
        </w:rPr>
        <w:t xml:space="preserve">: immune system-related KEGG pathways and GO Biological Process embeddings of scRNA-seq data</w:t>
      </w:r>
    </w:p>
    <w:p w:rsidR="00000000" w:rsidDel="00000000" w:rsidP="00000000" w:rsidRDefault="00000000" w:rsidRPr="00000000" w14:paraId="00000030">
      <w:pPr>
        <w:numPr>
          <w:ilvl w:val="0"/>
          <w:numId w:val="1"/>
        </w:numPr>
        <w:spacing w:after="160" w:line="480" w:lineRule="auto"/>
        <w:ind w:left="720" w:hanging="360"/>
        <w:jc w:val="both"/>
        <w:rPr>
          <w:b w:val="1"/>
          <w:bCs w:val="1"/>
        </w:rPr>
      </w:pPr>
      <w:r w:rsidDel="00000000" w:rsidR="00000000" w:rsidRPr="00000000">
        <w:rPr>
          <w:b w:val="1"/>
          <w:bCs w:val="1"/>
          <w:rtl w:val="0"/>
        </w:rPr>
        <w:t xml:space="preserve">MRI</w:t>
      </w:r>
      <w:r w:rsidDel="00000000" w:rsidR="00000000" w:rsidRPr="00000000">
        <w:rPr>
          <w:rtl w:val="0"/>
        </w:rPr>
        <w:t xml:space="preserve">: hypothalamus, locus coeruleus, gray matter</w:t>
      </w:r>
    </w:p>
    <w:p w:rsidR="00000000" w:rsidDel="00000000" w:rsidP="00000000" w:rsidRDefault="00000000" w:rsidRPr="00000000" w14:paraId="00000031">
      <w:pPr>
        <w:numPr>
          <w:ilvl w:val="0"/>
          <w:numId w:val="1"/>
        </w:numPr>
        <w:spacing w:after="160" w:line="480" w:lineRule="auto"/>
        <w:ind w:left="720" w:hanging="360"/>
        <w:jc w:val="both"/>
        <w:rPr>
          <w:b w:val="1"/>
          <w:bCs w:val="1"/>
        </w:rPr>
      </w:pPr>
      <w:r w:rsidDel="00000000" w:rsidR="00000000" w:rsidRPr="00000000">
        <w:rPr>
          <w:b w:val="1"/>
          <w:bCs w:val="1"/>
          <w:rtl w:val="0"/>
        </w:rPr>
        <w:t xml:space="preserve">Immunophenotyping: </w:t>
      </w:r>
      <w:r w:rsidDel="00000000" w:rsidR="00000000" w:rsidRPr="00000000">
        <w:rPr>
          <w:rtl w:val="0"/>
        </w:rPr>
        <w:t xml:space="preserve">%PD-1 expressing CD4</w:t>
      </w:r>
      <w:r w:rsidDel="00000000" w:rsidR="00000000" w:rsidRPr="00000000">
        <w:rPr>
          <w:vertAlign w:val="superscript"/>
          <w:rtl w:val="0"/>
        </w:rPr>
        <w:t xml:space="preserve">+</w:t>
      </w:r>
      <w:r w:rsidDel="00000000" w:rsidR="00000000" w:rsidRPr="00000000">
        <w:rPr>
          <w:rtl w:val="0"/>
        </w:rPr>
        <w:t xml:space="preserve">/CD8</w:t>
      </w:r>
      <w:r w:rsidDel="00000000" w:rsidR="00000000" w:rsidRPr="00000000">
        <w:rPr>
          <w:vertAlign w:val="superscript"/>
          <w:rtl w:val="0"/>
        </w:rPr>
        <w:t xml:space="preserve">+</w:t>
      </w:r>
      <w:r w:rsidDel="00000000" w:rsidR="00000000" w:rsidRPr="00000000">
        <w:rPr>
          <w:rtl w:val="0"/>
        </w:rPr>
        <w:t xml:space="preserve"> T cells with anti-CD3 stimulation and complementary anti-PD-L1 stimulation in increasing concentrations</w:t>
      </w:r>
    </w:p>
    <w:p w:rsidR="00000000" w:rsidDel="00000000" w:rsidP="00000000" w:rsidRDefault="00000000" w:rsidRPr="00000000" w14:paraId="00000032">
      <w:pPr>
        <w:spacing w:after="160" w:line="480" w:lineRule="auto"/>
        <w:jc w:val="both"/>
        <w:rPr/>
      </w:pPr>
      <w:r w:rsidDel="00000000" w:rsidR="00000000" w:rsidRPr="00000000">
        <w:rPr>
          <w:rtl w:val="0"/>
        </w:rPr>
      </w:r>
    </w:p>
    <w:p w:rsidR="00000000" w:rsidDel="00000000" w:rsidP="00000000" w:rsidRDefault="00000000" w:rsidRPr="00000000" w14:paraId="00000033">
      <w:pPr>
        <w:spacing w:after="160" w:line="480" w:lineRule="auto"/>
        <w:jc w:val="both"/>
        <w:rPr/>
      </w:pPr>
      <w:r w:rsidDel="00000000" w:rsidR="00000000" w:rsidRPr="00000000">
        <w:rPr>
          <w:rtl w:val="0"/>
        </w:rPr>
        <w:t xml:space="preserve">The actigraphy measures were compared across diagnostic groups: variables meeting normality assumptions were analyzed with one-way ANOVA followed by Tukey’s HSD for pairwise comparisons, whereas non-normally distributed variables were analyzed with the Kruskal–Wallis test followed by Dunn’s post hoc test with adjustment for multiple comparisons. Significant variables with p&lt;0.05 were retained for downstream analyses, including time in bed, assumed sleep, sleep latency, total activity score divided by the number of epochs in the assumed sleep period (mean nonzero activity per epoch) and rest per 24 hours, total nap times, the average activity level for the sequence of the highest 10 active hours (M10 average), the normalized difference in average activity level between the sequence of highest 10 and least 5 active hours (relative amplitude) and the intra-daily variability which quantifies the degree of fragmentation of activity-rest periods. MRI volumes of the respective regions were normalized by intracranial volume.</w:t>
      </w:r>
    </w:p>
    <w:p w:rsidR="00000000" w:rsidDel="00000000" w:rsidP="00000000" w:rsidRDefault="00000000" w:rsidRPr="00000000" w14:paraId="00000034">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80" w:before="360" w:line="480" w:lineRule="auto"/>
        <w:ind w:left="0" w:firstLine="0"/>
        <w:jc w:val="both"/>
        <w:rPr/>
      </w:pPr>
      <w:bookmarkStart w:colFirst="0" w:colLast="0" w:name="_bwayifq5lcmd" w:id="19"/>
      <w:bookmarkEnd w:id="19"/>
      <w:r w:rsidDel="00000000" w:rsidR="00000000" w:rsidRPr="00000000">
        <w:rPr>
          <w:rtl w:val="0"/>
        </w:rPr>
        <w:t xml:space="preserve">Supplementary Results</w:t>
      </w:r>
    </w:p>
    <w:p w:rsidR="00000000" w:rsidDel="00000000" w:rsidP="00000000" w:rsidRDefault="00000000" w:rsidRPr="00000000" w14:paraId="00000035">
      <w:pPr>
        <w:pStyle w:val="Heading3"/>
        <w:spacing w:after="160" w:line="480" w:lineRule="auto"/>
        <w:ind w:left="0" w:firstLine="0"/>
        <w:jc w:val="both"/>
        <w:rPr/>
      </w:pPr>
      <w:bookmarkStart w:colFirst="0" w:colLast="0" w:name="_5h81i9ywiib5" w:id="20"/>
      <w:bookmarkEnd w:id="20"/>
      <w:r w:rsidDel="00000000" w:rsidR="00000000" w:rsidRPr="00000000">
        <w:rPr>
          <w:rtl w:val="0"/>
        </w:rPr>
        <w:t xml:space="preserve">Flow Cytometry NK and T Cell Phenotypes Provide Modest Discrimination Between Controls and Subjects With AD</w:t>
      </w:r>
    </w:p>
    <w:p w:rsidR="00000000" w:rsidDel="00000000" w:rsidP="00000000" w:rsidRDefault="00000000" w:rsidRPr="00000000" w14:paraId="00000036">
      <w:pPr>
        <w:spacing w:after="160" w:line="480" w:lineRule="auto"/>
        <w:jc w:val="both"/>
        <w:rPr/>
      </w:pPr>
      <w:r w:rsidDel="00000000" w:rsidR="00000000" w:rsidRPr="00000000">
        <w:rPr>
          <w:rtl w:val="0"/>
        </w:rPr>
        <w:t xml:space="preserve">Conventional flow cytometric immunophenotyping captures aspects of early immune dysregulation and provides modest diagnostic discrimination. To complement the single-cell transcriptomic analyses, we performed flow cytometry–based immunophenotyping of memory T cells, exhausted/activated T cells, NK/NKT/T cells, hyporesponsive NK cells and proliferating/FoxP3</w:t>
      </w:r>
      <w:r w:rsidDel="00000000" w:rsidR="00000000" w:rsidRPr="00000000">
        <w:rPr>
          <w:vertAlign w:val="superscript"/>
          <w:rtl w:val="0"/>
        </w:rPr>
        <w:t xml:space="preserve">+</w:t>
      </w:r>
      <w:r w:rsidDel="00000000" w:rsidR="00000000" w:rsidRPr="00000000">
        <w:rPr>
          <w:rtl w:val="0"/>
        </w:rPr>
        <w:t xml:space="preserve"> Tregs using a predefined marker panel (Suppl. </w:t>
      </w:r>
      <w:hyperlink w:anchor="sta_ipt">
        <w:r w:rsidDel="00000000" w:rsidR="00000000" w:rsidRPr="00000000">
          <w:rPr>
            <w:rtl w:val="0"/>
          </w:rPr>
          <w:t xml:space="preserve">Table 8</w:t>
        </w:r>
      </w:hyperlink>
      <w:r w:rsidDel="00000000" w:rsidR="00000000" w:rsidRPr="00000000">
        <w:rPr>
          <w:rtl w:val="0"/>
        </w:rPr>
        <w:t xml:space="preserve">). </w:t>
      </w:r>
    </w:p>
    <w:p w:rsidR="00000000" w:rsidDel="00000000" w:rsidP="00000000" w:rsidRDefault="00000000" w:rsidRPr="00000000" w14:paraId="00000037">
      <w:pPr>
        <w:spacing w:after="160" w:line="480" w:lineRule="auto"/>
        <w:jc w:val="both"/>
        <w:rPr/>
      </w:pPr>
      <w:r w:rsidDel="00000000" w:rsidR="00000000" w:rsidRPr="00000000">
        <w:rPr>
          <w:rtl w:val="0"/>
        </w:rPr>
        <w:t xml:space="preserve">Within hyporesponsive NK cells, frequencies of subpopulations defined by different combinations of CD3 and CD56 expression and by KIR</w:t>
      </w:r>
      <w:r w:rsidDel="00000000" w:rsidR="00000000" w:rsidRPr="00000000">
        <w:rPr>
          <w:vertAlign w:val="superscript"/>
          <w:rtl w:val="0"/>
        </w:rPr>
        <w:t xml:space="preserve">-</w:t>
      </w:r>
      <w:r w:rsidDel="00000000" w:rsidR="00000000" w:rsidRPr="00000000">
        <w:rPr>
          <w:rtl w:val="0"/>
        </w:rPr>
        <w:t xml:space="preserve">/NKG2A</w:t>
      </w:r>
      <w:r w:rsidDel="00000000" w:rsidR="00000000" w:rsidRPr="00000000">
        <w:rPr>
          <w:vertAlign w:val="superscript"/>
          <w:rtl w:val="0"/>
        </w:rPr>
        <w:t xml:space="preserve">-</w:t>
      </w:r>
      <w:r w:rsidDel="00000000" w:rsidR="00000000" w:rsidRPr="00000000">
        <w:rPr>
          <w:rtl w:val="0"/>
        </w:rPr>
        <w:t xml:space="preserve"> expression differed significantly between HC and AD. Within total NK cells, various CD3/CD56 positive and negative defined subsets also differed between HC and AD. In the FoxP3</w:t>
      </w:r>
      <w:r w:rsidDel="00000000" w:rsidR="00000000" w:rsidRPr="00000000">
        <w:rPr>
          <w:vertAlign w:val="superscript"/>
          <w:rtl w:val="0"/>
        </w:rPr>
        <w:t xml:space="preserve">+</w:t>
      </w:r>
      <w:r w:rsidDel="00000000" w:rsidR="00000000" w:rsidRPr="00000000">
        <w:rPr>
          <w:rtl w:val="0"/>
        </w:rPr>
        <w:t xml:space="preserve"> CD3</w:t>
      </w:r>
      <w:r w:rsidDel="00000000" w:rsidR="00000000" w:rsidRPr="00000000">
        <w:rPr>
          <w:vertAlign w:val="superscript"/>
          <w:rtl w:val="0"/>
        </w:rPr>
        <w:t xml:space="preserve">+</w:t>
      </w:r>
      <w:r w:rsidDel="00000000" w:rsidR="00000000" w:rsidRPr="00000000">
        <w:rPr>
          <w:rtl w:val="0"/>
        </w:rPr>
        <w:t xml:space="preserve">CD4</w:t>
      </w:r>
      <w:r w:rsidDel="00000000" w:rsidR="00000000" w:rsidRPr="00000000">
        <w:rPr>
          <w:vertAlign w:val="superscript"/>
          <w:rtl w:val="0"/>
        </w:rPr>
        <w:t xml:space="preserve">+</w:t>
      </w:r>
      <w:r w:rsidDel="00000000" w:rsidR="00000000" w:rsidRPr="00000000">
        <w:rPr>
          <w:rtl w:val="0"/>
        </w:rPr>
        <w:t xml:space="preserve"> Treg compartment, subpopulations defined by PD‑1 and Ki‑67 high/low expression differed between MCI and AD. PD‑1 receptor expression was significantly decreased in hyporesponsive NK cells in MCI compared with HC for CD3</w:t>
      </w:r>
      <w:r w:rsidDel="00000000" w:rsidR="00000000" w:rsidRPr="00000000">
        <w:rPr>
          <w:vertAlign w:val="superscript"/>
          <w:rtl w:val="0"/>
        </w:rPr>
        <w:t xml:space="preserve">+</w:t>
      </w:r>
      <w:r w:rsidDel="00000000" w:rsidR="00000000" w:rsidRPr="00000000">
        <w:rPr>
          <w:rtl w:val="0"/>
        </w:rPr>
        <w:t xml:space="preserve">CD56</w:t>
      </w:r>
      <w:r w:rsidDel="00000000" w:rsidR="00000000" w:rsidRPr="00000000">
        <w:rPr>
          <w:vertAlign w:val="superscript"/>
          <w:rtl w:val="0"/>
        </w:rPr>
        <w:t xml:space="preserve">+</w:t>
      </w:r>
      <w:r w:rsidDel="00000000" w:rsidR="00000000" w:rsidRPr="00000000">
        <w:rPr>
          <w:rtl w:val="0"/>
        </w:rPr>
        <w:t xml:space="preserve"> hyporesponsive NK cells and for a KIR</w:t>
      </w:r>
      <w:r w:rsidDel="00000000" w:rsidR="00000000" w:rsidRPr="00000000">
        <w:rPr>
          <w:vertAlign w:val="superscript"/>
          <w:rtl w:val="0"/>
        </w:rPr>
        <w:t xml:space="preserve">+</w:t>
      </w:r>
      <w:r w:rsidDel="00000000" w:rsidR="00000000" w:rsidRPr="00000000">
        <w:rPr>
          <w:rtl w:val="0"/>
        </w:rPr>
        <w:t xml:space="preserve">NKG2A</w:t>
      </w:r>
      <w:r w:rsidDel="00000000" w:rsidR="00000000" w:rsidRPr="00000000">
        <w:rPr>
          <w:vertAlign w:val="superscript"/>
          <w:rtl w:val="0"/>
        </w:rPr>
        <w:t xml:space="preserve">+</w:t>
      </w:r>
      <w:r w:rsidDel="00000000" w:rsidR="00000000" w:rsidRPr="00000000">
        <w:rPr>
          <w:rtl w:val="0"/>
        </w:rPr>
        <w:t xml:space="preserve"> subset within this population. In FoxP3</w:t>
      </w:r>
      <w:r w:rsidDel="00000000" w:rsidR="00000000" w:rsidRPr="00000000">
        <w:rPr>
          <w:vertAlign w:val="superscript"/>
          <w:rtl w:val="0"/>
        </w:rPr>
        <w:t xml:space="preserve">+</w:t>
      </w:r>
      <w:r w:rsidDel="00000000" w:rsidR="00000000" w:rsidRPr="00000000">
        <w:rPr>
          <w:rtl w:val="0"/>
        </w:rPr>
        <w:t xml:space="preserve"> CD3</w:t>
      </w:r>
      <w:r w:rsidDel="00000000" w:rsidR="00000000" w:rsidRPr="00000000">
        <w:rPr>
          <w:vertAlign w:val="superscript"/>
          <w:rtl w:val="0"/>
        </w:rPr>
        <w:t xml:space="preserve">+</w:t>
      </w:r>
      <w:r w:rsidDel="00000000" w:rsidR="00000000" w:rsidRPr="00000000">
        <w:rPr>
          <w:rtl w:val="0"/>
        </w:rPr>
        <w:t xml:space="preserve">CD4</w:t>
      </w:r>
      <w:r w:rsidDel="00000000" w:rsidR="00000000" w:rsidRPr="00000000">
        <w:rPr>
          <w:vertAlign w:val="superscript"/>
          <w:rtl w:val="0"/>
        </w:rPr>
        <w:t xml:space="preserve">+</w:t>
      </w:r>
      <w:r w:rsidDel="00000000" w:rsidR="00000000" w:rsidRPr="00000000">
        <w:rPr>
          <w:rtl w:val="0"/>
        </w:rPr>
        <w:t xml:space="preserve"> Tregs, PD‑1 expression was increased and Ki‑67 expression was decreased in AD compared with MCI</w:t>
      </w:r>
    </w:p>
    <w:p w:rsidR="00000000" w:rsidDel="00000000" w:rsidP="00000000" w:rsidRDefault="00000000" w:rsidRPr="00000000" w14:paraId="00000038">
      <w:pPr>
        <w:spacing w:after="160" w:line="480" w:lineRule="auto"/>
        <w:jc w:val="both"/>
        <w:rPr/>
      </w:pPr>
      <w:r w:rsidDel="00000000" w:rsidR="00000000" w:rsidRPr="00000000">
        <w:rPr>
          <w:rtl w:val="0"/>
        </w:rPr>
        <w:t xml:space="preserve">(Suppl. </w:t>
      </w:r>
      <w:hyperlink r:id="rId9">
        <w:r w:rsidDel="00000000" w:rsidR="00000000" w:rsidRPr="00000000">
          <w:rPr>
            <w:rtl w:val="0"/>
          </w:rPr>
          <w:t xml:space="preserve">Figure 18</w:t>
        </w:r>
      </w:hyperlink>
      <w:r w:rsidDel="00000000" w:rsidR="00000000" w:rsidRPr="00000000">
        <w:rPr>
          <w:rtl w:val="0"/>
        </w:rPr>
        <w:t xml:space="preserve"> A and Suppl. </w:t>
      </w:r>
      <w:hyperlink r:id="rId10">
        <w:r w:rsidDel="00000000" w:rsidR="00000000" w:rsidRPr="00000000">
          <w:rPr>
            <w:rtl w:val="0"/>
          </w:rPr>
          <w:t xml:space="preserve">Figure 19</w:t>
        </w:r>
      </w:hyperlink>
      <w:r w:rsidDel="00000000" w:rsidR="00000000" w:rsidRPr="00000000">
        <w:rPr>
          <w:rtl w:val="0"/>
        </w:rPr>
        <w:t xml:space="preserve">).</w:t>
      </w:r>
    </w:p>
    <w:p w:rsidR="00000000" w:rsidDel="00000000" w:rsidP="00000000" w:rsidRDefault="00000000" w:rsidRPr="00000000" w14:paraId="00000039">
      <w:pPr>
        <w:spacing w:after="160" w:line="480" w:lineRule="auto"/>
        <w:jc w:val="both"/>
        <w:rPr/>
      </w:pPr>
      <w:r w:rsidDel="00000000" w:rsidR="00000000" w:rsidRPr="00000000">
        <w:rPr>
          <w:rtl w:val="0"/>
        </w:rPr>
        <w:t xml:space="preserve">We next trained logistic regression, support vector machine, random forest and XGBoost classifiers to predict diagnostic status using only immunophenotyping features. Hyperparameters were optimised using stratified 10-fold nested cross-validation (Suppl. </w:t>
      </w:r>
      <w:hyperlink w:anchor="sta_hpoipt">
        <w:r w:rsidDel="00000000" w:rsidR="00000000" w:rsidRPr="00000000">
          <w:rPr>
            <w:rtl w:val="0"/>
          </w:rPr>
          <w:t xml:space="preserve">Table 3</w:t>
        </w:r>
      </w:hyperlink>
      <w:r w:rsidDel="00000000" w:rsidR="00000000" w:rsidRPr="00000000">
        <w:rPr>
          <w:rtl w:val="0"/>
        </w:rPr>
        <w:t xml:space="preserve">). Cytometry-based features yielded an AUC-ROC of 0.68 ± 0.048 for distinguishing HC from individuals with MCI or AD. For pairwise comparisons, performance was 0.53 ± 0.127 for MCI versus HC and 0.63 ± 0.219 for AD versus HC (Suppl. </w:t>
      </w:r>
      <w:hyperlink r:id="rId11">
        <w:r w:rsidDel="00000000" w:rsidR="00000000" w:rsidRPr="00000000">
          <w:rPr>
            <w:rtl w:val="0"/>
          </w:rPr>
          <w:t xml:space="preserve">Figure 18</w:t>
        </w:r>
      </w:hyperlink>
      <w:r w:rsidDel="00000000" w:rsidR="00000000" w:rsidRPr="00000000">
        <w:rPr>
          <w:rtl w:val="0"/>
        </w:rPr>
        <w:t xml:space="preserve"> B). Feature importance analyses indicated that several NK-related gates contributed strongly to classification, including variables implicating hyporesponsive NK subtype frequencies and PD-1 and CD16 levels within the subtype populations were strongly contributing to the model’s decision on the classification of each patient based on their immunophenotyping data (Suppl. </w:t>
      </w:r>
      <w:hyperlink r:id="rId12">
        <w:r w:rsidDel="00000000" w:rsidR="00000000" w:rsidRPr="00000000">
          <w:rPr>
            <w:rtl w:val="0"/>
          </w:rPr>
          <w:t xml:space="preserve">Figure 18</w:t>
        </w:r>
      </w:hyperlink>
      <w:r w:rsidDel="00000000" w:rsidR="00000000" w:rsidRPr="00000000">
        <w:rPr>
          <w:rtl w:val="0"/>
        </w:rPr>
        <w:t xml:space="preserve"> C).</w:t>
      </w:r>
    </w:p>
    <w:p w:rsidR="00000000" w:rsidDel="00000000" w:rsidP="00000000" w:rsidRDefault="00000000" w:rsidRPr="00000000" w14:paraId="0000003A">
      <w:pPr>
        <w:spacing w:after="160" w:line="480" w:lineRule="auto"/>
        <w:jc w:val="both"/>
        <w:rPr/>
      </w:pPr>
      <w:r w:rsidDel="00000000" w:rsidR="00000000" w:rsidRPr="00000000">
        <w:rPr>
          <w:rtl w:val="0"/>
        </w:rPr>
        <w:t xml:space="preserve">We hereby found that NK cell gates from flow cytometry can discriminate between individuals with MCI and AD at a moderate level of accuracy, but not separate between HC and MCI. These results show that conventional flow cytometric NK-cell phenotypes capture aspects of early immune dysregulation and provide modest, non-invasive discrimination between controls and individuals with MCI or AD, supporting their potential as components of a peripheral immune biomarker panel for early AD.</w:t>
      </w:r>
    </w:p>
    <w:p w:rsidR="00000000" w:rsidDel="00000000" w:rsidP="00000000" w:rsidRDefault="00000000" w:rsidRPr="00000000" w14:paraId="0000003B">
      <w:pPr>
        <w:spacing w:after="160" w:line="480" w:lineRule="auto"/>
        <w:jc w:val="both"/>
        <w:rPr/>
      </w:pPr>
      <w:r w:rsidDel="00000000" w:rsidR="00000000" w:rsidRPr="00000000">
        <w:rPr>
          <w:rtl w:val="0"/>
        </w:rPr>
      </w:r>
    </w:p>
    <w:p w:rsidR="00000000" w:rsidDel="00000000" w:rsidP="00000000" w:rsidRDefault="00000000" w:rsidRPr="00000000" w14:paraId="0000003C">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80" w:before="360" w:lineRule="auto"/>
        <w:ind w:left="0" w:firstLine="0"/>
        <w:jc w:val="both"/>
        <w:rPr/>
      </w:pPr>
      <w:bookmarkStart w:colFirst="0" w:colLast="0" w:name="_9rii4rbnc47j" w:id="21"/>
      <w:bookmarkEnd w:id="21"/>
      <w:r w:rsidDel="00000000" w:rsidR="00000000" w:rsidRPr="00000000">
        <w:rPr>
          <w:rtl w:val="0"/>
        </w:rPr>
        <w:t xml:space="preserve">Supplementary Figures</w:t>
      </w:r>
    </w:p>
    <w:p w:rsidR="00000000" w:rsidDel="00000000" w:rsidP="00000000" w:rsidRDefault="00000000" w:rsidRPr="00000000" w14:paraId="0000003D">
      <w:pPr>
        <w:jc w:val="both"/>
        <w:rPr/>
      </w:pPr>
      <w:r w:rsidDel="00000000" w:rsidR="00000000" w:rsidRPr="00000000">
        <w:rPr/>
        <w:drawing>
          <wp:inline distB="114300" distT="114300" distL="114300" distR="114300">
            <wp:extent cx="4491038" cy="3431690"/>
            <wp:effectExtent b="0" l="0" r="0" t="0"/>
            <wp:docPr id="7"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491038" cy="343169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spacing w:line="480" w:lineRule="auto"/>
        <w:jc w:val="both"/>
        <w:rPr>
          <w:sz w:val="26"/>
          <w:szCs w:val="26"/>
        </w:rPr>
      </w:pPr>
      <w:r w:rsidDel="00000000" w:rsidR="00000000" w:rsidRPr="00000000">
        <w:rPr>
          <w:rtl w:val="0"/>
        </w:rPr>
        <w:t xml:space="preserve">Suppl. </w:t>
      </w:r>
      <w:hyperlink r:id="rId14">
        <w:r w:rsidDel="00000000" w:rsidR="00000000" w:rsidRPr="00000000">
          <w:rPr>
            <w:rtl w:val="0"/>
          </w:rPr>
          <w:t xml:space="preserve">Figure 1</w:t>
        </w:r>
      </w:hyperlink>
      <w:r w:rsidDel="00000000" w:rsidR="00000000" w:rsidRPr="00000000">
        <w:rPr>
          <w:rtl w:val="0"/>
        </w:rPr>
        <w:t xml:space="preserve">. UMAP representations of cell shifts of A) CD8</w:t>
      </w:r>
      <w:r w:rsidDel="00000000" w:rsidR="00000000" w:rsidRPr="00000000">
        <w:rPr>
          <w:vertAlign w:val="superscript"/>
          <w:rtl w:val="0"/>
        </w:rPr>
        <w:t xml:space="preserve">+</w:t>
      </w:r>
      <w:r w:rsidDel="00000000" w:rsidR="00000000" w:rsidRPr="00000000">
        <w:rPr>
          <w:rtl w:val="0"/>
        </w:rPr>
        <w:t xml:space="preserve"> TEM cells and B) NK cells between HC, subjects with MCI and with AD.</w:t>
      </w:r>
      <w:r w:rsidDel="00000000" w:rsidR="00000000" w:rsidRPr="00000000">
        <w:rPr>
          <w:rtl w:val="0"/>
        </w:rPr>
      </w:r>
    </w:p>
    <w:p w:rsidR="00000000" w:rsidDel="00000000" w:rsidP="00000000" w:rsidRDefault="00000000" w:rsidRPr="00000000" w14:paraId="00000040">
      <w:pPr>
        <w:spacing w:line="480" w:lineRule="auto"/>
        <w:jc w:val="both"/>
        <w:rPr/>
      </w:pPr>
      <w:r w:rsidDel="00000000" w:rsidR="00000000" w:rsidRPr="00000000">
        <w:rPr>
          <w:rtl w:val="0"/>
        </w:rPr>
      </w:r>
    </w:p>
    <w:p w:rsidR="00000000" w:rsidDel="00000000" w:rsidP="00000000" w:rsidRDefault="00000000" w:rsidRPr="00000000" w14:paraId="00000041">
      <w:pPr>
        <w:spacing w:line="480" w:lineRule="auto"/>
        <w:jc w:val="both"/>
        <w:rPr/>
      </w:pPr>
      <w:r w:rsidDel="00000000" w:rsidR="00000000" w:rsidRPr="00000000">
        <w:rPr/>
        <w:drawing>
          <wp:inline distB="114300" distT="114300" distL="114300" distR="114300">
            <wp:extent cx="4999576" cy="6652260"/>
            <wp:effectExtent b="0" l="0" r="0" t="0"/>
            <wp:docPr id="10"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999576" cy="665226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480" w:lineRule="auto"/>
        <w:jc w:val="both"/>
        <w:rPr/>
      </w:pPr>
      <w:r w:rsidDel="00000000" w:rsidR="00000000" w:rsidRPr="00000000">
        <w:rPr>
          <w:rtl w:val="0"/>
        </w:rPr>
        <w:t xml:space="preserve">Suppl. </w:t>
      </w:r>
      <w:hyperlink r:id="rId16">
        <w:r w:rsidDel="00000000" w:rsidR="00000000" w:rsidRPr="00000000">
          <w:rPr>
            <w:rtl w:val="0"/>
          </w:rPr>
          <w:t xml:space="preserve">Figure 2</w:t>
        </w:r>
      </w:hyperlink>
      <w:r w:rsidDel="00000000" w:rsidR="00000000" w:rsidRPr="00000000">
        <w:rPr>
          <w:rtl w:val="0"/>
        </w:rPr>
        <w:t xml:space="preserve">. Cell type distribution between HC, subjects with MCI and AD in the ADIS cohort of CD8</w:t>
      </w:r>
      <w:r w:rsidDel="00000000" w:rsidR="00000000" w:rsidRPr="00000000">
        <w:rPr>
          <w:vertAlign w:val="superscript"/>
          <w:rtl w:val="0"/>
        </w:rPr>
        <w:t xml:space="preserve">+</w:t>
      </w:r>
      <w:r w:rsidDel="00000000" w:rsidR="00000000" w:rsidRPr="00000000">
        <w:rPr>
          <w:rtl w:val="0"/>
        </w:rPr>
        <w:t xml:space="preserve"> T cells, CD4</w:t>
      </w:r>
      <w:r w:rsidDel="00000000" w:rsidR="00000000" w:rsidRPr="00000000">
        <w:rPr>
          <w:vertAlign w:val="superscript"/>
          <w:rtl w:val="0"/>
        </w:rPr>
        <w:t xml:space="preserve">+</w:t>
      </w:r>
      <w:r w:rsidDel="00000000" w:rsidR="00000000" w:rsidRPr="00000000">
        <w:rPr>
          <w:rtl w:val="0"/>
        </w:rPr>
        <w:t xml:space="preserve"> T cells and NK cells. Cell type frequencies were normalized by total cell count per patient. Statistical significance was tested via the Kruskal-Wallis test, p-values are indicated as “ns” are non significant.</w:t>
      </w:r>
    </w:p>
    <w:p w:rsidR="00000000" w:rsidDel="00000000" w:rsidP="00000000" w:rsidRDefault="00000000" w:rsidRPr="00000000" w14:paraId="00000043">
      <w:pPr>
        <w:spacing w:line="480" w:lineRule="auto"/>
        <w:jc w:val="both"/>
        <w:rPr/>
      </w:pPr>
      <w:r w:rsidDel="00000000" w:rsidR="00000000" w:rsidRPr="00000000">
        <w:rPr>
          <w:rtl w:val="0"/>
        </w:rPr>
      </w:r>
    </w:p>
    <w:p w:rsidR="00000000" w:rsidDel="00000000" w:rsidP="00000000" w:rsidRDefault="00000000" w:rsidRPr="00000000" w14:paraId="00000044">
      <w:pPr>
        <w:spacing w:line="480" w:lineRule="auto"/>
        <w:jc w:val="both"/>
        <w:rPr/>
      </w:pPr>
      <w:r w:rsidDel="00000000" w:rsidR="00000000" w:rsidRPr="00000000">
        <w:rPr/>
        <w:drawing>
          <wp:inline distB="114300" distT="114300" distL="114300" distR="114300">
            <wp:extent cx="5267396" cy="8224838"/>
            <wp:effectExtent b="0" l="0" r="0" t="0"/>
            <wp:docPr id="17"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5267396" cy="82248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480" w:lineRule="auto"/>
        <w:jc w:val="both"/>
        <w:rPr/>
      </w:pPr>
      <w:r w:rsidDel="00000000" w:rsidR="00000000" w:rsidRPr="00000000">
        <w:rPr>
          <w:rtl w:val="0"/>
        </w:rPr>
        <w:t xml:space="preserve">Suppl. </w:t>
      </w:r>
      <w:hyperlink r:id="rId18">
        <w:r w:rsidDel="00000000" w:rsidR="00000000" w:rsidRPr="00000000">
          <w:rPr>
            <w:rtl w:val="0"/>
          </w:rPr>
          <w:t xml:space="preserve">Figure 3</w:t>
        </w:r>
      </w:hyperlink>
      <w:r w:rsidDel="00000000" w:rsidR="00000000" w:rsidRPr="00000000">
        <w:rPr>
          <w:rtl w:val="0"/>
        </w:rPr>
        <w:t xml:space="preserve">. Enrichment maps from GSEA analysis on CD8</w:t>
      </w:r>
      <w:r w:rsidDel="00000000" w:rsidR="00000000" w:rsidRPr="00000000">
        <w:rPr>
          <w:vertAlign w:val="superscript"/>
          <w:rtl w:val="0"/>
        </w:rPr>
        <w:t xml:space="preserve">+</w:t>
      </w:r>
      <w:r w:rsidDel="00000000" w:rsidR="00000000" w:rsidRPr="00000000">
        <w:rPr>
          <w:rtl w:val="0"/>
        </w:rPr>
        <w:t xml:space="preserve"> TEM. A) Enriched GO Biological Process terms in MCI compared to HC in CD8</w:t>
      </w:r>
      <w:r w:rsidDel="00000000" w:rsidR="00000000" w:rsidRPr="00000000">
        <w:rPr>
          <w:vertAlign w:val="superscript"/>
          <w:rtl w:val="0"/>
        </w:rPr>
        <w:t xml:space="preserve">+</w:t>
      </w:r>
      <w:r w:rsidDel="00000000" w:rsidR="00000000" w:rsidRPr="00000000">
        <w:rPr>
          <w:rtl w:val="0"/>
        </w:rPr>
        <w:t xml:space="preserve"> TEM cells. B) Enriched GO Biological Process terms in AD compared to HC in CD8</w:t>
      </w:r>
      <w:r w:rsidDel="00000000" w:rsidR="00000000" w:rsidRPr="00000000">
        <w:rPr>
          <w:vertAlign w:val="superscript"/>
          <w:rtl w:val="0"/>
        </w:rPr>
        <w:t xml:space="preserve">+</w:t>
      </w:r>
      <w:r w:rsidDel="00000000" w:rsidR="00000000" w:rsidRPr="00000000">
        <w:rPr>
          <w:rtl w:val="0"/>
        </w:rPr>
        <w:t xml:space="preserve"> TEM cells. </w:t>
      </w:r>
    </w:p>
    <w:p w:rsidR="00000000" w:rsidDel="00000000" w:rsidP="00000000" w:rsidRDefault="00000000" w:rsidRPr="00000000" w14:paraId="00000046">
      <w:pPr>
        <w:spacing w:line="480" w:lineRule="auto"/>
        <w:jc w:val="both"/>
        <w:rPr/>
      </w:pPr>
      <w:r w:rsidDel="00000000" w:rsidR="00000000" w:rsidRPr="00000000">
        <w:rPr/>
        <w:drawing>
          <wp:inline distB="114300" distT="114300" distL="114300" distR="114300">
            <wp:extent cx="5731200" cy="6057900"/>
            <wp:effectExtent b="0" l="0" r="0" t="0"/>
            <wp:docPr id="16"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7312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480" w:lineRule="auto"/>
        <w:jc w:val="both"/>
        <w:rPr/>
      </w:pPr>
      <w:r w:rsidDel="00000000" w:rsidR="00000000" w:rsidRPr="00000000">
        <w:rPr>
          <w:rtl w:val="0"/>
        </w:rPr>
        <w:t xml:space="preserve">Suppl. </w:t>
      </w:r>
      <w:hyperlink r:id="rId20">
        <w:r w:rsidDel="00000000" w:rsidR="00000000" w:rsidRPr="00000000">
          <w:rPr>
            <w:rtl w:val="0"/>
          </w:rPr>
          <w:t xml:space="preserve">Figure 4</w:t>
        </w:r>
      </w:hyperlink>
      <w:r w:rsidDel="00000000" w:rsidR="00000000" w:rsidRPr="00000000">
        <w:rPr>
          <w:rtl w:val="0"/>
        </w:rPr>
        <w:t xml:space="preserve">. CD8</w:t>
      </w:r>
      <w:r w:rsidDel="00000000" w:rsidR="00000000" w:rsidRPr="00000000">
        <w:rPr>
          <w:vertAlign w:val="superscript"/>
          <w:rtl w:val="0"/>
        </w:rPr>
        <w:t xml:space="preserve">+</w:t>
      </w:r>
      <w:r w:rsidDel="00000000" w:rsidR="00000000" w:rsidRPr="00000000">
        <w:rPr>
          <w:rtl w:val="0"/>
        </w:rPr>
        <w:t xml:space="preserve"> TEM cluster cell type and DEG analysis. A) Cell counts per diagnosis of clusters of CD8</w:t>
      </w:r>
      <w:r w:rsidDel="00000000" w:rsidR="00000000" w:rsidRPr="00000000">
        <w:rPr>
          <w:vertAlign w:val="superscript"/>
          <w:rtl w:val="0"/>
        </w:rPr>
        <w:t xml:space="preserve">+</w:t>
      </w:r>
      <w:r w:rsidDel="00000000" w:rsidR="00000000" w:rsidRPr="00000000">
        <w:rPr>
          <w:rtl w:val="0"/>
        </w:rPr>
        <w:t xml:space="preserve"> TEM cells. B) UMAP of CD8</w:t>
      </w:r>
      <w:r w:rsidDel="00000000" w:rsidR="00000000" w:rsidRPr="00000000">
        <w:rPr>
          <w:vertAlign w:val="superscript"/>
          <w:rtl w:val="0"/>
        </w:rPr>
        <w:t xml:space="preserve">+</w:t>
      </w:r>
      <w:r w:rsidDel="00000000" w:rsidR="00000000" w:rsidRPr="00000000">
        <w:rPr>
          <w:rtl w:val="0"/>
        </w:rPr>
        <w:t xml:space="preserve"> TEM labeled cells in diagnostic stages HC, MCI and AD. C) UMAPs of CD8</w:t>
      </w:r>
      <w:r w:rsidDel="00000000" w:rsidR="00000000" w:rsidRPr="00000000">
        <w:rPr>
          <w:vertAlign w:val="superscript"/>
          <w:rtl w:val="0"/>
        </w:rPr>
        <w:t xml:space="preserve">+</w:t>
      </w:r>
      <w:r w:rsidDel="00000000" w:rsidR="00000000" w:rsidRPr="00000000">
        <w:rPr>
          <w:rtl w:val="0"/>
        </w:rPr>
        <w:t xml:space="preserve"> TEM labeled cells across diagnostic stages. Volcano plots of DEGs of CD8</w:t>
      </w:r>
      <w:r w:rsidDel="00000000" w:rsidR="00000000" w:rsidRPr="00000000">
        <w:rPr>
          <w:vertAlign w:val="superscript"/>
          <w:rtl w:val="0"/>
        </w:rPr>
        <w:t xml:space="preserve">+</w:t>
      </w:r>
      <w:r w:rsidDel="00000000" w:rsidR="00000000" w:rsidRPr="00000000">
        <w:rPr>
          <w:rtl w:val="0"/>
        </w:rPr>
        <w:t xml:space="preserve"> TEM cells of D) cluster 4 and E) cluster 10. </w:t>
      </w:r>
    </w:p>
    <w:p w:rsidR="00000000" w:rsidDel="00000000" w:rsidP="00000000" w:rsidRDefault="00000000" w:rsidRPr="00000000" w14:paraId="00000048">
      <w:pPr>
        <w:spacing w:line="480" w:lineRule="auto"/>
        <w:jc w:val="both"/>
        <w:rPr/>
      </w:pPr>
      <w:r w:rsidDel="00000000" w:rsidR="00000000" w:rsidRPr="00000000">
        <w:rPr>
          <w:rtl w:val="0"/>
        </w:rPr>
      </w:r>
    </w:p>
    <w:p w:rsidR="00000000" w:rsidDel="00000000" w:rsidP="00000000" w:rsidRDefault="00000000" w:rsidRPr="00000000" w14:paraId="00000049">
      <w:pPr>
        <w:spacing w:line="480" w:lineRule="auto"/>
        <w:jc w:val="both"/>
        <w:rPr/>
      </w:pPr>
      <w:r w:rsidDel="00000000" w:rsidR="00000000" w:rsidRPr="00000000">
        <w:rPr/>
        <w:drawing>
          <wp:inline distB="114300" distT="114300" distL="114300" distR="114300">
            <wp:extent cx="5272088" cy="8260910"/>
            <wp:effectExtent b="0" l="0" r="0" t="0"/>
            <wp:docPr id="8"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272088" cy="826091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480" w:lineRule="auto"/>
        <w:jc w:val="both"/>
        <w:rPr/>
      </w:pPr>
      <w:r w:rsidDel="00000000" w:rsidR="00000000" w:rsidRPr="00000000">
        <w:rPr>
          <w:rtl w:val="0"/>
        </w:rPr>
        <w:t xml:space="preserve">Suppl. </w:t>
      </w:r>
      <w:hyperlink r:id="rId22">
        <w:r w:rsidDel="00000000" w:rsidR="00000000" w:rsidRPr="00000000">
          <w:rPr>
            <w:rtl w:val="0"/>
          </w:rPr>
          <w:t xml:space="preserve">Figure 5</w:t>
        </w:r>
      </w:hyperlink>
      <w:r w:rsidDel="00000000" w:rsidR="00000000" w:rsidRPr="00000000">
        <w:rPr>
          <w:rtl w:val="0"/>
        </w:rPr>
        <w:t xml:space="preserve">. Enrichment maps from GSEA analysis on CD8</w:t>
      </w:r>
      <w:r w:rsidDel="00000000" w:rsidR="00000000" w:rsidRPr="00000000">
        <w:rPr>
          <w:vertAlign w:val="superscript"/>
          <w:rtl w:val="0"/>
        </w:rPr>
        <w:t xml:space="preserve">+</w:t>
      </w:r>
      <w:r w:rsidDel="00000000" w:rsidR="00000000" w:rsidRPr="00000000">
        <w:rPr>
          <w:rtl w:val="0"/>
        </w:rPr>
        <w:t xml:space="preserve"> TEM. A) Enriched GO Biological Process terms in MCI compared to HC in CD8</w:t>
      </w:r>
      <w:r w:rsidDel="00000000" w:rsidR="00000000" w:rsidRPr="00000000">
        <w:rPr>
          <w:vertAlign w:val="superscript"/>
          <w:rtl w:val="0"/>
        </w:rPr>
        <w:t xml:space="preserve">+</w:t>
      </w:r>
      <w:r w:rsidDel="00000000" w:rsidR="00000000" w:rsidRPr="00000000">
        <w:rPr>
          <w:rtl w:val="0"/>
        </w:rPr>
        <w:t xml:space="preserve"> TEM cluster 4. B) Enriched GO Biological Process terms in MCI compared to HC in CD8</w:t>
      </w:r>
      <w:r w:rsidDel="00000000" w:rsidR="00000000" w:rsidRPr="00000000">
        <w:rPr>
          <w:vertAlign w:val="superscript"/>
          <w:rtl w:val="0"/>
        </w:rPr>
        <w:t xml:space="preserve">+</w:t>
      </w:r>
      <w:r w:rsidDel="00000000" w:rsidR="00000000" w:rsidRPr="00000000">
        <w:rPr>
          <w:rtl w:val="0"/>
        </w:rPr>
        <w:t xml:space="preserve"> TEM cluster 10.</w:t>
      </w:r>
    </w:p>
    <w:p w:rsidR="00000000" w:rsidDel="00000000" w:rsidP="00000000" w:rsidRDefault="00000000" w:rsidRPr="00000000" w14:paraId="0000004B">
      <w:pPr>
        <w:spacing w:line="480" w:lineRule="auto"/>
        <w:jc w:val="both"/>
        <w:rPr/>
      </w:pPr>
      <w:r w:rsidDel="00000000" w:rsidR="00000000" w:rsidRPr="00000000">
        <w:rPr/>
        <w:drawing>
          <wp:inline distB="114300" distT="114300" distL="114300" distR="114300">
            <wp:extent cx="5779592" cy="6168308"/>
            <wp:effectExtent b="0" l="0" r="0" t="0"/>
            <wp:docPr id="18" name="image18.jpg"/>
            <a:graphic>
              <a:graphicData uri="http://schemas.openxmlformats.org/drawingml/2006/picture">
                <pic:pic>
                  <pic:nvPicPr>
                    <pic:cNvPr id="0" name="image18.jpg"/>
                    <pic:cNvPicPr preferRelativeResize="0"/>
                  </pic:nvPicPr>
                  <pic:blipFill>
                    <a:blip r:embed="rId23"/>
                    <a:srcRect b="0" l="6146" r="0" t="0"/>
                    <a:stretch>
                      <a:fillRect/>
                    </a:stretch>
                  </pic:blipFill>
                  <pic:spPr>
                    <a:xfrm>
                      <a:off x="0" y="0"/>
                      <a:ext cx="5779592" cy="616830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480" w:lineRule="auto"/>
        <w:jc w:val="both"/>
        <w:rPr/>
      </w:pPr>
      <w:r w:rsidDel="00000000" w:rsidR="00000000" w:rsidRPr="00000000">
        <w:rPr>
          <w:rtl w:val="0"/>
        </w:rPr>
        <w:t xml:space="preserve">Suppl. </w:t>
      </w:r>
      <w:hyperlink r:id="rId24">
        <w:r w:rsidDel="00000000" w:rsidR="00000000" w:rsidRPr="00000000">
          <w:rPr>
            <w:rtl w:val="0"/>
          </w:rPr>
          <w:t xml:space="preserve">Figure 6</w:t>
        </w:r>
      </w:hyperlink>
      <w:r w:rsidDel="00000000" w:rsidR="00000000" w:rsidRPr="00000000">
        <w:rPr>
          <w:rtl w:val="0"/>
        </w:rPr>
        <w:t xml:space="preserve">. NK cell type and DEG analysis. A) Normalized marker gene expression in NK CD56</w:t>
      </w:r>
      <w:r w:rsidDel="00000000" w:rsidR="00000000" w:rsidRPr="00000000">
        <w:rPr>
          <w:vertAlign w:val="superscript"/>
          <w:rtl w:val="0"/>
        </w:rPr>
        <w:t xml:space="preserve">bright</w:t>
      </w:r>
      <w:r w:rsidDel="00000000" w:rsidR="00000000" w:rsidRPr="00000000">
        <w:rPr>
          <w:rtl w:val="0"/>
        </w:rPr>
        <w:t xml:space="preserve"> cells. DE testing was performed with Wilcoxon Rank Sum test and adjusted for multiple testing with Benjamini-Hochberg method (</w:t>
      </w:r>
      <w:r w:rsidDel="00000000" w:rsidR="00000000" w:rsidRPr="00000000">
        <w:rPr>
          <w:i w:val="1"/>
          <w:iCs w:val="1"/>
          <w:rtl w:val="0"/>
        </w:rPr>
        <w:t xml:space="preserve">IFITM3</w:t>
      </w:r>
      <w:r w:rsidDel="00000000" w:rsidR="00000000" w:rsidRPr="00000000">
        <w:rPr>
          <w:rtl w:val="0"/>
        </w:rPr>
        <w:t xml:space="preserve">, MCI vs. HC: </w:t>
      </w:r>
      <m:oMath>
        <m:r>
          <w:rPr/>
          <m:t xml:space="preserve">p=0.002</m:t>
        </m:r>
      </m:oMath>
      <w:r w:rsidDel="00000000" w:rsidR="00000000" w:rsidRPr="00000000">
        <w:rPr>
          <w:rtl w:val="0"/>
        </w:rPr>
        <w:t xml:space="preserve">, AD vs. HC: </w:t>
      </w:r>
      <m:oMath>
        <m:r>
          <w:rPr/>
          <m:t xml:space="preserve">p=1.49</m:t>
        </m:r>
        <m:sSup>
          <m:sSupPr>
            <m:ctrlPr>
              <w:rPr/>
            </m:ctrlPr>
          </m:sSupPr>
          <m:e>
            <m:r>
              <w:rPr/>
              <m:t xml:space="preserve">e</m:t>
            </m:r>
          </m:e>
          <m:sup>
            <m:r>
              <w:rPr/>
              <m:t xml:space="preserve">-09</m:t>
            </m:r>
          </m:sup>
        </m:sSup>
      </m:oMath>
      <w:r w:rsidDel="00000000" w:rsidR="00000000" w:rsidRPr="00000000">
        <w:rPr>
          <w:rtl w:val="0"/>
        </w:rPr>
        <w:t xml:space="preserve">; </w:t>
      </w:r>
      <w:r w:rsidDel="00000000" w:rsidR="00000000" w:rsidRPr="00000000">
        <w:rPr>
          <w:i w:val="1"/>
          <w:iCs w:val="1"/>
          <w:rtl w:val="0"/>
        </w:rPr>
        <w:t xml:space="preserve">TSC22D3</w:t>
      </w:r>
      <w:r w:rsidDel="00000000" w:rsidR="00000000" w:rsidRPr="00000000">
        <w:rPr>
          <w:rtl w:val="0"/>
        </w:rPr>
        <w:t xml:space="preserve">, MCI vs. HC: </w:t>
      </w:r>
      <m:oMath>
        <m:r>
          <w:rPr/>
          <m:t xml:space="preserve">p=0.0003</m:t>
        </m:r>
      </m:oMath>
      <w:r w:rsidDel="00000000" w:rsidR="00000000" w:rsidRPr="00000000">
        <w:rPr>
          <w:rtl w:val="0"/>
        </w:rPr>
        <w:t xml:space="preserve">; </w:t>
      </w:r>
      <w:r w:rsidDel="00000000" w:rsidR="00000000" w:rsidRPr="00000000">
        <w:rPr>
          <w:i w:val="1"/>
          <w:iCs w:val="1"/>
          <w:rtl w:val="0"/>
        </w:rPr>
        <w:t xml:space="preserve">TXNIP</w:t>
      </w:r>
      <w:r w:rsidDel="00000000" w:rsidR="00000000" w:rsidRPr="00000000">
        <w:rPr>
          <w:rtl w:val="0"/>
        </w:rPr>
        <w:t xml:space="preserve">, MCI vs. HC: </w:t>
      </w:r>
      <m:oMath>
        <m:r>
          <w:rPr/>
          <m:t xml:space="preserve">p=1.27</m:t>
        </m:r>
        <m:sSup>
          <m:sSupPr>
            <m:ctrlPr>
              <w:rPr/>
            </m:ctrlPr>
          </m:sSupPr>
          <m:e>
            <m:r>
              <w:rPr/>
              <m:t xml:space="preserve">e</m:t>
            </m:r>
          </m:e>
          <m:sup>
            <m:r>
              <w:rPr/>
              <m:t xml:space="preserve">-11</m:t>
            </m:r>
          </m:sup>
        </m:sSup>
      </m:oMath>
      <w:r w:rsidDel="00000000" w:rsidR="00000000" w:rsidRPr="00000000">
        <w:rPr>
          <w:rtl w:val="0"/>
        </w:rPr>
        <w:t xml:space="preserve">, AD vs. MCI: </w:t>
      </w:r>
      <m:oMath>
        <m:r>
          <w:rPr/>
          <m:t xml:space="preserve">p=0.0003</m:t>
        </m:r>
      </m:oMath>
      <w:r w:rsidDel="00000000" w:rsidR="00000000" w:rsidRPr="00000000">
        <w:rPr>
          <w:rtl w:val="0"/>
        </w:rPr>
        <w:t xml:space="preserve">; </w:t>
      </w:r>
      <w:r w:rsidDel="00000000" w:rsidR="00000000" w:rsidRPr="00000000">
        <w:rPr>
          <w:i w:val="1"/>
          <w:iCs w:val="1"/>
          <w:rtl w:val="0"/>
        </w:rPr>
        <w:t xml:space="preserve">HLA-C</w:t>
      </w:r>
      <w:r w:rsidDel="00000000" w:rsidR="00000000" w:rsidRPr="00000000">
        <w:rPr>
          <w:rtl w:val="0"/>
        </w:rPr>
        <w:t xml:space="preserve">, MCI vs. HC: </w:t>
      </w:r>
      <m:oMath>
        <m:r>
          <w:rPr/>
          <m:t xml:space="preserve">p=3.18</m:t>
        </m:r>
        <m:sSup>
          <m:sSupPr>
            <m:ctrlPr>
              <w:rPr/>
            </m:ctrlPr>
          </m:sSupPr>
          <m:e>
            <m:r>
              <w:rPr/>
              <m:t xml:space="preserve">e</m:t>
            </m:r>
          </m:e>
          <m:sup>
            <m:r>
              <w:rPr/>
              <m:t xml:space="preserve">-30</m:t>
            </m:r>
          </m:sup>
        </m:sSup>
      </m:oMath>
      <w:r w:rsidDel="00000000" w:rsidR="00000000" w:rsidRPr="00000000">
        <w:rPr>
          <w:rtl w:val="0"/>
        </w:rPr>
        <w:t xml:space="preserve">, AD vs. HC: </w:t>
      </w:r>
      <m:oMath>
        <m:r>
          <w:rPr/>
          <m:t xml:space="preserve">p=2.05</m:t>
        </m:r>
        <m:sSup>
          <m:sSupPr>
            <m:ctrlPr>
              <w:rPr/>
            </m:ctrlPr>
          </m:sSupPr>
          <m:e>
            <m:r>
              <w:rPr/>
              <m:t xml:space="preserve">e</m:t>
            </m:r>
          </m:e>
          <m:sup>
            <m:r>
              <w:rPr/>
              <m:t xml:space="preserve">-12</m:t>
            </m:r>
          </m:sup>
        </m:sSup>
      </m:oMath>
      <w:r w:rsidDel="00000000" w:rsidR="00000000" w:rsidRPr="00000000">
        <w:rPr>
          <w:rtl w:val="0"/>
        </w:rPr>
        <w:t xml:space="preserve">). B) Cell counts per diagnostic stage in NK cell clusters. C) UMAP of NK cells with diagnosis labels. D) UMAP of NK labeled cells in diagnostic stages HC, MCI and AD. E) Expression of NK cytotoxicity signature genes from Chen et al. in NK cell clusters </w:t>
      </w:r>
      <w:hyperlink r:id="rId25">
        <w:r w:rsidDel="00000000" w:rsidR="00000000" w:rsidRPr="00000000">
          <w:rPr>
            <w:vertAlign w:val="superscript"/>
            <w:rtl w:val="0"/>
          </w:rPr>
          <w:t xml:space="preserve">74</w:t>
        </w:r>
      </w:hyperlink>
      <w:r w:rsidDel="00000000" w:rsidR="00000000" w:rsidRPr="00000000">
        <w:rPr>
          <w:rtl w:val="0"/>
        </w:rPr>
        <w:t xml:space="preserve">.</w:t>
      </w:r>
    </w:p>
    <w:p w:rsidR="00000000" w:rsidDel="00000000" w:rsidP="00000000" w:rsidRDefault="00000000" w:rsidRPr="00000000" w14:paraId="0000004D">
      <w:pPr>
        <w:spacing w:line="480" w:lineRule="auto"/>
        <w:jc w:val="both"/>
        <w:rPr/>
      </w:pPr>
      <w:r w:rsidDel="00000000" w:rsidR="00000000" w:rsidRPr="00000000">
        <w:rPr>
          <w:rtl w:val="0"/>
        </w:rPr>
      </w:r>
    </w:p>
    <w:p w:rsidR="00000000" w:rsidDel="00000000" w:rsidP="00000000" w:rsidRDefault="00000000" w:rsidRPr="00000000" w14:paraId="0000004E">
      <w:pPr>
        <w:spacing w:line="480" w:lineRule="auto"/>
        <w:jc w:val="both"/>
        <w:rPr/>
      </w:pPr>
      <w:r w:rsidDel="00000000" w:rsidR="00000000" w:rsidRPr="00000000">
        <w:rPr/>
        <w:drawing>
          <wp:inline distB="114300" distT="114300" distL="114300" distR="114300">
            <wp:extent cx="5731200" cy="4140200"/>
            <wp:effectExtent b="0" l="0" r="0" t="0"/>
            <wp:docPr id="11"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480" w:lineRule="auto"/>
        <w:jc w:val="both"/>
        <w:rPr/>
      </w:pPr>
      <w:r w:rsidDel="00000000" w:rsidR="00000000" w:rsidRPr="00000000">
        <w:rPr>
          <w:rtl w:val="0"/>
        </w:rPr>
        <w:t xml:space="preserve">Suppl. </w:t>
      </w:r>
      <w:hyperlink r:id="rId27">
        <w:r w:rsidDel="00000000" w:rsidR="00000000" w:rsidRPr="00000000">
          <w:rPr>
            <w:rtl w:val="0"/>
          </w:rPr>
          <w:t xml:space="preserve">Figure 7</w:t>
        </w:r>
      </w:hyperlink>
      <w:r w:rsidDel="00000000" w:rsidR="00000000" w:rsidRPr="00000000">
        <w:rPr>
          <w:rtl w:val="0"/>
        </w:rPr>
        <w:t xml:space="preserve">. Enrichment map from GSEA analysis on GO Biological Processes in NK CD56</w:t>
      </w:r>
      <w:r w:rsidDel="00000000" w:rsidR="00000000" w:rsidRPr="00000000">
        <w:rPr>
          <w:vertAlign w:val="superscript"/>
          <w:rtl w:val="0"/>
        </w:rPr>
        <w:t xml:space="preserve">bright</w:t>
      </w:r>
      <w:r w:rsidDel="00000000" w:rsidR="00000000" w:rsidRPr="00000000">
        <w:rPr>
          <w:rtl w:val="0"/>
        </w:rPr>
        <w:t xml:space="preserve"> cells. </w:t>
      </w:r>
    </w:p>
    <w:p w:rsidR="00000000" w:rsidDel="00000000" w:rsidP="00000000" w:rsidRDefault="00000000" w:rsidRPr="00000000" w14:paraId="00000050">
      <w:pPr>
        <w:spacing w:line="480" w:lineRule="auto"/>
        <w:jc w:val="both"/>
        <w:rPr/>
      </w:pPr>
      <w:r w:rsidDel="00000000" w:rsidR="00000000" w:rsidRPr="00000000">
        <w:rPr>
          <w:rtl w:val="0"/>
        </w:rPr>
      </w:r>
    </w:p>
    <w:p w:rsidR="00000000" w:rsidDel="00000000" w:rsidP="00000000" w:rsidRDefault="00000000" w:rsidRPr="00000000" w14:paraId="00000051">
      <w:pPr>
        <w:spacing w:line="480" w:lineRule="auto"/>
        <w:jc w:val="both"/>
        <w:rPr/>
      </w:pPr>
      <w:r w:rsidDel="00000000" w:rsidR="00000000" w:rsidRPr="00000000">
        <w:rPr/>
        <w:drawing>
          <wp:inline distB="114300" distT="114300" distL="114300" distR="114300">
            <wp:extent cx="5731200" cy="6680200"/>
            <wp:effectExtent b="0" l="0" r="0" t="0"/>
            <wp:docPr id="12"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5731200" cy="6680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480" w:lineRule="auto"/>
        <w:jc w:val="both"/>
        <w:rPr/>
      </w:pPr>
      <w:r w:rsidDel="00000000" w:rsidR="00000000" w:rsidRPr="00000000">
        <w:rPr>
          <w:rtl w:val="0"/>
        </w:rPr>
        <w:t xml:space="preserve">Suppl. </w:t>
      </w:r>
      <w:hyperlink r:id="rId29">
        <w:r w:rsidDel="00000000" w:rsidR="00000000" w:rsidRPr="00000000">
          <w:rPr>
            <w:rtl w:val="0"/>
          </w:rPr>
          <w:t xml:space="preserve">Figure 8</w:t>
        </w:r>
      </w:hyperlink>
      <w:r w:rsidDel="00000000" w:rsidR="00000000" w:rsidRPr="00000000">
        <w:rPr>
          <w:rtl w:val="0"/>
        </w:rPr>
        <w:t xml:space="preserve">. Enrichment maps from GSEA analysis on NK cells. Enriched GO Biological Process terms in NK cells in A) MCI compared to HC and B) AD compared to HC.</w:t>
      </w:r>
    </w:p>
    <w:p w:rsidR="00000000" w:rsidDel="00000000" w:rsidP="00000000" w:rsidRDefault="00000000" w:rsidRPr="00000000" w14:paraId="00000053">
      <w:pPr>
        <w:spacing w:line="480" w:lineRule="auto"/>
        <w:jc w:val="both"/>
        <w:rPr/>
      </w:pPr>
      <w:r w:rsidDel="00000000" w:rsidR="00000000" w:rsidRPr="00000000">
        <w:rPr/>
        <w:drawing>
          <wp:inline distB="114300" distT="114300" distL="114300" distR="114300">
            <wp:extent cx="4513242" cy="8061960"/>
            <wp:effectExtent b="0" l="0" r="0" t="0"/>
            <wp:docPr id="9"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4513242" cy="806196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480" w:lineRule="auto"/>
        <w:jc w:val="both"/>
        <w:rPr/>
      </w:pPr>
      <w:r w:rsidDel="00000000" w:rsidR="00000000" w:rsidRPr="00000000">
        <w:rPr>
          <w:rtl w:val="0"/>
        </w:rPr>
        <w:t xml:space="preserve">Suppl. </w:t>
      </w:r>
      <w:hyperlink r:id="rId31">
        <w:r w:rsidDel="00000000" w:rsidR="00000000" w:rsidRPr="00000000">
          <w:rPr>
            <w:rtl w:val="0"/>
          </w:rPr>
          <w:t xml:space="preserve">Figure 9</w:t>
        </w:r>
      </w:hyperlink>
      <w:r w:rsidDel="00000000" w:rsidR="00000000" w:rsidRPr="00000000">
        <w:rPr>
          <w:rtl w:val="0"/>
        </w:rPr>
        <w:t xml:space="preserve">. Enrichment maps from GSEA analysis on NK cells. Enriched GO KEGG pathways in MCI compared to HC in NK A) cluster 4 and B) cluster 10.</w:t>
      </w:r>
    </w:p>
    <w:p w:rsidR="00000000" w:rsidDel="00000000" w:rsidP="00000000" w:rsidRDefault="00000000" w:rsidRPr="00000000" w14:paraId="00000055">
      <w:pPr>
        <w:spacing w:line="480" w:lineRule="auto"/>
        <w:jc w:val="both"/>
        <w:rPr/>
      </w:pPr>
      <w:r w:rsidDel="00000000" w:rsidR="00000000" w:rsidRPr="00000000">
        <w:rPr/>
        <w:drawing>
          <wp:inline distB="114300" distT="114300" distL="114300" distR="114300">
            <wp:extent cx="5731200" cy="3213100"/>
            <wp:effectExtent b="0" l="0" r="0" t="0"/>
            <wp:docPr id="3" name="image9.jpg"/>
            <a:graphic>
              <a:graphicData uri="http://schemas.openxmlformats.org/drawingml/2006/picture">
                <pic:pic>
                  <pic:nvPicPr>
                    <pic:cNvPr id="0" name="image9.jpg"/>
                    <pic:cNvPicPr preferRelativeResize="0"/>
                  </pic:nvPicPr>
                  <pic:blipFill>
                    <a:blip r:embed="rId32"/>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480" w:lineRule="auto"/>
        <w:jc w:val="both"/>
        <w:rPr/>
      </w:pPr>
      <w:r w:rsidDel="00000000" w:rsidR="00000000" w:rsidRPr="00000000">
        <w:rPr>
          <w:rtl w:val="0"/>
        </w:rPr>
        <w:t xml:space="preserve">Suppl. </w:t>
      </w:r>
      <w:hyperlink r:id="rId33">
        <w:r w:rsidDel="00000000" w:rsidR="00000000" w:rsidRPr="00000000">
          <w:rPr>
            <w:rtl w:val="0"/>
          </w:rPr>
          <w:t xml:space="preserve">Figure 10</w:t>
        </w:r>
      </w:hyperlink>
      <w:r w:rsidDel="00000000" w:rsidR="00000000" w:rsidRPr="00000000">
        <w:rPr>
          <w:rtl w:val="0"/>
        </w:rPr>
        <w:t xml:space="preserve">. scTCR analysis of the TRA chain. A) Occupied repertoire space of top clones per diagnostic group. B) Relative abundance of clonotypes of clonal sizes per diagnostic group; sizes “Rare” = 0 - 1e-04, “Small” = 1e-4 - 0.001, “Medium” = 0.001 - 0.01, “Large” = 0.01 - 0.1, ”Hyperexpanded” = 0.1 - 1. C) Distribution of CDR3 amino acid sequence length per diagnostic group. D-E) Violinplot of diversity metrics per diagnostic group of the amino acid (aa) sequence, Inverse Simpson (left) (MCI vs. HC: </w:t>
      </w:r>
      <m:oMath>
        <m:r>
          <w:rPr/>
          <m:t xml:space="preserve">H(2, N=50)=7.01, p=0.008</m:t>
        </m:r>
      </m:oMath>
      <w:r w:rsidDel="00000000" w:rsidR="00000000" w:rsidRPr="00000000">
        <w:rPr>
          <w:rtl w:val="0"/>
        </w:rPr>
        <w:t xml:space="preserve">; AD vs. MCI: </w:t>
      </w:r>
      <m:oMath>
        <m:r>
          <w:rPr/>
          <m:t xml:space="preserve">H(2, N=50)= 8.41, p=0.003</m:t>
        </m:r>
      </m:oMath>
      <w:r w:rsidDel="00000000" w:rsidR="00000000" w:rsidRPr="00000000">
        <w:rPr>
          <w:rtl w:val="0"/>
        </w:rPr>
        <w:t xml:space="preserve">) and Normalized Entropy (right) (MCI vs. HC: </w:t>
      </w:r>
      <m:oMath>
        <m:r>
          <w:rPr/>
          <m:t xml:space="preserve">H(2, N=50)=7.33, p=0.007</m:t>
        </m:r>
      </m:oMath>
      <w:r w:rsidDel="00000000" w:rsidR="00000000" w:rsidRPr="00000000">
        <w:rPr>
          <w:rtl w:val="0"/>
        </w:rPr>
        <w:t xml:space="preserve">; AD vs. MCI: </w:t>
      </w:r>
      <m:oMath>
        <m:r>
          <w:rPr/>
          <m:t xml:space="preserve">H(2, N=50)=10.82, p=0.001</m:t>
        </m:r>
      </m:oMath>
      <w:r w:rsidDel="00000000" w:rsidR="00000000" w:rsidRPr="00000000">
        <w:rPr>
          <w:rtl w:val="0"/>
        </w:rPr>
        <w:t xml:space="preserve">). Significance testing was performed via t-test, Welch’s test or Kruskal-Wallis test for parametric or non-parametric data and multiple testing correction was performed via Bonferroni-Holm’s method.</w:t>
      </w:r>
    </w:p>
    <w:p w:rsidR="00000000" w:rsidDel="00000000" w:rsidP="00000000" w:rsidRDefault="00000000" w:rsidRPr="00000000" w14:paraId="00000057">
      <w:pPr>
        <w:spacing w:line="480" w:lineRule="auto"/>
        <w:jc w:val="both"/>
        <w:rPr/>
      </w:pPr>
      <w:r w:rsidDel="00000000" w:rsidR="00000000" w:rsidRPr="00000000">
        <w:rPr>
          <w:rtl w:val="0"/>
        </w:rPr>
      </w:r>
    </w:p>
    <w:p w:rsidR="00000000" w:rsidDel="00000000" w:rsidP="00000000" w:rsidRDefault="00000000" w:rsidRPr="00000000" w14:paraId="00000058">
      <w:pPr>
        <w:spacing w:line="480" w:lineRule="auto"/>
        <w:jc w:val="both"/>
        <w:rPr/>
      </w:pPr>
      <w:r w:rsidDel="00000000" w:rsidR="00000000" w:rsidRPr="00000000">
        <w:rPr/>
        <w:drawing>
          <wp:inline distB="114300" distT="114300" distL="114300" distR="114300">
            <wp:extent cx="5731200" cy="6426200"/>
            <wp:effectExtent b="0" l="0" r="0" t="0"/>
            <wp:docPr id="19"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5731200" cy="6426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480" w:lineRule="auto"/>
        <w:jc w:val="both"/>
        <w:rPr/>
      </w:pPr>
      <w:r w:rsidDel="00000000" w:rsidR="00000000" w:rsidRPr="00000000">
        <w:rPr>
          <w:rtl w:val="0"/>
        </w:rPr>
        <w:t xml:space="preserve">Suppl. </w:t>
      </w:r>
      <w:hyperlink r:id="rId35">
        <w:r w:rsidDel="00000000" w:rsidR="00000000" w:rsidRPr="00000000">
          <w:rPr>
            <w:rtl w:val="0"/>
          </w:rPr>
          <w:t xml:space="preserve">Figure 11</w:t>
        </w:r>
      </w:hyperlink>
      <w:r w:rsidDel="00000000" w:rsidR="00000000" w:rsidRPr="00000000">
        <w:rPr>
          <w:rtl w:val="0"/>
        </w:rPr>
        <w:t xml:space="preserve">. scTCR analysis of the TRA chain. A) Amino acid contributions to CDR3 sequences per diagnostic group. B) Heatmap of paired VJ gene usage per diagnostic group. C)-D) Heatmap of TRA kmer usage, with k=4 (left) and k=6 (right). E) Atchley factors for amino acid positions per diagnostic group.</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jc w:val="both"/>
        <w:rPr/>
      </w:pPr>
      <w:r w:rsidDel="00000000" w:rsidR="00000000" w:rsidRPr="00000000">
        <w:rPr>
          <w:rtl w:val="0"/>
        </w:rPr>
      </w:r>
    </w:p>
    <w:p w:rsidR="00000000" w:rsidDel="00000000" w:rsidP="00000000" w:rsidRDefault="00000000" w:rsidRPr="00000000" w14:paraId="0000005B">
      <w:pPr>
        <w:spacing w:line="480" w:lineRule="auto"/>
        <w:jc w:val="both"/>
        <w:rPr/>
      </w:pPr>
      <w:r w:rsidDel="00000000" w:rsidR="00000000" w:rsidRPr="00000000">
        <w:rPr>
          <w:rtl w:val="0"/>
        </w:rPr>
      </w:r>
    </w:p>
    <w:p w:rsidR="00000000" w:rsidDel="00000000" w:rsidP="00000000" w:rsidRDefault="00000000" w:rsidRPr="00000000" w14:paraId="0000005C">
      <w:pPr>
        <w:spacing w:line="480" w:lineRule="auto"/>
        <w:jc w:val="both"/>
        <w:rPr/>
      </w:pPr>
      <w:r w:rsidDel="00000000" w:rsidR="00000000" w:rsidRPr="00000000">
        <w:rPr/>
        <w:drawing>
          <wp:inline distB="114300" distT="114300" distL="114300" distR="114300">
            <wp:extent cx="5731200" cy="6731000"/>
            <wp:effectExtent b="0" l="0" r="0" t="0"/>
            <wp:docPr id="15"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731200" cy="6731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480" w:lineRule="auto"/>
        <w:jc w:val="both"/>
        <w:rPr/>
      </w:pPr>
      <w:r w:rsidDel="00000000" w:rsidR="00000000" w:rsidRPr="00000000">
        <w:rPr>
          <w:rtl w:val="0"/>
        </w:rPr>
        <w:t xml:space="preserve">Suppl. </w:t>
      </w:r>
      <w:hyperlink r:id="rId37">
        <w:r w:rsidDel="00000000" w:rsidR="00000000" w:rsidRPr="00000000">
          <w:rPr>
            <w:rtl w:val="0"/>
          </w:rPr>
          <w:t xml:space="preserve">Figure 12</w:t>
        </w:r>
      </w:hyperlink>
      <w:r w:rsidDel="00000000" w:rsidR="00000000" w:rsidRPr="00000000">
        <w:rPr>
          <w:rtl w:val="0"/>
        </w:rPr>
        <w:t xml:space="preserve">. scTCR-seq analysis of the TRB and TRA chain. Heatmap of TRB A) J gene and B) V gene usage per diagnostic group. C) Amino acid contributions to the CDR3 sequence per diagnostic group. D) Heatmap of kmer usage (k=6) of amino acids per diagnostic group. E) Positional properties per amino acid positions of TRA Atchley factors per diagnostic group.</w:t>
      </w:r>
    </w:p>
    <w:p w:rsidR="00000000" w:rsidDel="00000000" w:rsidP="00000000" w:rsidRDefault="00000000" w:rsidRPr="00000000" w14:paraId="0000005E">
      <w:pPr>
        <w:spacing w:line="480" w:lineRule="auto"/>
        <w:jc w:val="both"/>
        <w:rPr/>
      </w:pPr>
      <w:r w:rsidDel="00000000" w:rsidR="00000000" w:rsidRPr="00000000">
        <w:rPr>
          <w:rtl w:val="0"/>
        </w:rPr>
      </w:r>
    </w:p>
    <w:p w:rsidR="00000000" w:rsidDel="00000000" w:rsidP="00000000" w:rsidRDefault="00000000" w:rsidRPr="00000000" w14:paraId="0000005F">
      <w:pPr>
        <w:spacing w:line="480" w:lineRule="auto"/>
        <w:jc w:val="both"/>
        <w:rPr/>
      </w:pPr>
      <w:r w:rsidDel="00000000" w:rsidR="00000000" w:rsidRPr="00000000">
        <w:rPr>
          <w:rtl w:val="0"/>
        </w:rPr>
      </w:r>
    </w:p>
    <w:p w:rsidR="00000000" w:rsidDel="00000000" w:rsidP="00000000" w:rsidRDefault="00000000" w:rsidRPr="00000000" w14:paraId="00000060">
      <w:pPr>
        <w:spacing w:line="480" w:lineRule="auto"/>
        <w:jc w:val="both"/>
        <w:rPr/>
      </w:pPr>
      <w:r w:rsidDel="00000000" w:rsidR="00000000" w:rsidRPr="00000000">
        <w:rPr/>
        <w:drawing>
          <wp:inline distB="114300" distT="114300" distL="114300" distR="114300">
            <wp:extent cx="5731200" cy="4356100"/>
            <wp:effectExtent b="0" l="0" r="0" t="0"/>
            <wp:docPr id="1" name="image15.jpg"/>
            <a:graphic>
              <a:graphicData uri="http://schemas.openxmlformats.org/drawingml/2006/picture">
                <pic:pic>
                  <pic:nvPicPr>
                    <pic:cNvPr id="0" name="image15.jpg"/>
                    <pic:cNvPicPr preferRelativeResize="0"/>
                  </pic:nvPicPr>
                  <pic:blipFill>
                    <a:blip r:embed="rId38"/>
                    <a:srcRect b="0" l="0" r="0" t="0"/>
                    <a:stretch>
                      <a:fillRect/>
                    </a:stretch>
                  </pic:blipFill>
                  <pic:spPr>
                    <a:xfrm>
                      <a:off x="0" y="0"/>
                      <a:ext cx="57312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480" w:lineRule="auto"/>
        <w:jc w:val="both"/>
        <w:rPr/>
      </w:pPr>
      <w:r w:rsidDel="00000000" w:rsidR="00000000" w:rsidRPr="00000000">
        <w:rPr>
          <w:rtl w:val="0"/>
        </w:rPr>
        <w:t xml:space="preserve">Suppl. </w:t>
      </w:r>
      <w:hyperlink r:id="rId39">
        <w:r w:rsidDel="00000000" w:rsidR="00000000" w:rsidRPr="00000000">
          <w:rPr>
            <w:rtl w:val="0"/>
          </w:rPr>
          <w:t xml:space="preserve">Figure 13</w:t>
        </w:r>
      </w:hyperlink>
      <w:r w:rsidDel="00000000" w:rsidR="00000000" w:rsidRPr="00000000">
        <w:rPr>
          <w:rtl w:val="0"/>
        </w:rPr>
        <w:t xml:space="preserve">. scTCR-seq analysis on cluster level. A) UMAPs of CD8</w:t>
      </w:r>
      <w:r w:rsidDel="00000000" w:rsidR="00000000" w:rsidRPr="00000000">
        <w:rPr>
          <w:vertAlign w:val="superscript"/>
          <w:rtl w:val="0"/>
        </w:rPr>
        <w:t xml:space="preserve">+</w:t>
      </w:r>
      <w:r w:rsidDel="00000000" w:rsidR="00000000" w:rsidRPr="00000000">
        <w:rPr>
          <w:rtl w:val="0"/>
        </w:rPr>
        <w:t xml:space="preserve"> TEM colored by cluster identity with overlay of clonal frequency distribution. B) Chord diagram of shared unique clones across clusters displaying interconnectivity of clusters. C) UMAP visualization of network interaction of clones shared between cluster 4 and other clusters.</w:t>
      </w:r>
    </w:p>
    <w:p w:rsidR="00000000" w:rsidDel="00000000" w:rsidP="00000000" w:rsidRDefault="00000000" w:rsidRPr="00000000" w14:paraId="00000062">
      <w:pPr>
        <w:spacing w:line="480" w:lineRule="auto"/>
        <w:jc w:val="both"/>
        <w:rPr/>
      </w:pPr>
      <w:r w:rsidDel="00000000" w:rsidR="00000000" w:rsidRPr="00000000">
        <w:rPr>
          <w:rtl w:val="0"/>
        </w:rPr>
      </w:r>
    </w:p>
    <w:p w:rsidR="00000000" w:rsidDel="00000000" w:rsidP="00000000" w:rsidRDefault="00000000" w:rsidRPr="00000000" w14:paraId="00000063">
      <w:pPr>
        <w:spacing w:line="480" w:lineRule="auto"/>
        <w:jc w:val="both"/>
        <w:rPr/>
      </w:pPr>
      <w:r w:rsidDel="00000000" w:rsidR="00000000" w:rsidRPr="00000000">
        <w:rPr>
          <w:rtl w:val="0"/>
        </w:rPr>
      </w:r>
    </w:p>
    <w:p w:rsidR="00000000" w:rsidDel="00000000" w:rsidP="00000000" w:rsidRDefault="00000000" w:rsidRPr="00000000" w14:paraId="00000064">
      <w:pPr>
        <w:spacing w:line="480" w:lineRule="auto"/>
        <w:jc w:val="both"/>
        <w:rPr/>
      </w:pPr>
      <w:r w:rsidDel="00000000" w:rsidR="00000000" w:rsidRPr="00000000">
        <w:rPr/>
        <w:drawing>
          <wp:inline distB="114300" distT="114300" distL="114300" distR="114300">
            <wp:extent cx="5731200" cy="4076700"/>
            <wp:effectExtent b="0" l="0" r="0" t="0"/>
            <wp:docPr id="4"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480" w:lineRule="auto"/>
        <w:jc w:val="both"/>
        <w:rPr/>
      </w:pPr>
      <w:r w:rsidDel="00000000" w:rsidR="00000000" w:rsidRPr="00000000">
        <w:rPr>
          <w:rtl w:val="0"/>
        </w:rPr>
        <w:t xml:space="preserve">Suppl </w:t>
      </w:r>
      <w:hyperlink r:id="rId41">
        <w:r w:rsidDel="00000000" w:rsidR="00000000" w:rsidRPr="00000000">
          <w:rPr>
            <w:rtl w:val="0"/>
          </w:rPr>
          <w:t xml:space="preserve">Figure 14</w:t>
        </w:r>
      </w:hyperlink>
      <w:r w:rsidDel="00000000" w:rsidR="00000000" w:rsidRPr="00000000">
        <w:rPr>
          <w:rtl w:val="0"/>
        </w:rPr>
        <w:t xml:space="preserve">. scTCR-seq analysis on cluster level. A) Percentage of unique clones in cluster 4 diagnostic groups. B) Relative abundance of clonotypes of clonal sizes in cluster 4 per diagnostic group; sizes “Rare” = 0 - 1e-04, “Small” = 1e-4 - 0.001, “Medium” = 0.001 - 0.01, “Large” = 0.01 - 0.1, ”Hyperexpanded” = 0.1 - 1. C) Heatmap of TRB amino acid kmer (k=4) usage in cluster 4. D) Heatmap of paired VJ gene usage in cluster 4 per diagnostic group.</w:t>
      </w:r>
    </w:p>
    <w:p w:rsidR="00000000" w:rsidDel="00000000" w:rsidP="00000000" w:rsidRDefault="00000000" w:rsidRPr="00000000" w14:paraId="00000066">
      <w:pPr>
        <w:spacing w:line="480" w:lineRule="auto"/>
        <w:jc w:val="both"/>
        <w:rPr/>
      </w:pPr>
      <w:r w:rsidDel="00000000" w:rsidR="00000000" w:rsidRPr="00000000">
        <w:rPr>
          <w:rtl w:val="0"/>
        </w:rPr>
      </w:r>
    </w:p>
    <w:p w:rsidR="00000000" w:rsidDel="00000000" w:rsidP="00000000" w:rsidRDefault="00000000" w:rsidRPr="00000000" w14:paraId="00000067">
      <w:pPr>
        <w:spacing w:line="480" w:lineRule="auto"/>
        <w:jc w:val="both"/>
        <w:rPr/>
      </w:pPr>
      <w:r w:rsidDel="00000000" w:rsidR="00000000" w:rsidRPr="00000000">
        <w:rPr>
          <w:rtl w:val="0"/>
        </w:rPr>
      </w:r>
    </w:p>
    <w:p w:rsidR="00000000" w:rsidDel="00000000" w:rsidP="00000000" w:rsidRDefault="00000000" w:rsidRPr="00000000" w14:paraId="00000068">
      <w:pPr>
        <w:spacing w:line="480" w:lineRule="auto"/>
        <w:jc w:val="both"/>
        <w:rPr/>
      </w:pPr>
      <w:r w:rsidDel="00000000" w:rsidR="00000000" w:rsidRPr="00000000">
        <w:rPr/>
        <w:drawing>
          <wp:inline distB="114300" distT="114300" distL="114300" distR="114300">
            <wp:extent cx="5731200" cy="2832100"/>
            <wp:effectExtent b="0" l="0" r="0" t="0"/>
            <wp:docPr id="5" name="image3.jpg"/>
            <a:graphic>
              <a:graphicData uri="http://schemas.openxmlformats.org/drawingml/2006/picture">
                <pic:pic>
                  <pic:nvPicPr>
                    <pic:cNvPr id="0" name="image3.jpg"/>
                    <pic:cNvPicPr preferRelativeResize="0"/>
                  </pic:nvPicPr>
                  <pic:blipFill>
                    <a:blip r:embed="rId42"/>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480" w:lineRule="auto"/>
        <w:jc w:val="both"/>
        <w:rPr/>
      </w:pPr>
      <w:r w:rsidDel="00000000" w:rsidR="00000000" w:rsidRPr="00000000">
        <w:rPr>
          <w:rtl w:val="0"/>
        </w:rPr>
        <w:t xml:space="preserve">Suppl </w:t>
      </w:r>
      <w:hyperlink r:id="rId43">
        <w:r w:rsidDel="00000000" w:rsidR="00000000" w:rsidRPr="00000000">
          <w:rPr>
            <w:rtl w:val="0"/>
          </w:rPr>
          <w:t xml:space="preserve">Figure 15</w:t>
        </w:r>
      </w:hyperlink>
      <w:r w:rsidDel="00000000" w:rsidR="00000000" w:rsidRPr="00000000">
        <w:rPr>
          <w:rtl w:val="0"/>
        </w:rPr>
        <w:t xml:space="preserve">. Directed acyclic graph learning of ADIS cohort module data based on cognitive assessments, CSF cytokine measurements, scRNA-seq low-dimensional representations of immune system pathways, descriptive scTCR-seq metrics, demographics and ApoE genotype, MRI, and sleep questionnaires. Shown is the averaged edge stability and edge strength over 100 bootstrap resamples. Immune system pathway scRNA-seq representations were computed for CD8</w:t>
      </w:r>
      <w:r w:rsidDel="00000000" w:rsidR="00000000" w:rsidRPr="00000000">
        <w:rPr>
          <w:vertAlign w:val="superscript"/>
          <w:rtl w:val="0"/>
        </w:rPr>
        <w:t xml:space="preserve">+</w:t>
      </w:r>
      <w:r w:rsidDel="00000000" w:rsidR="00000000" w:rsidRPr="00000000">
        <w:rPr>
          <w:rtl w:val="0"/>
        </w:rPr>
        <w:t xml:space="preserve"> TEM cells.</w:t>
      </w:r>
    </w:p>
    <w:p w:rsidR="00000000" w:rsidDel="00000000" w:rsidP="00000000" w:rsidRDefault="00000000" w:rsidRPr="00000000" w14:paraId="0000006A">
      <w:pPr>
        <w:spacing w:line="480" w:lineRule="auto"/>
        <w:jc w:val="both"/>
        <w:rPr/>
      </w:pPr>
      <w:r w:rsidDel="00000000" w:rsidR="00000000" w:rsidRPr="00000000">
        <w:rPr>
          <w:rtl w:val="0"/>
        </w:rPr>
      </w:r>
    </w:p>
    <w:p w:rsidR="00000000" w:rsidDel="00000000" w:rsidP="00000000" w:rsidRDefault="00000000" w:rsidRPr="00000000" w14:paraId="0000006B">
      <w:pPr>
        <w:spacing w:line="480" w:lineRule="auto"/>
        <w:jc w:val="both"/>
        <w:rPr/>
      </w:pPr>
      <w:r w:rsidDel="00000000" w:rsidR="00000000" w:rsidRPr="00000000">
        <w:rPr>
          <w:rtl w:val="0"/>
        </w:rPr>
      </w:r>
    </w:p>
    <w:p w:rsidR="00000000" w:rsidDel="00000000" w:rsidP="00000000" w:rsidRDefault="00000000" w:rsidRPr="00000000" w14:paraId="0000006C">
      <w:pPr>
        <w:spacing w:line="480" w:lineRule="auto"/>
        <w:jc w:val="both"/>
        <w:rPr/>
      </w:pPr>
      <w:r w:rsidDel="00000000" w:rsidR="00000000" w:rsidRPr="00000000">
        <w:rPr>
          <w:rtl w:val="0"/>
        </w:rPr>
      </w:r>
    </w:p>
    <w:p w:rsidR="00000000" w:rsidDel="00000000" w:rsidP="00000000" w:rsidRDefault="00000000" w:rsidRPr="00000000" w14:paraId="0000006D">
      <w:pPr>
        <w:spacing w:line="480" w:lineRule="auto"/>
        <w:jc w:val="both"/>
        <w:rPr/>
      </w:pPr>
      <w:r w:rsidDel="00000000" w:rsidR="00000000" w:rsidRPr="00000000">
        <w:rPr>
          <w:rtl w:val="0"/>
        </w:rPr>
      </w:r>
    </w:p>
    <w:p w:rsidR="00000000" w:rsidDel="00000000" w:rsidP="00000000" w:rsidRDefault="00000000" w:rsidRPr="00000000" w14:paraId="0000006E">
      <w:pPr>
        <w:spacing w:line="480" w:lineRule="auto"/>
        <w:jc w:val="both"/>
        <w:rPr/>
      </w:pPr>
      <w:r w:rsidDel="00000000" w:rsidR="00000000" w:rsidRPr="00000000">
        <w:rPr/>
        <w:drawing>
          <wp:inline distB="114300" distT="114300" distL="114300" distR="114300">
            <wp:extent cx="5293995" cy="5975797"/>
            <wp:effectExtent b="0" l="0" r="0" t="0"/>
            <wp:docPr id="2" name="image14.jpg"/>
            <a:graphic>
              <a:graphicData uri="http://schemas.openxmlformats.org/drawingml/2006/picture">
                <pic:pic>
                  <pic:nvPicPr>
                    <pic:cNvPr id="0" name="image14.jpg"/>
                    <pic:cNvPicPr preferRelativeResize="0"/>
                  </pic:nvPicPr>
                  <pic:blipFill>
                    <a:blip r:embed="rId44"/>
                    <a:srcRect b="0" l="6539" r="27807" t="0"/>
                    <a:stretch>
                      <a:fillRect/>
                    </a:stretch>
                  </pic:blipFill>
                  <pic:spPr>
                    <a:xfrm>
                      <a:off x="0" y="0"/>
                      <a:ext cx="5293995" cy="597579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480" w:lineRule="auto"/>
        <w:jc w:val="both"/>
        <w:rPr>
          <w:sz w:val="26"/>
          <w:szCs w:val="26"/>
        </w:rPr>
      </w:pPr>
      <w:r w:rsidDel="00000000" w:rsidR="00000000" w:rsidRPr="00000000">
        <w:rPr>
          <w:rtl w:val="0"/>
        </w:rPr>
        <w:t xml:space="preserve">Suppl. </w:t>
      </w:r>
      <w:hyperlink r:id="rId45">
        <w:r w:rsidDel="00000000" w:rsidR="00000000" w:rsidRPr="00000000">
          <w:rPr>
            <w:rtl w:val="0"/>
          </w:rPr>
          <w:t xml:space="preserve">Figure 16</w:t>
        </w:r>
      </w:hyperlink>
      <w:r w:rsidDel="00000000" w:rsidR="00000000" w:rsidRPr="00000000">
        <w:rPr>
          <w:rtl w:val="0"/>
        </w:rPr>
        <w:t xml:space="preserve">. A)-B) PD-1 upregulation following anti-PD-L1 antibody stimulation in CD4</w:t>
      </w:r>
      <w:r w:rsidDel="00000000" w:rsidR="00000000" w:rsidRPr="00000000">
        <w:rPr>
          <w:vertAlign w:val="superscript"/>
          <w:rtl w:val="0"/>
        </w:rPr>
        <w:t xml:space="preserve">+</w:t>
      </w:r>
      <w:r w:rsidDel="00000000" w:rsidR="00000000" w:rsidRPr="00000000">
        <w:rPr>
          <w:rtl w:val="0"/>
        </w:rPr>
        <w:t xml:space="preserve"> and CD8</w:t>
      </w:r>
      <w:r w:rsidDel="00000000" w:rsidR="00000000" w:rsidRPr="00000000">
        <w:rPr>
          <w:vertAlign w:val="superscript"/>
          <w:rtl w:val="0"/>
        </w:rPr>
        <w:t xml:space="preserve">+</w:t>
      </w:r>
      <w:r w:rsidDel="00000000" w:rsidR="00000000" w:rsidRPr="00000000">
        <w:rPr>
          <w:rtl w:val="0"/>
        </w:rPr>
        <w:t xml:space="preserve"> T cells with 95% confidence interval. Increase of PD-1 expressing cells at treatment with anti-PD-1 antibody from stimulation with anti-CD3 antibody shown in percentage of total CD4</w:t>
      </w:r>
      <w:r w:rsidDel="00000000" w:rsidR="00000000" w:rsidRPr="00000000">
        <w:rPr>
          <w:vertAlign w:val="superscript"/>
          <w:rtl w:val="0"/>
        </w:rPr>
        <w:t xml:space="preserve">+</w:t>
      </w:r>
      <w:r w:rsidDel="00000000" w:rsidR="00000000" w:rsidRPr="00000000">
        <w:rPr>
          <w:rtl w:val="0"/>
        </w:rPr>
        <w:t xml:space="preserve"> or CD8</w:t>
      </w:r>
      <w:r w:rsidDel="00000000" w:rsidR="00000000" w:rsidRPr="00000000">
        <w:rPr>
          <w:vertAlign w:val="superscript"/>
          <w:rtl w:val="0"/>
        </w:rPr>
        <w:t xml:space="preserve">+</w:t>
      </w:r>
      <w:r w:rsidDel="00000000" w:rsidR="00000000" w:rsidRPr="00000000">
        <w:rPr>
          <w:rtl w:val="0"/>
        </w:rPr>
        <w:t xml:space="preserve"> T cells. Significance testing was performed between log(10</w:t>
      </w:r>
      <w:r w:rsidDel="00000000" w:rsidR="00000000" w:rsidRPr="00000000">
        <w:rPr>
          <w:vertAlign w:val="superscript"/>
          <w:rtl w:val="0"/>
        </w:rPr>
        <w:t xml:space="preserve">-11</w:t>
      </w:r>
      <w:r w:rsidDel="00000000" w:rsidR="00000000" w:rsidRPr="00000000">
        <w:rPr>
          <w:rtl w:val="0"/>
        </w:rPr>
        <w:t xml:space="preserve">) M and log(10</w:t>
      </w:r>
      <w:r w:rsidDel="00000000" w:rsidR="00000000" w:rsidRPr="00000000">
        <w:rPr>
          <w:vertAlign w:val="superscript"/>
          <w:rtl w:val="0"/>
        </w:rPr>
        <w:t xml:space="preserve">-9</w:t>
      </w:r>
      <w:r w:rsidDel="00000000" w:rsidR="00000000" w:rsidRPr="00000000">
        <w:rPr>
          <w:rtl w:val="0"/>
        </w:rPr>
        <w:t xml:space="preserve">) M between the diagnostic groups with one-way ANOVA and multiple testing correction with Tukey’s HSD test. C) %PD-1 expressing CD8</w:t>
      </w:r>
      <w:r w:rsidDel="00000000" w:rsidR="00000000" w:rsidRPr="00000000">
        <w:rPr>
          <w:vertAlign w:val="superscript"/>
          <w:rtl w:val="0"/>
        </w:rPr>
        <w:t xml:space="preserve">+</w:t>
      </w:r>
      <w:r w:rsidDel="00000000" w:rsidR="00000000" w:rsidRPr="00000000">
        <w:rPr>
          <w:rtl w:val="0"/>
        </w:rPr>
        <w:t xml:space="preserve"> T cells with anti-CD3 stimulation and complementary anti-PD-L1 stimulation in increasing concentrations for HC, MCI and AD. Significance testing was performed with paired t-test and multiple testing correction with Bonferroni-Holm (MCI log(10</w:t>
      </w:r>
      <w:r w:rsidDel="00000000" w:rsidR="00000000" w:rsidRPr="00000000">
        <w:rPr>
          <w:vertAlign w:val="superscript"/>
          <w:rtl w:val="0"/>
        </w:rPr>
        <w:t xml:space="preserve">-11</w:t>
      </w:r>
      <w:r w:rsidDel="00000000" w:rsidR="00000000" w:rsidRPr="00000000">
        <w:rPr>
          <w:rtl w:val="0"/>
        </w:rPr>
        <w:t xml:space="preserve">) vs. 0 M: </w:t>
      </w:r>
      <m:oMath>
        <m:r>
          <w:rPr/>
          <m:t xml:space="preserve">t(25)=-3.16, p=0.038</m:t>
        </m:r>
      </m:oMath>
      <w:r w:rsidDel="00000000" w:rsidR="00000000" w:rsidRPr="00000000">
        <w:rPr>
          <w:rtl w:val="0"/>
        </w:rPr>
        <w:t xml:space="preserve">). D)-E) Directed acyclic graph learning of ADIS cohort module with anti-PD-L1 immune stimulation , shown are subgraphs with first neighborhood of % PD-1 expressing CD4</w:t>
      </w:r>
      <w:r w:rsidDel="00000000" w:rsidR="00000000" w:rsidRPr="00000000">
        <w:rPr>
          <w:vertAlign w:val="superscript"/>
          <w:rtl w:val="0"/>
        </w:rPr>
        <w:t xml:space="preserve">+</w:t>
      </w:r>
      <w:r w:rsidDel="00000000" w:rsidR="00000000" w:rsidRPr="00000000">
        <w:rPr>
          <w:rtl w:val="0"/>
        </w:rPr>
        <w:t xml:space="preserve"> and CD8</w:t>
      </w:r>
      <w:r w:rsidDel="00000000" w:rsidR="00000000" w:rsidRPr="00000000">
        <w:rPr>
          <w:vertAlign w:val="superscript"/>
          <w:rtl w:val="0"/>
        </w:rPr>
        <w:t xml:space="preserve">+</w:t>
      </w:r>
      <w:r w:rsidDel="00000000" w:rsidR="00000000" w:rsidRPr="00000000">
        <w:rPr>
          <w:rtl w:val="0"/>
        </w:rPr>
        <w:t xml:space="preserve"> T cells in anti-PD-L1 concentrations of log(10</w:t>
      </w:r>
      <w:r w:rsidDel="00000000" w:rsidR="00000000" w:rsidRPr="00000000">
        <w:rPr>
          <w:vertAlign w:val="superscript"/>
          <w:rtl w:val="0"/>
        </w:rPr>
        <w:t xml:space="preserve">-9</w:t>
      </w:r>
      <w:r w:rsidDel="00000000" w:rsidR="00000000" w:rsidRPr="00000000">
        <w:rPr>
          <w:rtl w:val="0"/>
        </w:rPr>
        <w:t xml:space="preserve">) M and log(10-</w:t>
      </w:r>
      <w:r w:rsidDel="00000000" w:rsidR="00000000" w:rsidRPr="00000000">
        <w:rPr>
          <w:vertAlign w:val="superscript"/>
          <w:rtl w:val="0"/>
        </w:rPr>
        <w:t xml:space="preserve">10</w:t>
      </w:r>
      <w:r w:rsidDel="00000000" w:rsidR="00000000" w:rsidRPr="00000000">
        <w:rPr>
          <w:rtl w:val="0"/>
        </w:rPr>
        <w:t xml:space="preserve">) M.</w:t>
      </w:r>
      <w:r w:rsidDel="00000000" w:rsidR="00000000" w:rsidRPr="00000000">
        <w:rPr>
          <w:rtl w:val="0"/>
        </w:rPr>
      </w:r>
    </w:p>
    <w:p w:rsidR="00000000" w:rsidDel="00000000" w:rsidP="00000000" w:rsidRDefault="00000000" w:rsidRPr="00000000" w14:paraId="00000070">
      <w:pPr>
        <w:spacing w:line="480" w:lineRule="auto"/>
        <w:jc w:val="both"/>
        <w:rPr/>
      </w:pPr>
      <w:r w:rsidDel="00000000" w:rsidR="00000000" w:rsidRPr="00000000">
        <w:rPr>
          <w:rtl w:val="0"/>
        </w:rPr>
      </w:r>
    </w:p>
    <w:p w:rsidR="00000000" w:rsidDel="00000000" w:rsidP="00000000" w:rsidRDefault="00000000" w:rsidRPr="00000000" w14:paraId="00000071">
      <w:pPr>
        <w:spacing w:line="480" w:lineRule="auto"/>
        <w:jc w:val="both"/>
        <w:rPr/>
      </w:pPr>
      <w:r w:rsidDel="00000000" w:rsidR="00000000" w:rsidRPr="00000000">
        <w:rPr/>
        <w:drawing>
          <wp:inline distB="114300" distT="114300" distL="114300" distR="114300">
            <wp:extent cx="5731200" cy="1866900"/>
            <wp:effectExtent b="0" l="0" r="0" t="0"/>
            <wp:docPr id="14" name="image1.jpg"/>
            <a:graphic>
              <a:graphicData uri="http://schemas.openxmlformats.org/drawingml/2006/picture">
                <pic:pic>
                  <pic:nvPicPr>
                    <pic:cNvPr id="0" name="image1.jpg"/>
                    <pic:cNvPicPr preferRelativeResize="0"/>
                  </pic:nvPicPr>
                  <pic:blipFill>
                    <a:blip r:embed="rId46"/>
                    <a:srcRect b="0" l="0" r="0" t="0"/>
                    <a:stretch>
                      <a:fillRect/>
                    </a:stretch>
                  </pic:blipFill>
                  <pic:spPr>
                    <a:xfrm>
                      <a:off x="0" y="0"/>
                      <a:ext cx="5731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480" w:lineRule="auto"/>
        <w:jc w:val="both"/>
        <w:rPr/>
      </w:pPr>
      <w:r w:rsidDel="00000000" w:rsidR="00000000" w:rsidRPr="00000000">
        <w:rPr>
          <w:rtl w:val="0"/>
        </w:rPr>
        <w:t xml:space="preserve">Suppl. </w:t>
      </w:r>
      <w:hyperlink r:id="rId47">
        <w:r w:rsidDel="00000000" w:rsidR="00000000" w:rsidRPr="00000000">
          <w:rPr>
            <w:rtl w:val="0"/>
          </w:rPr>
          <w:t xml:space="preserve">Figure 17</w:t>
        </w:r>
      </w:hyperlink>
      <w:r w:rsidDel="00000000" w:rsidR="00000000" w:rsidRPr="00000000">
        <w:rPr>
          <w:rtl w:val="0"/>
        </w:rPr>
        <w:t xml:space="preserve">. A-C) Dependency plots between immune system pathways, cognitive test performance and %PD-1 expressing CD8</w:t>
      </w:r>
      <w:r w:rsidDel="00000000" w:rsidR="00000000" w:rsidRPr="00000000">
        <w:rPr>
          <w:vertAlign w:val="superscript"/>
          <w:rtl w:val="0"/>
        </w:rPr>
        <w:t xml:space="preserve">+</w:t>
      </w:r>
      <w:r w:rsidDel="00000000" w:rsidR="00000000" w:rsidRPr="00000000">
        <w:rPr>
          <w:rtl w:val="0"/>
        </w:rPr>
        <w:t xml:space="preserve"> T cells. Variable values are transformed per module, i.e. z-score normalized or embedded into lower dimensions, as described in the Methods section “</w:t>
      </w:r>
      <w:hyperlink w:anchor="_rqv0e14be0dl">
        <w:r w:rsidDel="00000000" w:rsidR="00000000" w:rsidRPr="00000000">
          <w:rPr>
            <w:color w:val="1155cc"/>
            <w:u w:val="single"/>
            <w:rtl w:val="0"/>
          </w:rPr>
          <w:t xml:space="preserve">AI-Based Directed Acyclic Graph Learning</w:t>
        </w:r>
      </w:hyperlink>
      <w:r w:rsidDel="00000000" w:rsidR="00000000" w:rsidRPr="00000000">
        <w:rPr>
          <w:rtl w:val="0"/>
        </w:rPr>
        <w:t xml:space="preserve">”. Linear regression trendlines were calculated per diagnostic category. </w:t>
      </w:r>
    </w:p>
    <w:p w:rsidR="00000000" w:rsidDel="00000000" w:rsidP="00000000" w:rsidRDefault="00000000" w:rsidRPr="00000000" w14:paraId="00000073">
      <w:pPr>
        <w:spacing w:line="480" w:lineRule="auto"/>
        <w:jc w:val="both"/>
        <w:rPr>
          <w:sz w:val="18"/>
          <w:szCs w:val="18"/>
        </w:rPr>
      </w:pPr>
      <w:r w:rsidDel="00000000" w:rsidR="00000000" w:rsidRPr="00000000">
        <w:rPr>
          <w:rtl w:val="0"/>
        </w:rPr>
      </w:r>
    </w:p>
    <w:p w:rsidR="00000000" w:rsidDel="00000000" w:rsidP="00000000" w:rsidRDefault="00000000" w:rsidRPr="00000000" w14:paraId="00000074">
      <w:pPr>
        <w:spacing w:line="480" w:lineRule="auto"/>
        <w:jc w:val="both"/>
        <w:rPr/>
      </w:pPr>
      <w:r w:rsidDel="00000000" w:rsidR="00000000" w:rsidRPr="00000000">
        <w:rPr>
          <w:rtl w:val="0"/>
        </w:rPr>
      </w:r>
    </w:p>
    <w:p w:rsidR="00000000" w:rsidDel="00000000" w:rsidP="00000000" w:rsidRDefault="00000000" w:rsidRPr="00000000" w14:paraId="00000075">
      <w:pPr>
        <w:spacing w:line="480" w:lineRule="auto"/>
        <w:jc w:val="both"/>
        <w:rPr/>
      </w:pPr>
      <w:r w:rsidDel="00000000" w:rsidR="00000000" w:rsidRPr="00000000">
        <w:rPr/>
        <w:drawing>
          <wp:inline distB="114300" distT="114300" distL="114300" distR="114300">
            <wp:extent cx="5567363" cy="8606167"/>
            <wp:effectExtent b="0" l="0" r="0" t="0"/>
            <wp:docPr id="13"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5567363" cy="860616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480" w:lineRule="auto"/>
        <w:jc w:val="both"/>
        <w:rPr/>
      </w:pPr>
      <w:r w:rsidDel="00000000" w:rsidR="00000000" w:rsidRPr="00000000">
        <w:rPr>
          <w:rtl w:val="0"/>
        </w:rPr>
        <w:t xml:space="preserve">Suppl. </w:t>
      </w:r>
      <w:hyperlink r:id="rId49">
        <w:r w:rsidDel="00000000" w:rsidR="00000000" w:rsidRPr="00000000">
          <w:rPr>
            <w:rtl w:val="0"/>
          </w:rPr>
          <w:t xml:space="preserve">Figure 18</w:t>
        </w:r>
      </w:hyperlink>
      <w:r w:rsidDel="00000000" w:rsidR="00000000" w:rsidRPr="00000000">
        <w:rPr>
          <w:rtl w:val="0"/>
        </w:rPr>
        <w:t xml:space="preserve">. Immunophenotyping of NK cells and T cells. A) Significant immunophenotyping variables between HC and MCI or AD (Panel 9 Hyporesponsive NK cells Lymphocytes/CD3</w:t>
      </w:r>
      <w:r w:rsidDel="00000000" w:rsidR="00000000" w:rsidRPr="00000000">
        <w:rPr>
          <w:vertAlign w:val="superscript"/>
          <w:rtl w:val="0"/>
        </w:rPr>
        <w:t xml:space="preserve">+</w:t>
      </w:r>
      <w:r w:rsidDel="00000000" w:rsidR="00000000" w:rsidRPr="00000000">
        <w:rPr>
          <w:rtl w:val="0"/>
        </w:rPr>
        <w:t xml:space="preserve">CD56</w:t>
      </w:r>
      <w:r w:rsidDel="00000000" w:rsidR="00000000" w:rsidRPr="00000000">
        <w:rPr>
          <w:vertAlign w:val="superscript"/>
          <w:rtl w:val="0"/>
        </w:rPr>
        <w:t xml:space="preserve">+</w:t>
      </w:r>
      <w:r w:rsidDel="00000000" w:rsidR="00000000" w:rsidRPr="00000000">
        <w:rPr>
          <w:rtl w:val="0"/>
        </w:rPr>
        <w:t xml:space="preserve"> cells/KIR</w:t>
      </w:r>
      <w:r w:rsidDel="00000000" w:rsidR="00000000" w:rsidRPr="00000000">
        <w:rPr>
          <w:vertAlign w:val="superscript"/>
          <w:rtl w:val="0"/>
        </w:rPr>
        <w:t xml:space="preserve">+</w:t>
      </w:r>
      <w:r w:rsidDel="00000000" w:rsidR="00000000" w:rsidRPr="00000000">
        <w:rPr>
          <w:rtl w:val="0"/>
        </w:rPr>
        <w:t xml:space="preserve">NKG2A</w:t>
      </w:r>
      <w:r w:rsidDel="00000000" w:rsidR="00000000" w:rsidRPr="00000000">
        <w:rPr>
          <w:vertAlign w:val="superscript"/>
          <w:rtl w:val="0"/>
        </w:rPr>
        <w:t xml:space="preserve">+</w:t>
      </w:r>
      <w:r w:rsidDel="00000000" w:rsidR="00000000" w:rsidRPr="00000000">
        <w:rPr>
          <w:rtl w:val="0"/>
        </w:rPr>
        <w:t xml:space="preserve">/PD-1 Geometric Mean (PD-1 FITC-A), MCI vs. HC: </w:t>
      </w:r>
      <m:oMath>
        <m:r>
          <w:rPr/>
          <m:t xml:space="preserve">H(2, N=50)=5.98, p=0.014</m:t>
        </m:r>
      </m:oMath>
      <w:r w:rsidDel="00000000" w:rsidR="00000000" w:rsidRPr="00000000">
        <w:rPr>
          <w:rtl w:val="0"/>
        </w:rPr>
        <w:t xml:space="preserve">; Panel 9 Hyporesponsive NK cells Lymphocytes/CD3</w:t>
      </w:r>
      <w:r w:rsidDel="00000000" w:rsidR="00000000" w:rsidRPr="00000000">
        <w:rPr>
          <w:vertAlign w:val="superscript"/>
          <w:rtl w:val="0"/>
        </w:rPr>
        <w:t xml:space="preserve">+</w:t>
      </w:r>
      <w:r w:rsidDel="00000000" w:rsidR="00000000" w:rsidRPr="00000000">
        <w:rPr>
          <w:rtl w:val="0"/>
        </w:rPr>
        <w:t xml:space="preserve">CD56</w:t>
      </w:r>
      <w:r w:rsidDel="00000000" w:rsidR="00000000" w:rsidRPr="00000000">
        <w:rPr>
          <w:vertAlign w:val="superscript"/>
          <w:rtl w:val="0"/>
        </w:rPr>
        <w:t xml:space="preserve">+</w:t>
      </w:r>
      <w:r w:rsidDel="00000000" w:rsidR="00000000" w:rsidRPr="00000000">
        <w:rPr>
          <w:rtl w:val="0"/>
        </w:rPr>
        <w:t xml:space="preserve"> cells/PD-1 Geometric Mean (PD-1 FITC-A), MCI vs. HC:</w:t>
      </w:r>
      <m:oMath>
        <m:r>
          <w:rPr/>
          <m:t xml:space="preserve">H(2, N=50)=8.99, p=0.003</m:t>
        </m:r>
      </m:oMath>
      <w:r w:rsidDel="00000000" w:rsidR="00000000" w:rsidRPr="00000000">
        <w:rPr>
          <w:rtl w:val="0"/>
        </w:rPr>
        <w:t xml:space="preserve">, AD vs. HC: </w:t>
      </w:r>
      <m:oMath>
        <m:r>
          <w:rPr/>
          <m:t xml:space="preserve">H(2, N=51)=4.53, p=0.03</m:t>
        </m:r>
      </m:oMath>
      <w:r w:rsidDel="00000000" w:rsidR="00000000" w:rsidRPr="00000000">
        <w:rPr>
          <w:rtl w:val="0"/>
        </w:rPr>
        <w:t xml:space="preserve">; Panel 10 Foxp3 Tregs CD3/CD4 Pos/Foxp3/PD-1</w:t>
      </w:r>
      <w:r w:rsidDel="00000000" w:rsidR="00000000" w:rsidRPr="00000000">
        <w:rPr>
          <w:vertAlign w:val="superscript"/>
          <w:rtl w:val="0"/>
        </w:rPr>
        <w:t xml:space="preserve">-</w:t>
      </w:r>
      <w:r w:rsidDel="00000000" w:rsidR="00000000" w:rsidRPr="00000000">
        <w:rPr>
          <w:rtl w:val="0"/>
        </w:rPr>
        <w:t xml:space="preserve">Ki67</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tl w:val="0"/>
        </w:rPr>
        <w:t xml:space="preserve">Freq. of Parent, AD vs. MCI: </w:t>
      </w:r>
      <m:oMath>
        <m:r>
          <w:rPr/>
          <m:t xml:space="preserve">H(2, N=51)=9.73, p=0.002</m:t>
        </m:r>
      </m:oMath>
      <w:r w:rsidDel="00000000" w:rsidR="00000000" w:rsidRPr="00000000">
        <w:rPr>
          <w:rtl w:val="0"/>
        </w:rPr>
        <w:t xml:space="preserve">). B) Classifier performance on test set on binary classification with Logistic regression, SVM, XGBoost and Random Forest in 10 fold nested cross-validation, measured in ROC-AUC. C) Explainability analysis of best classifier for combined binary classification task (HC vs MCI+AD) with SHAP values.</w:t>
      </w:r>
    </w:p>
    <w:p w:rsidR="00000000" w:rsidDel="00000000" w:rsidP="00000000" w:rsidRDefault="00000000" w:rsidRPr="00000000" w14:paraId="00000077">
      <w:pPr>
        <w:spacing w:line="480" w:lineRule="auto"/>
        <w:jc w:val="both"/>
        <w:rPr/>
      </w:pPr>
      <w:r w:rsidDel="00000000" w:rsidR="00000000" w:rsidRPr="00000000">
        <w:rPr>
          <w:rtl w:val="0"/>
        </w:rPr>
      </w:r>
    </w:p>
    <w:p w:rsidR="00000000" w:rsidDel="00000000" w:rsidP="00000000" w:rsidRDefault="00000000" w:rsidRPr="00000000" w14:paraId="00000078">
      <w:pPr>
        <w:spacing w:line="480" w:lineRule="auto"/>
        <w:jc w:val="both"/>
        <w:rPr/>
      </w:pPr>
      <w:r w:rsidDel="00000000" w:rsidR="00000000" w:rsidRPr="00000000">
        <w:rPr/>
        <w:drawing>
          <wp:inline distB="114300" distT="114300" distL="114300" distR="114300">
            <wp:extent cx="5731200" cy="9207500"/>
            <wp:effectExtent b="0" l="0" r="0" t="0"/>
            <wp:docPr id="6"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5731200" cy="92075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480" w:lineRule="auto"/>
        <w:jc w:val="both"/>
        <w:rPr/>
      </w:pPr>
      <w:r w:rsidDel="00000000" w:rsidR="00000000" w:rsidRPr="00000000">
        <w:rPr>
          <w:rtl w:val="0"/>
        </w:rPr>
        <w:t xml:space="preserve">Suppl. </w:t>
      </w:r>
      <w:hyperlink r:id="rId51">
        <w:r w:rsidDel="00000000" w:rsidR="00000000" w:rsidRPr="00000000">
          <w:rPr>
            <w:rtl w:val="0"/>
          </w:rPr>
          <w:t xml:space="preserve">Figure 19</w:t>
        </w:r>
      </w:hyperlink>
      <w:r w:rsidDel="00000000" w:rsidR="00000000" w:rsidRPr="00000000">
        <w:rPr>
          <w:rtl w:val="0"/>
        </w:rPr>
        <w:t xml:space="preserve">. Immunophenotyping with flow cytometry of hyporesponsive NK cells, NK cells and FoxP3</w:t>
      </w:r>
      <w:r w:rsidDel="00000000" w:rsidR="00000000" w:rsidRPr="00000000">
        <w:rPr>
          <w:vertAlign w:val="superscript"/>
          <w:rtl w:val="0"/>
        </w:rPr>
        <w:t xml:space="preserve">+</w:t>
      </w:r>
      <w:r w:rsidDel="00000000" w:rsidR="00000000" w:rsidRPr="00000000">
        <w:rPr>
          <w:rtl w:val="0"/>
        </w:rPr>
        <w:t xml:space="preserve"> Tregs. Significant frequencies of cell populations identified by indicated gates of the parent population (top) and receptor expression of PD-1 and/or Ki-67 (bottom).</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80" w:before="360" w:lineRule="auto"/>
        <w:ind w:left="0" w:firstLine="0"/>
        <w:jc w:val="both"/>
        <w:rPr/>
      </w:pPr>
      <w:bookmarkStart w:colFirst="0" w:colLast="0" w:name="_xr967nk8e07p" w:id="22"/>
      <w:bookmarkEnd w:id="22"/>
      <w:r w:rsidDel="00000000" w:rsidR="00000000" w:rsidRPr="00000000">
        <w:rPr>
          <w:rtl w:val="0"/>
        </w:rPr>
        <w:t xml:space="preserve">Supplementary Tables</w:t>
      </w:r>
    </w:p>
    <w:p w:rsidR="00000000" w:rsidDel="00000000" w:rsidP="00000000" w:rsidRDefault="00000000" w:rsidRPr="00000000" w14:paraId="0000007C">
      <w:pPr>
        <w:jc w:val="both"/>
        <w:rPr>
          <w:sz w:val="18"/>
          <w:szCs w:val="18"/>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7D">
            <w:pPr>
              <w:widowControl w:val="0"/>
              <w:spacing w:line="240" w:lineRule="auto"/>
              <w:rPr>
                <w:b w:val="1"/>
                <w:bCs w:val="1"/>
                <w:sz w:val="18"/>
                <w:szCs w:val="18"/>
              </w:rPr>
            </w:pPr>
            <w:r w:rsidDel="00000000" w:rsidR="00000000" w:rsidRPr="00000000">
              <w:rPr>
                <w:b w:val="1"/>
                <w:bCs w:val="1"/>
                <w:sz w:val="18"/>
                <w:szCs w:val="18"/>
                <w:rtl w:val="0"/>
              </w:rPr>
              <w:t xml:space="preserve">Chain</w:t>
            </w:r>
          </w:p>
        </w:tc>
        <w:tc>
          <w:tcPr>
            <w:shd w:fill="auto" w:val="clear"/>
            <w:tcMar>
              <w:top w:w="0.0" w:type="dxa"/>
              <w:left w:w="0.0" w:type="dxa"/>
              <w:bottom w:w="0.0" w:type="dxa"/>
              <w:right w:w="0.0" w:type="dxa"/>
            </w:tcMar>
            <w:vAlign w:val="top"/>
          </w:tcPr>
          <w:p w:rsidR="00000000" w:rsidDel="00000000" w:rsidP="00000000" w:rsidRDefault="00000000" w:rsidRPr="00000000" w14:paraId="0000007E">
            <w:pPr>
              <w:widowControl w:val="0"/>
              <w:spacing w:line="240" w:lineRule="auto"/>
              <w:rPr>
                <w:b w:val="1"/>
                <w:bCs w:val="1"/>
                <w:sz w:val="18"/>
                <w:szCs w:val="18"/>
              </w:rPr>
            </w:pPr>
            <w:r w:rsidDel="00000000" w:rsidR="00000000" w:rsidRPr="00000000">
              <w:rPr>
                <w:b w:val="1"/>
                <w:bCs w:val="1"/>
                <w:sz w:val="18"/>
                <w:szCs w:val="18"/>
                <w:rtl w:val="0"/>
              </w:rPr>
              <w:t xml:space="preserve">Present in Condition</w:t>
            </w:r>
          </w:p>
        </w:tc>
        <w:tc>
          <w:tcPr>
            <w:shd w:fill="auto" w:val="clear"/>
            <w:tcMar>
              <w:top w:w="0.0" w:type="dxa"/>
              <w:left w:w="0.0" w:type="dxa"/>
              <w:bottom w:w="0.0" w:type="dxa"/>
              <w:right w:w="0.0" w:type="dxa"/>
            </w:tcMar>
            <w:vAlign w:val="top"/>
          </w:tcPr>
          <w:p w:rsidR="00000000" w:rsidDel="00000000" w:rsidP="00000000" w:rsidRDefault="00000000" w:rsidRPr="00000000" w14:paraId="0000007F">
            <w:pPr>
              <w:widowControl w:val="0"/>
              <w:spacing w:line="240" w:lineRule="auto"/>
              <w:rPr>
                <w:b w:val="1"/>
                <w:bCs w:val="1"/>
                <w:sz w:val="18"/>
                <w:szCs w:val="18"/>
              </w:rPr>
            </w:pPr>
            <w:r w:rsidDel="00000000" w:rsidR="00000000" w:rsidRPr="00000000">
              <w:rPr>
                <w:b w:val="1"/>
                <w:bCs w:val="1"/>
                <w:sz w:val="18"/>
                <w:szCs w:val="18"/>
                <w:rtl w:val="0"/>
              </w:rPr>
              <w:t xml:space="preserve">CDR3 Sequence </w:t>
            </w:r>
          </w:p>
        </w:tc>
        <w:tc>
          <w:tcPr>
            <w:shd w:fill="auto" w:val="clear"/>
            <w:tcMar>
              <w:top w:w="0.0" w:type="dxa"/>
              <w:left w:w="0.0" w:type="dxa"/>
              <w:bottom w:w="0.0" w:type="dxa"/>
              <w:right w:w="0.0" w:type="dxa"/>
            </w:tcMar>
            <w:vAlign w:val="top"/>
          </w:tcPr>
          <w:p w:rsidR="00000000" w:rsidDel="00000000" w:rsidP="00000000" w:rsidRDefault="00000000" w:rsidRPr="00000000" w14:paraId="00000080">
            <w:pPr>
              <w:widowControl w:val="0"/>
              <w:spacing w:line="240" w:lineRule="auto"/>
              <w:rPr>
                <w:b w:val="1"/>
                <w:bCs w:val="1"/>
                <w:sz w:val="18"/>
                <w:szCs w:val="18"/>
              </w:rPr>
            </w:pPr>
            <w:r w:rsidDel="00000000" w:rsidR="00000000" w:rsidRPr="00000000">
              <w:rPr>
                <w:b w:val="1"/>
                <w:bCs w:val="1"/>
                <w:sz w:val="18"/>
                <w:szCs w:val="18"/>
                <w:rtl w:val="0"/>
              </w:rPr>
              <w:t xml:space="preserve">Known Antigen</w:t>
            </w:r>
          </w:p>
        </w:tc>
        <w:tc>
          <w:tcPr>
            <w:shd w:fill="auto" w:val="clear"/>
            <w:tcMar>
              <w:top w:w="0.0" w:type="dxa"/>
              <w:left w:w="0.0" w:type="dxa"/>
              <w:bottom w:w="0.0" w:type="dxa"/>
              <w:right w:w="0.0" w:type="dxa"/>
            </w:tcMar>
            <w:vAlign w:val="top"/>
          </w:tcPr>
          <w:p w:rsidR="00000000" w:rsidDel="00000000" w:rsidP="00000000" w:rsidRDefault="00000000" w:rsidRPr="00000000" w14:paraId="00000081">
            <w:pPr>
              <w:widowControl w:val="0"/>
              <w:spacing w:line="240" w:lineRule="auto"/>
              <w:rPr>
                <w:b w:val="1"/>
                <w:bCs w:val="1"/>
                <w:sz w:val="18"/>
                <w:szCs w:val="18"/>
              </w:rPr>
            </w:pPr>
            <w:r w:rsidDel="00000000" w:rsidR="00000000" w:rsidRPr="00000000">
              <w:rPr>
                <w:b w:val="1"/>
                <w:bCs w:val="1"/>
                <w:sz w:val="18"/>
                <w:szCs w:val="18"/>
                <w:rtl w:val="0"/>
              </w:rPr>
              <w:t xml:space="preserve">Reference</w:t>
            </w:r>
          </w:p>
        </w:tc>
        <w:tc>
          <w:tcPr>
            <w:shd w:fill="auto" w:val="clear"/>
            <w:tcMar>
              <w:top w:w="0.0" w:type="dxa"/>
              <w:left w:w="0.0" w:type="dxa"/>
              <w:bottom w:w="0.0" w:type="dxa"/>
              <w:right w:w="0.0" w:type="dxa"/>
            </w:tcMar>
            <w:vAlign w:val="top"/>
          </w:tcPr>
          <w:p w:rsidR="00000000" w:rsidDel="00000000" w:rsidP="00000000" w:rsidRDefault="00000000" w:rsidRPr="00000000" w14:paraId="00000082">
            <w:pPr>
              <w:widowControl w:val="0"/>
              <w:spacing w:line="240" w:lineRule="auto"/>
              <w:rPr>
                <w:b w:val="1"/>
                <w:bCs w:val="1"/>
                <w:sz w:val="18"/>
                <w:szCs w:val="18"/>
              </w:rPr>
            </w:pPr>
            <w:r w:rsidDel="00000000" w:rsidR="00000000" w:rsidRPr="00000000">
              <w:rPr>
                <w:b w:val="1"/>
                <w:bCs w:val="1"/>
                <w:sz w:val="18"/>
                <w:szCs w:val="18"/>
                <w:rtl w:val="0"/>
              </w:rPr>
              <w:t xml:space="preserve">VDJdb confidence score</w:t>
            </w:r>
          </w:p>
        </w:tc>
      </w:tr>
      <w:tr>
        <w:trPr>
          <w:cantSplit w:val="0"/>
          <w:trHeight w:val="420" w:hRule="atLeast"/>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83">
            <w:pPr>
              <w:widowControl w:val="0"/>
              <w:spacing w:line="240" w:lineRule="auto"/>
              <w:rPr>
                <w:sz w:val="18"/>
                <w:szCs w:val="18"/>
              </w:rPr>
            </w:pPr>
            <w:r w:rsidDel="00000000" w:rsidR="00000000" w:rsidRPr="00000000">
              <w:rPr>
                <w:sz w:val="18"/>
                <w:szCs w:val="18"/>
                <w:rtl w:val="0"/>
              </w:rPr>
              <w:t xml:space="preserve">TRA</w:t>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084">
            <w:pPr>
              <w:widowControl w:val="0"/>
              <w:spacing w:line="240" w:lineRule="auto"/>
              <w:rPr>
                <w:sz w:val="18"/>
                <w:szCs w:val="18"/>
              </w:rPr>
            </w:pPr>
            <w:r w:rsidDel="00000000" w:rsidR="00000000" w:rsidRPr="00000000">
              <w:rPr>
                <w:sz w:val="18"/>
                <w:szCs w:val="18"/>
                <w:rtl w:val="0"/>
              </w:rPr>
              <w:t xml:space="preserve">MCI</w:t>
            </w:r>
          </w:p>
        </w:tc>
        <w:tc>
          <w:tcPr>
            <w:shd w:fill="auto" w:val="clear"/>
            <w:tcMar>
              <w:top w:w="0.0" w:type="dxa"/>
              <w:left w:w="0.0" w:type="dxa"/>
              <w:bottom w:w="0.0" w:type="dxa"/>
              <w:right w:w="0.0" w:type="dxa"/>
            </w:tcMar>
            <w:vAlign w:val="top"/>
          </w:tcPr>
          <w:p w:rsidR="00000000" w:rsidDel="00000000" w:rsidP="00000000" w:rsidRDefault="00000000" w:rsidRPr="00000000" w14:paraId="00000085">
            <w:pPr>
              <w:widowControl w:val="0"/>
              <w:spacing w:line="240" w:lineRule="auto"/>
              <w:rPr>
                <w:sz w:val="18"/>
                <w:szCs w:val="18"/>
              </w:rPr>
            </w:pPr>
            <w:r w:rsidDel="00000000" w:rsidR="00000000" w:rsidRPr="00000000">
              <w:rPr>
                <w:sz w:val="18"/>
                <w:szCs w:val="18"/>
                <w:rtl w:val="0"/>
              </w:rPr>
              <w:t xml:space="preserve">CAASETSYDKVIF</w:t>
            </w:r>
          </w:p>
        </w:tc>
        <w:tc>
          <w:tcPr>
            <w:shd w:fill="auto" w:val="clear"/>
            <w:tcMar>
              <w:top w:w="0.0" w:type="dxa"/>
              <w:left w:w="0.0" w:type="dxa"/>
              <w:bottom w:w="0.0" w:type="dxa"/>
              <w:right w:w="0.0" w:type="dxa"/>
            </w:tcMar>
            <w:vAlign w:val="top"/>
          </w:tcPr>
          <w:p w:rsidR="00000000" w:rsidDel="00000000" w:rsidP="00000000" w:rsidRDefault="00000000" w:rsidRPr="00000000" w14:paraId="00000086">
            <w:pPr>
              <w:widowControl w:val="0"/>
              <w:spacing w:line="240" w:lineRule="auto"/>
              <w:rPr>
                <w:sz w:val="18"/>
                <w:szCs w:val="18"/>
              </w:rPr>
            </w:pPr>
            <w:r w:rsidDel="00000000" w:rsidR="00000000" w:rsidRPr="00000000">
              <w:rPr>
                <w:sz w:val="18"/>
                <w:szCs w:val="18"/>
                <w:rtl w:val="0"/>
              </w:rPr>
              <w:t xml:space="preserve">Epstein-Barr</w:t>
            </w:r>
          </w:p>
        </w:tc>
        <w:tc>
          <w:tcPr>
            <w:shd w:fill="auto" w:val="clear"/>
            <w:tcMar>
              <w:top w:w="0.0" w:type="dxa"/>
              <w:left w:w="0.0" w:type="dxa"/>
              <w:bottom w:w="0.0" w:type="dxa"/>
              <w:right w:w="0.0" w:type="dxa"/>
            </w:tcMar>
            <w:vAlign w:val="top"/>
          </w:tcPr>
          <w:p w:rsidR="00000000" w:rsidDel="00000000" w:rsidP="00000000" w:rsidRDefault="00000000" w:rsidRPr="00000000" w14:paraId="00000087">
            <w:pPr>
              <w:widowControl w:val="0"/>
              <w:spacing w:line="240" w:lineRule="auto"/>
              <w:rPr>
                <w:sz w:val="18"/>
                <w:szCs w:val="18"/>
                <w:vertAlign w:val="superscript"/>
              </w:rPr>
            </w:pPr>
            <w:hyperlink r:id="rId52">
              <w:r w:rsidDel="00000000" w:rsidR="00000000" w:rsidRPr="00000000">
                <w:rPr>
                  <w:sz w:val="18"/>
                  <w:szCs w:val="18"/>
                  <w:vertAlign w:val="superscript"/>
                  <w:rtl w:val="0"/>
                </w:rPr>
                <w:t xml:space="preserve">134</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88">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8B">
            <w:pPr>
              <w:widowControl w:val="0"/>
              <w:spacing w:line="240" w:lineRule="auto"/>
              <w:rPr>
                <w:sz w:val="18"/>
                <w:szCs w:val="18"/>
              </w:rPr>
            </w:pPr>
            <w:r w:rsidDel="00000000" w:rsidR="00000000" w:rsidRPr="00000000">
              <w:rPr>
                <w:sz w:val="18"/>
                <w:szCs w:val="18"/>
                <w:rtl w:val="0"/>
              </w:rPr>
              <w:t xml:space="preserve">CAASIGNFGNEKLTF</w:t>
            </w:r>
          </w:p>
        </w:tc>
        <w:tc>
          <w:tcPr>
            <w:shd w:fill="auto" w:val="clear"/>
            <w:tcMar>
              <w:top w:w="0.0" w:type="dxa"/>
              <w:left w:w="0.0" w:type="dxa"/>
              <w:bottom w:w="0.0" w:type="dxa"/>
              <w:right w:w="0.0" w:type="dxa"/>
            </w:tcMar>
            <w:vAlign w:val="top"/>
          </w:tcPr>
          <w:p w:rsidR="00000000" w:rsidDel="00000000" w:rsidP="00000000" w:rsidRDefault="00000000" w:rsidRPr="00000000" w14:paraId="0000008C">
            <w:pPr>
              <w:widowControl w:val="0"/>
              <w:spacing w:line="240" w:lineRule="auto"/>
              <w:rPr>
                <w:sz w:val="18"/>
                <w:szCs w:val="18"/>
              </w:rPr>
            </w:pPr>
            <w:r w:rsidDel="00000000" w:rsidR="00000000" w:rsidRPr="00000000">
              <w:rPr>
                <w:sz w:val="18"/>
                <w:szCs w:val="18"/>
                <w:rtl w:val="0"/>
              </w:rPr>
              <w:t xml:space="preserve">CMV</w:t>
            </w:r>
          </w:p>
        </w:tc>
        <w:tc>
          <w:tcPr>
            <w:shd w:fill="auto" w:val="clear"/>
            <w:tcMar>
              <w:top w:w="0.0" w:type="dxa"/>
              <w:left w:w="0.0" w:type="dxa"/>
              <w:bottom w:w="0.0" w:type="dxa"/>
              <w:right w:w="0.0" w:type="dxa"/>
            </w:tcMar>
            <w:vAlign w:val="top"/>
          </w:tcPr>
          <w:p w:rsidR="00000000" w:rsidDel="00000000" w:rsidP="00000000" w:rsidRDefault="00000000" w:rsidRPr="00000000" w14:paraId="0000008D">
            <w:pPr>
              <w:widowControl w:val="0"/>
              <w:spacing w:line="240" w:lineRule="auto"/>
              <w:rPr>
                <w:sz w:val="18"/>
                <w:szCs w:val="18"/>
                <w:vertAlign w:val="superscript"/>
              </w:rPr>
            </w:pPr>
            <w:hyperlink r:id="rId53">
              <w:r w:rsidDel="00000000" w:rsidR="00000000" w:rsidRPr="00000000">
                <w:rPr>
                  <w:sz w:val="18"/>
                  <w:szCs w:val="18"/>
                  <w:vertAlign w:val="superscript"/>
                  <w:rtl w:val="0"/>
                </w:rPr>
                <w:t xml:space="preserve">135</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8E">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91">
            <w:pPr>
              <w:widowControl w:val="0"/>
              <w:spacing w:line="240" w:lineRule="auto"/>
              <w:rPr>
                <w:sz w:val="18"/>
                <w:szCs w:val="18"/>
              </w:rPr>
            </w:pPr>
            <w:r w:rsidDel="00000000" w:rsidR="00000000" w:rsidRPr="00000000">
              <w:rPr>
                <w:sz w:val="18"/>
                <w:szCs w:val="18"/>
                <w:rtl w:val="0"/>
              </w:rPr>
              <w:t xml:space="preserve">CAVLDSNYQLIW</w:t>
            </w:r>
          </w:p>
        </w:tc>
        <w:tc>
          <w:tcPr>
            <w:shd w:fill="auto" w:val="clear"/>
            <w:tcMar>
              <w:top w:w="0.0" w:type="dxa"/>
              <w:left w:w="0.0" w:type="dxa"/>
              <w:bottom w:w="0.0" w:type="dxa"/>
              <w:right w:w="0.0" w:type="dxa"/>
            </w:tcMar>
            <w:vAlign w:val="top"/>
          </w:tcPr>
          <w:p w:rsidR="00000000" w:rsidDel="00000000" w:rsidP="00000000" w:rsidRDefault="00000000" w:rsidRPr="00000000" w14:paraId="00000092">
            <w:pPr>
              <w:widowControl w:val="0"/>
              <w:spacing w:line="240" w:lineRule="auto"/>
              <w:rPr>
                <w:sz w:val="18"/>
                <w:szCs w:val="18"/>
              </w:rPr>
            </w:pPr>
            <w:r w:rsidDel="00000000" w:rsidR="00000000" w:rsidRPr="00000000">
              <w:rPr>
                <w:sz w:val="18"/>
                <w:szCs w:val="18"/>
                <w:rtl w:val="0"/>
              </w:rPr>
              <w:t xml:space="preserve">SARS-Cov-2</w:t>
            </w:r>
          </w:p>
        </w:tc>
        <w:tc>
          <w:tcPr>
            <w:shd w:fill="auto" w:val="clear"/>
            <w:tcMar>
              <w:top w:w="0.0" w:type="dxa"/>
              <w:left w:w="0.0" w:type="dxa"/>
              <w:bottom w:w="0.0" w:type="dxa"/>
              <w:right w:w="0.0" w:type="dxa"/>
            </w:tcMar>
            <w:vAlign w:val="top"/>
          </w:tcPr>
          <w:p w:rsidR="00000000" w:rsidDel="00000000" w:rsidP="00000000" w:rsidRDefault="00000000" w:rsidRPr="00000000" w14:paraId="00000093">
            <w:pPr>
              <w:widowControl w:val="0"/>
              <w:spacing w:line="240" w:lineRule="auto"/>
              <w:rPr>
                <w:sz w:val="18"/>
                <w:szCs w:val="18"/>
                <w:vertAlign w:val="superscript"/>
              </w:rPr>
            </w:pPr>
            <w:hyperlink r:id="rId54">
              <w:r w:rsidDel="00000000" w:rsidR="00000000" w:rsidRPr="00000000">
                <w:rPr>
                  <w:sz w:val="18"/>
                  <w:szCs w:val="18"/>
                  <w:vertAlign w:val="superscript"/>
                  <w:rtl w:val="0"/>
                </w:rPr>
                <w:t xml:space="preserve">135</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94">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97">
            <w:pPr>
              <w:widowControl w:val="0"/>
              <w:spacing w:line="240" w:lineRule="auto"/>
              <w:rPr>
                <w:sz w:val="18"/>
                <w:szCs w:val="18"/>
              </w:rPr>
            </w:pPr>
            <w:r w:rsidDel="00000000" w:rsidR="00000000" w:rsidRPr="00000000">
              <w:rPr>
                <w:sz w:val="18"/>
                <w:szCs w:val="18"/>
                <w:rtl w:val="0"/>
              </w:rPr>
              <w:t xml:space="preserve">CAVLMDSNYQLIW</w:t>
            </w:r>
          </w:p>
        </w:tc>
        <w:tc>
          <w:tcPr>
            <w:shd w:fill="auto" w:val="clear"/>
            <w:tcMar>
              <w:top w:w="0.0" w:type="dxa"/>
              <w:left w:w="0.0" w:type="dxa"/>
              <w:bottom w:w="0.0" w:type="dxa"/>
              <w:right w:w="0.0" w:type="dxa"/>
            </w:tcMar>
            <w:vAlign w:val="top"/>
          </w:tcPr>
          <w:p w:rsidR="00000000" w:rsidDel="00000000" w:rsidP="00000000" w:rsidRDefault="00000000" w:rsidRPr="00000000" w14:paraId="00000098">
            <w:pPr>
              <w:widowControl w:val="0"/>
              <w:spacing w:line="240" w:lineRule="auto"/>
              <w:rPr>
                <w:sz w:val="18"/>
                <w:szCs w:val="18"/>
              </w:rPr>
            </w:pPr>
            <w:r w:rsidDel="00000000" w:rsidR="00000000" w:rsidRPr="00000000">
              <w:rPr>
                <w:sz w:val="18"/>
                <w:szCs w:val="18"/>
                <w:rtl w:val="0"/>
              </w:rPr>
              <w:t xml:space="preserve">Epstein-Barr</w:t>
            </w:r>
          </w:p>
        </w:tc>
        <w:tc>
          <w:tcPr>
            <w:shd w:fill="auto" w:val="clear"/>
            <w:tcMar>
              <w:top w:w="0.0" w:type="dxa"/>
              <w:left w:w="0.0" w:type="dxa"/>
              <w:bottom w:w="0.0" w:type="dxa"/>
              <w:right w:w="0.0" w:type="dxa"/>
            </w:tcMar>
            <w:vAlign w:val="top"/>
          </w:tcPr>
          <w:p w:rsidR="00000000" w:rsidDel="00000000" w:rsidP="00000000" w:rsidRDefault="00000000" w:rsidRPr="00000000" w14:paraId="00000099">
            <w:pPr>
              <w:widowControl w:val="0"/>
              <w:spacing w:line="240" w:lineRule="auto"/>
              <w:rPr>
                <w:sz w:val="18"/>
                <w:szCs w:val="18"/>
              </w:rPr>
            </w:pPr>
            <w:hyperlink r:id="rId55">
              <w:r w:rsidDel="00000000" w:rsidR="00000000" w:rsidRPr="00000000">
                <w:rPr>
                  <w:sz w:val="18"/>
                  <w:szCs w:val="18"/>
                  <w:vertAlign w:val="superscript"/>
                  <w:rtl w:val="0"/>
                </w:rPr>
                <w:t xml:space="preserve">134</w:t>
              </w:r>
            </w:hyperlink>
            <w:r w:rsidDel="00000000" w:rsidR="00000000" w:rsidRPr="00000000">
              <w:rPr>
                <w:sz w:val="18"/>
                <w:szCs w:val="18"/>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9A">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9D">
            <w:pPr>
              <w:widowControl w:val="0"/>
              <w:spacing w:line="240" w:lineRule="auto"/>
              <w:rPr>
                <w:sz w:val="18"/>
                <w:szCs w:val="18"/>
              </w:rPr>
            </w:pPr>
            <w:r w:rsidDel="00000000" w:rsidR="00000000" w:rsidRPr="00000000">
              <w:rPr>
                <w:sz w:val="18"/>
                <w:szCs w:val="18"/>
                <w:rtl w:val="0"/>
              </w:rPr>
              <w:t xml:space="preserve">CAVMDSNYQLIW</w:t>
            </w:r>
          </w:p>
        </w:tc>
        <w:tc>
          <w:tcPr>
            <w:shd w:fill="auto" w:val="clear"/>
            <w:tcMar>
              <w:top w:w="0.0" w:type="dxa"/>
              <w:left w:w="0.0" w:type="dxa"/>
              <w:bottom w:w="0.0" w:type="dxa"/>
              <w:right w:w="0.0" w:type="dxa"/>
            </w:tcMar>
            <w:vAlign w:val="top"/>
          </w:tcPr>
          <w:p w:rsidR="00000000" w:rsidDel="00000000" w:rsidP="00000000" w:rsidRDefault="00000000" w:rsidRPr="00000000" w14:paraId="0000009E">
            <w:pPr>
              <w:widowControl w:val="0"/>
              <w:spacing w:line="240" w:lineRule="auto"/>
              <w:rPr>
                <w:sz w:val="18"/>
                <w:szCs w:val="18"/>
              </w:rPr>
            </w:pPr>
            <w:r w:rsidDel="00000000" w:rsidR="00000000" w:rsidRPr="00000000">
              <w:rPr>
                <w:sz w:val="18"/>
                <w:szCs w:val="18"/>
                <w:rtl w:val="0"/>
              </w:rPr>
              <w:t xml:space="preserve">CMV/SARS-CoV-2</w:t>
            </w:r>
          </w:p>
        </w:tc>
        <w:tc>
          <w:tcPr>
            <w:shd w:fill="auto" w:val="clear"/>
            <w:tcMar>
              <w:top w:w="0.0" w:type="dxa"/>
              <w:left w:w="0.0" w:type="dxa"/>
              <w:bottom w:w="0.0" w:type="dxa"/>
              <w:right w:w="0.0" w:type="dxa"/>
            </w:tcMar>
            <w:vAlign w:val="top"/>
          </w:tcPr>
          <w:p w:rsidR="00000000" w:rsidDel="00000000" w:rsidP="00000000" w:rsidRDefault="00000000" w:rsidRPr="00000000" w14:paraId="0000009F">
            <w:pPr>
              <w:widowControl w:val="0"/>
              <w:spacing w:line="240" w:lineRule="auto"/>
              <w:rPr>
                <w:sz w:val="18"/>
                <w:szCs w:val="18"/>
                <w:vertAlign w:val="superscript"/>
              </w:rPr>
            </w:pPr>
            <w:hyperlink r:id="rId56">
              <w:r w:rsidDel="00000000" w:rsidR="00000000" w:rsidRPr="00000000">
                <w:rPr>
                  <w:sz w:val="18"/>
                  <w:szCs w:val="18"/>
                  <w:vertAlign w:val="superscript"/>
                  <w:rtl w:val="0"/>
                </w:rPr>
                <w:t xml:space="preserve">136,137</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A0">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0A2">
            <w:pPr>
              <w:widowControl w:val="0"/>
              <w:spacing w:line="240" w:lineRule="auto"/>
              <w:rPr>
                <w:sz w:val="18"/>
                <w:szCs w:val="18"/>
              </w:rPr>
            </w:pPr>
            <w:r w:rsidDel="00000000" w:rsidR="00000000" w:rsidRPr="00000000">
              <w:rPr>
                <w:sz w:val="18"/>
                <w:szCs w:val="18"/>
                <w:rtl w:val="0"/>
              </w:rPr>
              <w:t xml:space="preserve">AD</w:t>
            </w:r>
          </w:p>
        </w:tc>
        <w:tc>
          <w:tcPr>
            <w:shd w:fill="auto" w:val="clear"/>
            <w:tcMar>
              <w:top w:w="0.0" w:type="dxa"/>
              <w:left w:w="0.0" w:type="dxa"/>
              <w:bottom w:w="0.0" w:type="dxa"/>
              <w:right w:w="0.0" w:type="dxa"/>
            </w:tcMar>
            <w:vAlign w:val="top"/>
          </w:tcPr>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rPr>
            </w:pPr>
            <w:r w:rsidDel="00000000" w:rsidR="00000000" w:rsidRPr="00000000">
              <w:rPr>
                <w:sz w:val="18"/>
                <w:szCs w:val="18"/>
                <w:rtl w:val="0"/>
              </w:rPr>
              <w:t xml:space="preserve">CAEDNNARLMF</w:t>
            </w:r>
          </w:p>
        </w:tc>
        <w:tc>
          <w:tcPr>
            <w:shd w:fill="auto" w:val="clear"/>
            <w:tcMar>
              <w:top w:w="0.0" w:type="dxa"/>
              <w:left w:w="0.0" w:type="dxa"/>
              <w:bottom w:w="0.0" w:type="dxa"/>
              <w:right w:w="0.0" w:type="dxa"/>
            </w:tcMar>
            <w:vAlign w:val="top"/>
          </w:tcPr>
          <w:p w:rsidR="00000000" w:rsidDel="00000000" w:rsidP="00000000" w:rsidRDefault="00000000" w:rsidRPr="00000000" w14:paraId="000000A4">
            <w:pPr>
              <w:widowControl w:val="0"/>
              <w:spacing w:line="240" w:lineRule="auto"/>
              <w:rPr>
                <w:sz w:val="18"/>
                <w:szCs w:val="18"/>
              </w:rPr>
            </w:pPr>
            <w:r w:rsidDel="00000000" w:rsidR="00000000" w:rsidRPr="00000000">
              <w:rPr>
                <w:sz w:val="18"/>
                <w:szCs w:val="18"/>
                <w:rtl w:val="0"/>
              </w:rPr>
              <w:t xml:space="preserve">Epstein-Barr</w:t>
            </w:r>
          </w:p>
        </w:tc>
        <w:tc>
          <w:tcPr>
            <w:shd w:fill="auto" w:val="clear"/>
            <w:tcMar>
              <w:top w:w="0.0" w:type="dxa"/>
              <w:left w:w="0.0" w:type="dxa"/>
              <w:bottom w:w="0.0" w:type="dxa"/>
              <w:right w:w="0.0" w:type="dxa"/>
            </w:tcMar>
            <w:vAlign w:val="top"/>
          </w:tcPr>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vertAlign w:val="superscript"/>
              </w:rPr>
            </w:pPr>
            <w:hyperlink r:id="rId57">
              <w:r w:rsidDel="00000000" w:rsidR="00000000" w:rsidRPr="00000000">
                <w:rPr>
                  <w:sz w:val="18"/>
                  <w:szCs w:val="18"/>
                  <w:vertAlign w:val="superscript"/>
                  <w:rtl w:val="0"/>
                </w:rPr>
                <w:t xml:space="preserve">134,138,139</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A6">
            <w:pPr>
              <w:widowControl w:val="0"/>
              <w:spacing w:line="240" w:lineRule="auto"/>
              <w:rPr>
                <w:sz w:val="18"/>
                <w:szCs w:val="18"/>
              </w:rPr>
            </w:pPr>
            <w:r w:rsidDel="00000000" w:rsidR="00000000" w:rsidRPr="00000000">
              <w:rPr>
                <w:sz w:val="18"/>
                <w:szCs w:val="18"/>
                <w:rtl w:val="0"/>
              </w:rPr>
              <w:t xml:space="preserve">2</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rPr>
            </w:pPr>
            <w:r w:rsidDel="00000000" w:rsidR="00000000" w:rsidRPr="00000000">
              <w:rPr>
                <w:sz w:val="18"/>
                <w:szCs w:val="18"/>
                <w:rtl w:val="0"/>
              </w:rPr>
              <w:t xml:space="preserve">CILPLAGGTSYGKLTF</w:t>
            </w:r>
          </w:p>
        </w:tc>
        <w:tc>
          <w:tcPr>
            <w:shd w:fill="auto" w:val="clear"/>
            <w:tcMar>
              <w:top w:w="0.0" w:type="dxa"/>
              <w:left w:w="0.0" w:type="dxa"/>
              <w:bottom w:w="0.0" w:type="dxa"/>
              <w:right w:w="0.0" w:type="dxa"/>
            </w:tcMar>
            <w:vAlign w:val="top"/>
          </w:tcPr>
          <w:p w:rsidR="00000000" w:rsidDel="00000000" w:rsidP="00000000" w:rsidRDefault="00000000" w:rsidRPr="00000000" w14:paraId="000000AA">
            <w:pPr>
              <w:widowControl w:val="0"/>
              <w:spacing w:line="240" w:lineRule="auto"/>
              <w:rPr>
                <w:sz w:val="18"/>
                <w:szCs w:val="18"/>
              </w:rPr>
            </w:pPr>
            <w:r w:rsidDel="00000000" w:rsidR="00000000" w:rsidRPr="00000000">
              <w:rPr>
                <w:sz w:val="18"/>
                <w:szCs w:val="18"/>
                <w:rtl w:val="0"/>
              </w:rPr>
              <w:t xml:space="preserve">Epstein-Barr</w:t>
            </w:r>
          </w:p>
        </w:tc>
        <w:tc>
          <w:tcPr>
            <w:shd w:fill="auto" w:val="clear"/>
            <w:tcMar>
              <w:top w:w="0.0" w:type="dxa"/>
              <w:left w:w="0.0" w:type="dxa"/>
              <w:bottom w:w="0.0" w:type="dxa"/>
              <w:right w:w="0.0" w:type="dxa"/>
            </w:tcMar>
            <w:vAlign w:val="top"/>
          </w:tcPr>
          <w:p w:rsidR="00000000" w:rsidDel="00000000" w:rsidP="00000000" w:rsidRDefault="00000000" w:rsidRPr="00000000" w14:paraId="000000AB">
            <w:pPr>
              <w:widowControl w:val="0"/>
              <w:spacing w:line="240" w:lineRule="auto"/>
              <w:rPr>
                <w:sz w:val="18"/>
                <w:szCs w:val="18"/>
                <w:vertAlign w:val="superscript"/>
              </w:rPr>
            </w:pPr>
            <w:hyperlink r:id="rId58">
              <w:r w:rsidDel="00000000" w:rsidR="00000000" w:rsidRPr="00000000">
                <w:rPr>
                  <w:sz w:val="18"/>
                  <w:szCs w:val="18"/>
                  <w:vertAlign w:val="superscript"/>
                  <w:rtl w:val="0"/>
                </w:rPr>
                <w:t xml:space="preserve">140</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AC">
            <w:pPr>
              <w:widowControl w:val="0"/>
              <w:spacing w:line="240" w:lineRule="auto"/>
              <w:rPr>
                <w:sz w:val="18"/>
                <w:szCs w:val="18"/>
              </w:rPr>
            </w:pPr>
            <w:r w:rsidDel="00000000" w:rsidR="00000000" w:rsidRPr="00000000">
              <w:rPr>
                <w:sz w:val="18"/>
                <w:szCs w:val="18"/>
                <w:rtl w:val="0"/>
              </w:rPr>
              <w:t xml:space="preserve">3</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rPr>
            </w:pPr>
            <w:r w:rsidDel="00000000" w:rsidR="00000000" w:rsidRPr="00000000">
              <w:rPr>
                <w:sz w:val="18"/>
                <w:szCs w:val="18"/>
                <w:rtl w:val="0"/>
              </w:rPr>
              <w:t xml:space="preserve">CALNTGNQFYF</w:t>
            </w:r>
          </w:p>
        </w:tc>
        <w:tc>
          <w:tcPr>
            <w:shd w:fill="auto" w:val="clear"/>
            <w:tcMar>
              <w:top w:w="0.0" w:type="dxa"/>
              <w:left w:w="0.0" w:type="dxa"/>
              <w:bottom w:w="0.0" w:type="dxa"/>
              <w:right w:w="0.0" w:type="dxa"/>
            </w:tcMar>
            <w:vAlign w:val="top"/>
          </w:tcPr>
          <w:p w:rsidR="00000000" w:rsidDel="00000000" w:rsidP="00000000" w:rsidRDefault="00000000" w:rsidRPr="00000000" w14:paraId="000000B0">
            <w:pPr>
              <w:widowControl w:val="0"/>
              <w:spacing w:line="240" w:lineRule="auto"/>
              <w:rPr>
                <w:sz w:val="18"/>
                <w:szCs w:val="18"/>
              </w:rPr>
            </w:pPr>
            <w:r w:rsidDel="00000000" w:rsidR="00000000" w:rsidRPr="00000000">
              <w:rPr>
                <w:sz w:val="18"/>
                <w:szCs w:val="18"/>
                <w:rtl w:val="0"/>
              </w:rPr>
              <w:t xml:space="preserve">SARS-Cov-2</w:t>
            </w:r>
          </w:p>
        </w:tc>
        <w:tc>
          <w:tcPr>
            <w:shd w:fill="auto" w:val="clear"/>
            <w:tcMar>
              <w:top w:w="0.0" w:type="dxa"/>
              <w:left w:w="0.0" w:type="dxa"/>
              <w:bottom w:w="0.0" w:type="dxa"/>
              <w:right w:w="0.0" w:type="dxa"/>
            </w:tcMar>
            <w:vAlign w:val="top"/>
          </w:tcPr>
          <w:p w:rsidR="00000000" w:rsidDel="00000000" w:rsidP="00000000" w:rsidRDefault="00000000" w:rsidRPr="00000000" w14:paraId="000000B1">
            <w:pPr>
              <w:widowControl w:val="0"/>
              <w:spacing w:line="240" w:lineRule="auto"/>
              <w:rPr>
                <w:sz w:val="18"/>
                <w:szCs w:val="18"/>
                <w:vertAlign w:val="superscript"/>
              </w:rPr>
            </w:pPr>
            <w:hyperlink r:id="rId59">
              <w:r w:rsidDel="00000000" w:rsidR="00000000" w:rsidRPr="00000000">
                <w:rPr>
                  <w:sz w:val="18"/>
                  <w:szCs w:val="18"/>
                  <w:vertAlign w:val="superscript"/>
                  <w:rtl w:val="0"/>
                </w:rPr>
                <w:t xml:space="preserve">141,142</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B2">
            <w:pPr>
              <w:widowControl w:val="0"/>
              <w:spacing w:line="240" w:lineRule="auto"/>
              <w:rPr>
                <w:sz w:val="18"/>
                <w:szCs w:val="18"/>
              </w:rPr>
            </w:pPr>
            <w:r w:rsidDel="00000000" w:rsidR="00000000" w:rsidRPr="00000000">
              <w:rPr>
                <w:sz w:val="18"/>
                <w:szCs w:val="18"/>
                <w:rtl w:val="0"/>
              </w:rPr>
              <w:t xml:space="preserve">0</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rPr>
            </w:pPr>
            <w:r w:rsidDel="00000000" w:rsidR="00000000" w:rsidRPr="00000000">
              <w:rPr>
                <w:sz w:val="18"/>
                <w:szCs w:val="18"/>
                <w:rtl w:val="0"/>
              </w:rPr>
              <w:t xml:space="preserve">CARNTGNQFYF</w:t>
            </w:r>
          </w:p>
        </w:tc>
        <w:tc>
          <w:tcPr>
            <w:shd w:fill="auto" w:val="clear"/>
            <w:tcMar>
              <w:top w:w="0.0" w:type="dxa"/>
              <w:left w:w="0.0" w:type="dxa"/>
              <w:bottom w:w="0.0" w:type="dxa"/>
              <w:right w:w="0.0" w:type="dxa"/>
            </w:tcMar>
            <w:vAlign w:val="top"/>
          </w:tcPr>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rPr>
            </w:pPr>
            <w:r w:rsidDel="00000000" w:rsidR="00000000" w:rsidRPr="00000000">
              <w:rPr>
                <w:sz w:val="18"/>
                <w:szCs w:val="18"/>
                <w:rtl w:val="0"/>
              </w:rPr>
              <w:t xml:space="preserve">CMV</w:t>
            </w:r>
          </w:p>
        </w:tc>
        <w:tc>
          <w:tcPr>
            <w:shd w:fill="auto" w:val="clear"/>
            <w:tcMar>
              <w:top w:w="0.0" w:type="dxa"/>
              <w:left w:w="0.0" w:type="dxa"/>
              <w:bottom w:w="0.0" w:type="dxa"/>
              <w:right w:w="0.0" w:type="dxa"/>
            </w:tcMar>
            <w:vAlign w:val="top"/>
          </w:tcPr>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sz w:val="18"/>
                <w:szCs w:val="18"/>
                <w:vertAlign w:val="superscript"/>
              </w:rPr>
            </w:pPr>
            <w:hyperlink r:id="rId60">
              <w:r w:rsidDel="00000000" w:rsidR="00000000" w:rsidRPr="00000000">
                <w:rPr>
                  <w:sz w:val="18"/>
                  <w:szCs w:val="18"/>
                  <w:vertAlign w:val="superscript"/>
                  <w:rtl w:val="0"/>
                </w:rPr>
                <w:t xml:space="preserve">138,143</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B8">
            <w:pPr>
              <w:widowControl w:val="0"/>
              <w:spacing w:line="240" w:lineRule="auto"/>
              <w:rPr>
                <w:sz w:val="18"/>
                <w:szCs w:val="18"/>
              </w:rPr>
            </w:pPr>
            <w:r w:rsidDel="00000000" w:rsidR="00000000" w:rsidRPr="00000000">
              <w:rPr>
                <w:sz w:val="18"/>
                <w:szCs w:val="18"/>
                <w:rtl w:val="0"/>
              </w:rPr>
              <w:t xml:space="preserve">1</w:t>
            </w:r>
          </w:p>
        </w:tc>
      </w:tr>
      <w:tr>
        <w:trPr>
          <w:cantSplit w:val="0"/>
          <w:trHeight w:val="420" w:hRule="atLeast"/>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B9">
            <w:pPr>
              <w:widowControl w:val="0"/>
              <w:spacing w:line="240" w:lineRule="auto"/>
              <w:rPr>
                <w:sz w:val="18"/>
                <w:szCs w:val="18"/>
              </w:rPr>
            </w:pPr>
            <w:r w:rsidDel="00000000" w:rsidR="00000000" w:rsidRPr="00000000">
              <w:rPr>
                <w:sz w:val="18"/>
                <w:szCs w:val="18"/>
                <w:rtl w:val="0"/>
              </w:rPr>
              <w:t xml:space="preserve">TRB</w:t>
            </w:r>
          </w:p>
        </w:tc>
        <w:tc>
          <w:tcPr>
            <w:shd w:fill="auto" w:val="clear"/>
            <w:tcMar>
              <w:top w:w="0.0" w:type="dxa"/>
              <w:left w:w="0.0" w:type="dxa"/>
              <w:bottom w:w="0.0" w:type="dxa"/>
              <w:right w:w="0.0" w:type="dxa"/>
            </w:tcMar>
            <w:vAlign w:val="top"/>
          </w:tcPr>
          <w:p w:rsidR="00000000" w:rsidDel="00000000" w:rsidP="00000000" w:rsidRDefault="00000000" w:rsidRPr="00000000" w14:paraId="000000BA">
            <w:pPr>
              <w:widowControl w:val="0"/>
              <w:spacing w:line="240" w:lineRule="auto"/>
              <w:rPr>
                <w:sz w:val="18"/>
                <w:szCs w:val="18"/>
              </w:rPr>
            </w:pPr>
            <w:r w:rsidDel="00000000" w:rsidR="00000000" w:rsidRPr="00000000">
              <w:rPr>
                <w:sz w:val="18"/>
                <w:szCs w:val="18"/>
                <w:rtl w:val="0"/>
              </w:rPr>
              <w:t xml:space="preserve">MCI</w:t>
            </w:r>
          </w:p>
        </w:tc>
        <w:tc>
          <w:tcPr>
            <w:shd w:fill="auto" w:val="clear"/>
            <w:tcMar>
              <w:top w:w="0.0" w:type="dxa"/>
              <w:left w:w="0.0" w:type="dxa"/>
              <w:bottom w:w="0.0" w:type="dxa"/>
              <w:right w:w="0.0" w:type="dxa"/>
            </w:tcMar>
            <w:vAlign w:val="top"/>
          </w:tcPr>
          <w:p w:rsidR="00000000" w:rsidDel="00000000" w:rsidP="00000000" w:rsidRDefault="00000000" w:rsidRPr="00000000" w14:paraId="000000BB">
            <w:pPr>
              <w:widowControl w:val="0"/>
              <w:spacing w:line="240" w:lineRule="auto"/>
              <w:rPr>
                <w:sz w:val="18"/>
                <w:szCs w:val="18"/>
              </w:rPr>
            </w:pPr>
            <w:r w:rsidDel="00000000" w:rsidR="00000000" w:rsidRPr="00000000">
              <w:rPr>
                <w:sz w:val="18"/>
                <w:szCs w:val="18"/>
                <w:rtl w:val="0"/>
              </w:rPr>
              <w:t xml:space="preserve">CASSQGPNYEQYF</w:t>
            </w:r>
          </w:p>
        </w:tc>
        <w:tc>
          <w:tcPr>
            <w:shd w:fill="auto" w:val="clear"/>
            <w:tcMar>
              <w:top w:w="0.0" w:type="dxa"/>
              <w:left w:w="0.0" w:type="dxa"/>
              <w:bottom w:w="0.0" w:type="dxa"/>
              <w:right w:w="0.0" w:type="dxa"/>
            </w:tcMar>
            <w:vAlign w:val="top"/>
          </w:tcPr>
          <w:p w:rsidR="00000000" w:rsidDel="00000000" w:rsidP="00000000" w:rsidRDefault="00000000" w:rsidRPr="00000000" w14:paraId="000000BC">
            <w:pPr>
              <w:widowControl w:val="0"/>
              <w:spacing w:line="240" w:lineRule="auto"/>
              <w:rPr>
                <w:sz w:val="18"/>
                <w:szCs w:val="18"/>
              </w:rPr>
            </w:pPr>
            <w:r w:rsidDel="00000000" w:rsidR="00000000" w:rsidRPr="00000000">
              <w:rPr>
                <w:sz w:val="18"/>
                <w:szCs w:val="18"/>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00BD">
            <w:pPr>
              <w:widowControl w:val="0"/>
              <w:spacing w:line="240" w:lineRule="auto"/>
              <w:rPr>
                <w:sz w:val="18"/>
                <w:szCs w:val="18"/>
              </w:rPr>
            </w:pPr>
            <w:r w:rsidDel="00000000" w:rsidR="00000000" w:rsidRPr="00000000">
              <w:rPr>
                <w:sz w:val="18"/>
                <w:szCs w:val="18"/>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00BE">
            <w:pPr>
              <w:widowControl w:val="0"/>
              <w:spacing w:line="240" w:lineRule="auto"/>
              <w:rPr>
                <w:sz w:val="18"/>
                <w:szCs w:val="18"/>
              </w:rPr>
            </w:pPr>
            <w:r w:rsidDel="00000000" w:rsidR="00000000" w:rsidRPr="00000000">
              <w:rPr>
                <w:sz w:val="18"/>
                <w:szCs w:val="18"/>
                <w:rtl w:val="0"/>
              </w:rPr>
              <w:t xml:space="preserve">-</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r>
          </w:p>
        </w:tc>
        <w:tc>
          <w:tcPr>
            <w:vMerge w:val="restart"/>
            <w:shd w:fill="auto" w:val="clear"/>
            <w:tcMar>
              <w:top w:w="0.0" w:type="dxa"/>
              <w:left w:w="0.0" w:type="dxa"/>
              <w:bottom w:w="0.0" w:type="dxa"/>
              <w:right w:w="0.0" w:type="dxa"/>
            </w:tcMar>
            <w:vAlign w:val="top"/>
          </w:tcPr>
          <w:p w:rsidR="00000000" w:rsidDel="00000000" w:rsidP="00000000" w:rsidRDefault="00000000" w:rsidRPr="00000000" w14:paraId="000000C0">
            <w:pPr>
              <w:widowControl w:val="0"/>
              <w:spacing w:line="240" w:lineRule="auto"/>
              <w:rPr>
                <w:sz w:val="18"/>
                <w:szCs w:val="18"/>
              </w:rPr>
            </w:pPr>
            <w:r w:rsidDel="00000000" w:rsidR="00000000" w:rsidRPr="00000000">
              <w:rPr>
                <w:sz w:val="18"/>
                <w:szCs w:val="18"/>
                <w:rtl w:val="0"/>
              </w:rPr>
              <w:t xml:space="preserve">AD</w:t>
            </w:r>
          </w:p>
        </w:tc>
        <w:tc>
          <w:tcPr>
            <w:shd w:fill="auto" w:val="clear"/>
            <w:tcMar>
              <w:top w:w="0.0" w:type="dxa"/>
              <w:left w:w="0.0" w:type="dxa"/>
              <w:bottom w:w="0.0" w:type="dxa"/>
              <w:right w:w="0.0" w:type="dxa"/>
            </w:tcMar>
            <w:vAlign w:val="top"/>
          </w:tcPr>
          <w:p w:rsidR="00000000" w:rsidDel="00000000" w:rsidP="00000000" w:rsidRDefault="00000000" w:rsidRPr="00000000" w14:paraId="000000C1">
            <w:pPr>
              <w:widowControl w:val="0"/>
              <w:spacing w:line="240" w:lineRule="auto"/>
              <w:rPr>
                <w:sz w:val="18"/>
                <w:szCs w:val="18"/>
              </w:rPr>
            </w:pPr>
            <w:r w:rsidDel="00000000" w:rsidR="00000000" w:rsidRPr="00000000">
              <w:rPr>
                <w:sz w:val="18"/>
                <w:szCs w:val="18"/>
                <w:rtl w:val="0"/>
              </w:rPr>
              <w:t xml:space="preserve">CASSLGQAYEQYF</w:t>
            </w:r>
          </w:p>
        </w:tc>
        <w:tc>
          <w:tcPr>
            <w:shd w:fill="auto" w:val="clear"/>
            <w:tcMar>
              <w:top w:w="0.0" w:type="dxa"/>
              <w:left w:w="0.0" w:type="dxa"/>
              <w:bottom w:w="0.0" w:type="dxa"/>
              <w:right w:w="0.0" w:type="dxa"/>
            </w:tcMar>
            <w:vAlign w:val="top"/>
          </w:tcPr>
          <w:p w:rsidR="00000000" w:rsidDel="00000000" w:rsidP="00000000" w:rsidRDefault="00000000" w:rsidRPr="00000000" w14:paraId="000000C2">
            <w:pPr>
              <w:widowControl w:val="0"/>
              <w:spacing w:line="240" w:lineRule="auto"/>
              <w:rPr>
                <w:sz w:val="18"/>
                <w:szCs w:val="18"/>
              </w:rPr>
            </w:pPr>
            <w:r w:rsidDel="00000000" w:rsidR="00000000" w:rsidRPr="00000000">
              <w:rPr>
                <w:sz w:val="18"/>
                <w:szCs w:val="18"/>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00C3">
            <w:pPr>
              <w:widowControl w:val="0"/>
              <w:spacing w:line="240" w:lineRule="auto"/>
              <w:rPr>
                <w:sz w:val="18"/>
                <w:szCs w:val="18"/>
              </w:rPr>
            </w:pPr>
            <w:r w:rsidDel="00000000" w:rsidR="00000000" w:rsidRPr="00000000">
              <w:rPr>
                <w:sz w:val="18"/>
                <w:szCs w:val="18"/>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00C4">
            <w:pPr>
              <w:widowControl w:val="0"/>
              <w:spacing w:line="240" w:lineRule="auto"/>
              <w:rPr>
                <w:sz w:val="18"/>
                <w:szCs w:val="18"/>
              </w:rPr>
            </w:pPr>
            <w:r w:rsidDel="00000000" w:rsidR="00000000" w:rsidRPr="00000000">
              <w:rPr>
                <w:sz w:val="18"/>
                <w:szCs w:val="18"/>
                <w:rtl w:val="0"/>
              </w:rPr>
              <w:t xml:space="preserve">-</w:t>
            </w:r>
          </w:p>
        </w:tc>
      </w:tr>
      <w:tr>
        <w:trPr>
          <w:cantSplit w:val="0"/>
          <w:trHeight w:val="420"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c>
          <w:tcPr>
            <w:vMerge w:val="continue"/>
            <w:shd w:fill="auto" w:val="clear"/>
            <w:tcMar>
              <w:top w:w="0.0" w:type="dxa"/>
              <w:left w:w="0.0" w:type="dxa"/>
              <w:bottom w:w="0.0" w:type="dxa"/>
              <w:right w:w="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C7">
            <w:pPr>
              <w:widowControl w:val="0"/>
              <w:spacing w:line="240" w:lineRule="auto"/>
              <w:rPr>
                <w:sz w:val="18"/>
                <w:szCs w:val="18"/>
              </w:rPr>
            </w:pPr>
            <w:r w:rsidDel="00000000" w:rsidR="00000000" w:rsidRPr="00000000">
              <w:rPr>
                <w:sz w:val="18"/>
                <w:szCs w:val="18"/>
                <w:rtl w:val="0"/>
              </w:rPr>
              <w:t xml:space="preserve">CASSSANYGYTF</w:t>
            </w:r>
          </w:p>
        </w:tc>
        <w:tc>
          <w:tcPr>
            <w:shd w:fill="auto" w:val="clear"/>
            <w:tcMar>
              <w:top w:w="0.0" w:type="dxa"/>
              <w:left w:w="0.0" w:type="dxa"/>
              <w:bottom w:w="0.0" w:type="dxa"/>
              <w:right w:w="0.0" w:type="dxa"/>
            </w:tcMar>
            <w:vAlign w:val="top"/>
          </w:tcPr>
          <w:p w:rsidR="00000000" w:rsidDel="00000000" w:rsidP="00000000" w:rsidRDefault="00000000" w:rsidRPr="00000000" w14:paraId="000000C8">
            <w:pPr>
              <w:widowControl w:val="0"/>
              <w:spacing w:line="240" w:lineRule="auto"/>
              <w:rPr>
                <w:sz w:val="18"/>
                <w:szCs w:val="18"/>
              </w:rPr>
            </w:pPr>
            <w:r w:rsidDel="00000000" w:rsidR="00000000" w:rsidRPr="00000000">
              <w:rPr>
                <w:sz w:val="18"/>
                <w:szCs w:val="18"/>
                <w:rtl w:val="0"/>
              </w:rPr>
              <w:t xml:space="preserve">CMV</w:t>
            </w:r>
          </w:p>
        </w:tc>
        <w:tc>
          <w:tcPr>
            <w:shd w:fill="auto" w:val="clear"/>
            <w:tcMar>
              <w:top w:w="0.0" w:type="dxa"/>
              <w:left w:w="0.0" w:type="dxa"/>
              <w:bottom w:w="0.0" w:type="dxa"/>
              <w:right w:w="0.0" w:type="dxa"/>
            </w:tcMar>
            <w:vAlign w:val="top"/>
          </w:tcPr>
          <w:p w:rsidR="00000000" w:rsidDel="00000000" w:rsidP="00000000" w:rsidRDefault="00000000" w:rsidRPr="00000000" w14:paraId="000000C9">
            <w:pPr>
              <w:widowControl w:val="0"/>
              <w:spacing w:line="240" w:lineRule="auto"/>
              <w:rPr>
                <w:sz w:val="18"/>
                <w:szCs w:val="18"/>
                <w:vertAlign w:val="superscript"/>
              </w:rPr>
            </w:pPr>
            <w:hyperlink r:id="rId61">
              <w:r w:rsidDel="00000000" w:rsidR="00000000" w:rsidRPr="00000000">
                <w:rPr>
                  <w:sz w:val="18"/>
                  <w:szCs w:val="18"/>
                  <w:vertAlign w:val="superscript"/>
                  <w:rtl w:val="0"/>
                </w:rPr>
                <w:t xml:space="preserve">144,145</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CA">
            <w:pPr>
              <w:widowControl w:val="0"/>
              <w:spacing w:line="240" w:lineRule="auto"/>
              <w:rPr>
                <w:sz w:val="18"/>
                <w:szCs w:val="18"/>
              </w:rPr>
            </w:pPr>
            <w:r w:rsidDel="00000000" w:rsidR="00000000" w:rsidRPr="00000000">
              <w:rPr>
                <w:sz w:val="18"/>
                <w:szCs w:val="18"/>
                <w:rtl w:val="0"/>
              </w:rPr>
              <w:t xml:space="preserve">2</w:t>
            </w:r>
          </w:p>
        </w:tc>
      </w:tr>
    </w:tbl>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160" w:line="480" w:lineRule="auto"/>
        <w:jc w:val="both"/>
        <w:rPr/>
      </w:pPr>
      <w:r w:rsidDel="00000000" w:rsidR="00000000" w:rsidRPr="00000000">
        <w:rPr>
          <w:rtl w:val="0"/>
        </w:rPr>
        <w:t xml:space="preserve">Suppl. </w:t>
      </w:r>
      <w:hyperlink w:anchor="stabl_cdr3">
        <w:r w:rsidDel="00000000" w:rsidR="00000000" w:rsidRPr="00000000">
          <w:rPr>
            <w:rtl w:val="0"/>
          </w:rPr>
          <w:t xml:space="preserve">Table 1</w:t>
        </w:r>
      </w:hyperlink>
      <w:r w:rsidDel="00000000" w:rsidR="00000000" w:rsidRPr="00000000">
        <w:rPr>
          <w:rFonts w:ascii="Arial Unicode MS" w:cs="Arial Unicode MS" w:eastAsia="Arial Unicode MS" w:hAnsi="Arial Unicode MS"/>
          <w:rtl w:val="0"/>
        </w:rPr>
        <w:t xml:space="preserve">. CDR3 sequences present in subjects with MCI and AD with a count of ≥ 3.</w:t>
      </w:r>
    </w:p>
    <w:p w:rsidR="00000000" w:rsidDel="00000000" w:rsidP="00000000" w:rsidRDefault="00000000" w:rsidRPr="00000000" w14:paraId="000000CC">
      <w:pPr>
        <w:spacing w:after="200" w:before="200" w:line="480" w:lineRule="auto"/>
        <w:jc w:val="both"/>
        <w:rPr/>
      </w:pPr>
      <w:r w:rsidDel="00000000" w:rsidR="00000000" w:rsidRPr="00000000">
        <w:rPr>
          <w:rtl w:val="0"/>
        </w:rPr>
        <w:t xml:space="preserve">Suppl. </w:t>
      </w:r>
      <w:hyperlink w:anchor="stabl_flow_cytometry">
        <w:r w:rsidDel="00000000" w:rsidR="00000000" w:rsidRPr="00000000">
          <w:rPr>
            <w:rtl w:val="0"/>
          </w:rPr>
          <w:t xml:space="preserve">Table 2</w:t>
        </w:r>
      </w:hyperlink>
      <w:r w:rsidDel="00000000" w:rsidR="00000000" w:rsidRPr="00000000">
        <w:rPr>
          <w:rtl w:val="0"/>
        </w:rPr>
        <w:t xml:space="preserve">. Flow cytometry marker combinations for definition of distinct cell populations.</w:t>
      </w:r>
    </w:p>
    <w:p w:rsidR="00000000" w:rsidDel="00000000" w:rsidP="00000000" w:rsidRDefault="00000000" w:rsidRPr="00000000" w14:paraId="000000CD">
      <w:pPr>
        <w:jc w:val="both"/>
        <w:rPr/>
      </w:pPr>
      <w:r w:rsidDel="00000000" w:rsidR="00000000" w:rsidRPr="00000000">
        <w:rPr>
          <w:rtl w:val="0"/>
        </w:rPr>
      </w:r>
    </w:p>
    <w:tbl>
      <w:tblPr>
        <w:tblStyle w:val="Table2"/>
        <w:tblW w:w="8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5"/>
        <w:gridCol w:w="2045"/>
        <w:gridCol w:w="875"/>
        <w:gridCol w:w="755"/>
        <w:gridCol w:w="2510"/>
        <w:tblGridChange w:id="0">
          <w:tblGrid>
            <w:gridCol w:w="2135"/>
            <w:gridCol w:w="2045"/>
            <w:gridCol w:w="875"/>
            <w:gridCol w:w="755"/>
            <w:gridCol w:w="2510"/>
          </w:tblGrid>
        </w:tblGridChange>
      </w:tblGrid>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jc w:val="both"/>
              <w:rPr>
                <w:sz w:val="18"/>
                <w:szCs w:val="18"/>
              </w:rPr>
            </w:pPr>
            <w:r w:rsidDel="00000000" w:rsidR="00000000" w:rsidRPr="00000000">
              <w:rPr>
                <w:sz w:val="18"/>
                <w:szCs w:val="18"/>
                <w:rtl w:val="0"/>
              </w:rPr>
              <w:t xml:space="preserve">Classifier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jc w:val="both"/>
              <w:rPr>
                <w:sz w:val="18"/>
                <w:szCs w:val="18"/>
              </w:rPr>
            </w:pPr>
            <w:r w:rsidDel="00000000" w:rsidR="00000000" w:rsidRPr="00000000">
              <w:rPr>
                <w:sz w:val="18"/>
                <w:szCs w:val="18"/>
                <w:rtl w:val="0"/>
              </w:rPr>
              <w:t xml:space="preserve">Hyperparameter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jc w:val="both"/>
              <w:rPr>
                <w:sz w:val="18"/>
                <w:szCs w:val="18"/>
              </w:rPr>
            </w:pPr>
            <w:r w:rsidDel="00000000" w:rsidR="00000000" w:rsidRPr="00000000">
              <w:rPr>
                <w:sz w:val="18"/>
                <w:szCs w:val="18"/>
                <w:rtl w:val="0"/>
              </w:rPr>
              <w:t xml:space="preserve">Min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1">
            <w:pPr>
              <w:jc w:val="both"/>
              <w:rPr>
                <w:sz w:val="18"/>
                <w:szCs w:val="18"/>
              </w:rPr>
            </w:pPr>
            <w:r w:rsidDel="00000000" w:rsidR="00000000" w:rsidRPr="00000000">
              <w:rPr>
                <w:sz w:val="18"/>
                <w:szCs w:val="18"/>
                <w:rtl w:val="0"/>
              </w:rPr>
              <w:t xml:space="preserve">Max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2">
            <w:pPr>
              <w:jc w:val="both"/>
              <w:rPr>
                <w:sz w:val="18"/>
                <w:szCs w:val="18"/>
              </w:rPr>
            </w:pPr>
            <w:r w:rsidDel="00000000" w:rsidR="00000000" w:rsidRPr="00000000">
              <w:rPr>
                <w:sz w:val="18"/>
                <w:szCs w:val="18"/>
                <w:rtl w:val="0"/>
              </w:rPr>
              <w:t xml:space="preserve">Options</w:t>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3">
            <w:pPr>
              <w:jc w:val="both"/>
              <w:rPr>
                <w:sz w:val="18"/>
                <w:szCs w:val="18"/>
              </w:rPr>
            </w:pPr>
            <w:r w:rsidDel="00000000" w:rsidR="00000000" w:rsidRPr="00000000">
              <w:rPr>
                <w:sz w:val="18"/>
                <w:szCs w:val="18"/>
                <w:rtl w:val="0"/>
              </w:rPr>
              <w:t xml:space="preserve">Logistic Regression</w:t>
            </w:r>
          </w:p>
          <w:p w:rsidR="00000000" w:rsidDel="00000000" w:rsidP="00000000" w:rsidRDefault="00000000" w:rsidRPr="00000000" w14:paraId="000000D4">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5">
            <w:pPr>
              <w:jc w:val="both"/>
              <w:rPr>
                <w:sz w:val="18"/>
                <w:szCs w:val="18"/>
              </w:rPr>
            </w:pPr>
            <w:r w:rsidDel="00000000" w:rsidR="00000000" w:rsidRPr="00000000">
              <w:rPr>
                <w:sz w:val="18"/>
                <w:szCs w:val="18"/>
                <w:rtl w:val="0"/>
              </w:rPr>
              <w:t xml:space="preserve">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6">
            <w:pPr>
              <w:jc w:val="both"/>
              <w:rPr>
                <w:sz w:val="18"/>
                <w:szCs w:val="18"/>
              </w:rPr>
            </w:pPr>
            <w:r w:rsidDel="00000000" w:rsidR="00000000" w:rsidRPr="00000000">
              <w:rPr>
                <w:sz w:val="18"/>
                <w:szCs w:val="18"/>
                <w:rtl w:val="0"/>
              </w:rPr>
              <w:t xml:space="preserve">0.01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7">
            <w:pPr>
              <w:jc w:val="both"/>
              <w:rPr>
                <w:sz w:val="18"/>
                <w:szCs w:val="18"/>
              </w:rPr>
            </w:pPr>
            <w:r w:rsidDel="00000000" w:rsidR="00000000" w:rsidRPr="00000000">
              <w:rPr>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8">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9">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A">
            <w:pPr>
              <w:jc w:val="both"/>
              <w:rPr>
                <w:sz w:val="18"/>
                <w:szCs w:val="18"/>
              </w:rPr>
            </w:pPr>
            <w:r w:rsidDel="00000000" w:rsidR="00000000" w:rsidRPr="00000000">
              <w:rPr>
                <w:sz w:val="18"/>
                <w:szCs w:val="18"/>
                <w:rtl w:val="0"/>
              </w:rPr>
              <w:t xml:space="preserve">solver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B">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C">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D">
            <w:pPr>
              <w:jc w:val="both"/>
              <w:rPr>
                <w:sz w:val="18"/>
                <w:szCs w:val="18"/>
              </w:rPr>
            </w:pPr>
            <w:r w:rsidDel="00000000" w:rsidR="00000000" w:rsidRPr="00000000">
              <w:rPr>
                <w:sz w:val="18"/>
                <w:szCs w:val="18"/>
                <w:rtl w:val="0"/>
              </w:rPr>
              <w:t xml:space="preserve">liblinear, lbfgs</w:t>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E">
            <w:pPr>
              <w:jc w:val="both"/>
              <w:rPr>
                <w:sz w:val="18"/>
                <w:szCs w:val="18"/>
              </w:rPr>
            </w:pPr>
            <w:r w:rsidDel="00000000" w:rsidR="00000000" w:rsidRPr="00000000">
              <w:rPr>
                <w:sz w:val="18"/>
                <w:szCs w:val="18"/>
                <w:rtl w:val="0"/>
              </w:rPr>
              <w:t xml:space="preserve">SVM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F">
            <w:pPr>
              <w:jc w:val="both"/>
              <w:rPr>
                <w:sz w:val="18"/>
                <w:szCs w:val="18"/>
              </w:rPr>
            </w:pPr>
            <w:r w:rsidDel="00000000" w:rsidR="00000000" w:rsidRPr="00000000">
              <w:rPr>
                <w:sz w:val="18"/>
                <w:szCs w:val="18"/>
                <w:rtl w:val="0"/>
              </w:rPr>
              <w:t xml:space="preserve">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0">
            <w:pPr>
              <w:jc w:val="both"/>
              <w:rPr>
                <w:sz w:val="18"/>
                <w:szCs w:val="18"/>
              </w:rPr>
            </w:pPr>
            <w:r w:rsidDel="00000000" w:rsidR="00000000" w:rsidRPr="00000000">
              <w:rPr>
                <w:sz w:val="18"/>
                <w:szCs w:val="18"/>
                <w:rtl w:val="0"/>
              </w:rPr>
              <w:t xml:space="preserve">0.01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1">
            <w:pPr>
              <w:jc w:val="both"/>
              <w:rPr>
                <w:sz w:val="18"/>
                <w:szCs w:val="18"/>
              </w:rPr>
            </w:pPr>
            <w:r w:rsidDel="00000000" w:rsidR="00000000" w:rsidRPr="00000000">
              <w:rPr>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2">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3">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4">
            <w:pPr>
              <w:jc w:val="both"/>
              <w:rPr>
                <w:sz w:val="18"/>
                <w:szCs w:val="18"/>
              </w:rPr>
            </w:pPr>
            <w:r w:rsidDel="00000000" w:rsidR="00000000" w:rsidRPr="00000000">
              <w:rPr>
                <w:sz w:val="18"/>
                <w:szCs w:val="18"/>
                <w:rtl w:val="0"/>
              </w:rPr>
              <w:t xml:space="preserve">kernel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5">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6">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7">
            <w:pPr>
              <w:jc w:val="both"/>
              <w:rPr>
                <w:sz w:val="18"/>
                <w:szCs w:val="18"/>
              </w:rPr>
            </w:pPr>
            <w:r w:rsidDel="00000000" w:rsidR="00000000" w:rsidRPr="00000000">
              <w:rPr>
                <w:sz w:val="18"/>
                <w:szCs w:val="18"/>
                <w:rtl w:val="0"/>
              </w:rPr>
              <w:t xml:space="preserve">linear, rbf, poly, sigmoid</w:t>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9">
            <w:pPr>
              <w:jc w:val="both"/>
              <w:rPr>
                <w:sz w:val="18"/>
                <w:szCs w:val="18"/>
              </w:rPr>
            </w:pPr>
            <w:r w:rsidDel="00000000" w:rsidR="00000000" w:rsidRPr="00000000">
              <w:rPr>
                <w:sz w:val="18"/>
                <w:szCs w:val="18"/>
                <w:rtl w:val="0"/>
              </w:rPr>
              <w:t xml:space="preserve">degree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A">
            <w:pPr>
              <w:jc w:val="both"/>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B">
            <w:pPr>
              <w:jc w:val="both"/>
              <w:rPr>
                <w:sz w:val="18"/>
                <w:szCs w:val="18"/>
              </w:rPr>
            </w:pPr>
            <w:r w:rsidDel="00000000" w:rsidR="00000000" w:rsidRPr="00000000">
              <w:rPr>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C">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E">
            <w:pPr>
              <w:jc w:val="both"/>
              <w:rPr>
                <w:sz w:val="18"/>
                <w:szCs w:val="18"/>
              </w:rPr>
            </w:pPr>
            <w:r w:rsidDel="00000000" w:rsidR="00000000" w:rsidRPr="00000000">
              <w:rPr>
                <w:sz w:val="18"/>
                <w:szCs w:val="18"/>
                <w:rtl w:val="0"/>
              </w:rPr>
              <w:t xml:space="preserve">coef0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EF">
            <w:pPr>
              <w:jc w:val="both"/>
              <w:rPr>
                <w:sz w:val="18"/>
                <w:szCs w:val="18"/>
              </w:rPr>
            </w:pPr>
            <w:r w:rsidDel="00000000" w:rsidR="00000000" w:rsidRPr="00000000">
              <w:rPr>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0">
            <w:pPr>
              <w:jc w:val="both"/>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1">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2">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3">
            <w:pPr>
              <w:jc w:val="both"/>
              <w:rPr>
                <w:sz w:val="18"/>
                <w:szCs w:val="18"/>
              </w:rPr>
            </w:pPr>
            <w:r w:rsidDel="00000000" w:rsidR="00000000" w:rsidRPr="00000000">
              <w:rPr>
                <w:sz w:val="18"/>
                <w:szCs w:val="18"/>
                <w:rtl w:val="0"/>
              </w:rPr>
              <w:t xml:space="preserve">shrinking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4">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5">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6">
            <w:pPr>
              <w:jc w:val="both"/>
              <w:rPr>
                <w:sz w:val="18"/>
                <w:szCs w:val="18"/>
              </w:rPr>
            </w:pPr>
            <w:r w:rsidDel="00000000" w:rsidR="00000000" w:rsidRPr="00000000">
              <w:rPr>
                <w:sz w:val="18"/>
                <w:szCs w:val="18"/>
                <w:rtl w:val="0"/>
              </w:rPr>
              <w:t xml:space="preserve">True, False</w:t>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7">
            <w:pPr>
              <w:jc w:val="both"/>
              <w:rPr>
                <w:sz w:val="18"/>
                <w:szCs w:val="18"/>
              </w:rPr>
            </w:pPr>
            <w:r w:rsidDel="00000000" w:rsidR="00000000" w:rsidRPr="00000000">
              <w:rPr>
                <w:sz w:val="18"/>
                <w:szCs w:val="18"/>
                <w:rtl w:val="0"/>
              </w:rPr>
              <w:t xml:space="preserve">XGBoost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8">
            <w:pPr>
              <w:jc w:val="both"/>
              <w:rPr>
                <w:sz w:val="18"/>
                <w:szCs w:val="18"/>
              </w:rPr>
            </w:pPr>
            <w:r w:rsidDel="00000000" w:rsidR="00000000" w:rsidRPr="00000000">
              <w:rPr>
                <w:sz w:val="18"/>
                <w:szCs w:val="18"/>
                <w:rtl w:val="0"/>
              </w:rPr>
              <w:t xml:space="preserve">n_estimators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9">
            <w:pPr>
              <w:jc w:val="both"/>
              <w:rPr>
                <w:sz w:val="18"/>
                <w:szCs w:val="18"/>
              </w:rPr>
            </w:pPr>
            <w:r w:rsidDel="00000000" w:rsidR="00000000" w:rsidRPr="00000000">
              <w:rPr>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A">
            <w:pPr>
              <w:jc w:val="both"/>
              <w:rPr>
                <w:sz w:val="18"/>
                <w:szCs w:val="18"/>
              </w:rPr>
            </w:pPr>
            <w:r w:rsidDel="00000000" w:rsidR="00000000" w:rsidRPr="00000000">
              <w:rPr>
                <w:sz w:val="18"/>
                <w:szCs w:val="18"/>
                <w:rtl w:val="0"/>
              </w:rPr>
              <w:t xml:space="preserve">300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B">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C">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D">
            <w:pPr>
              <w:jc w:val="both"/>
              <w:rPr>
                <w:sz w:val="18"/>
                <w:szCs w:val="18"/>
              </w:rPr>
            </w:pPr>
            <w:r w:rsidDel="00000000" w:rsidR="00000000" w:rsidRPr="00000000">
              <w:rPr>
                <w:sz w:val="18"/>
                <w:szCs w:val="18"/>
                <w:rtl w:val="0"/>
              </w:rPr>
              <w:t xml:space="preserve">learning_rate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E">
            <w:pPr>
              <w:jc w:val="both"/>
              <w:rPr>
                <w:sz w:val="18"/>
                <w:szCs w:val="18"/>
              </w:rPr>
            </w:pPr>
            <w:r w:rsidDel="00000000" w:rsidR="00000000" w:rsidRPr="00000000">
              <w:rPr>
                <w:sz w:val="18"/>
                <w:szCs w:val="18"/>
                <w:rtl w:val="0"/>
              </w:rPr>
              <w:t xml:space="preserve">0.001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FF">
            <w:pPr>
              <w:jc w:val="both"/>
              <w:rPr>
                <w:sz w:val="18"/>
                <w:szCs w:val="18"/>
              </w:rPr>
            </w:pPr>
            <w:r w:rsidDel="00000000" w:rsidR="00000000" w:rsidRPr="00000000">
              <w:rPr>
                <w:sz w:val="18"/>
                <w:szCs w:val="18"/>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0">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1">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2">
            <w:pPr>
              <w:jc w:val="both"/>
              <w:rPr>
                <w:sz w:val="18"/>
                <w:szCs w:val="18"/>
              </w:rPr>
            </w:pPr>
            <w:r w:rsidDel="00000000" w:rsidR="00000000" w:rsidRPr="00000000">
              <w:rPr>
                <w:sz w:val="18"/>
                <w:szCs w:val="18"/>
                <w:rtl w:val="0"/>
              </w:rPr>
              <w:t xml:space="preserve">loss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3">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4">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5">
            <w:pPr>
              <w:jc w:val="both"/>
              <w:rPr>
                <w:sz w:val="18"/>
                <w:szCs w:val="18"/>
              </w:rPr>
            </w:pPr>
            <w:r w:rsidDel="00000000" w:rsidR="00000000" w:rsidRPr="00000000">
              <w:rPr>
                <w:sz w:val="18"/>
                <w:szCs w:val="18"/>
                <w:rtl w:val="0"/>
              </w:rPr>
              <w:t xml:space="preserve">log_loss, exponential</w:t>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7">
            <w:pPr>
              <w:jc w:val="both"/>
              <w:rPr>
                <w:sz w:val="18"/>
                <w:szCs w:val="18"/>
              </w:rPr>
            </w:pPr>
            <w:r w:rsidDel="00000000" w:rsidR="00000000" w:rsidRPr="00000000">
              <w:rPr>
                <w:sz w:val="18"/>
                <w:szCs w:val="18"/>
                <w:rtl w:val="0"/>
              </w:rPr>
              <w:t xml:space="preserve">min_samples_split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8">
            <w:pPr>
              <w:jc w:val="both"/>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9">
            <w:pPr>
              <w:jc w:val="both"/>
              <w:rPr>
                <w:sz w:val="18"/>
                <w:szCs w:val="18"/>
              </w:rPr>
            </w:pPr>
            <w:r w:rsidDel="00000000" w:rsidR="00000000" w:rsidRPr="00000000">
              <w:rPr>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A">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C">
            <w:pPr>
              <w:jc w:val="both"/>
              <w:rPr>
                <w:sz w:val="18"/>
                <w:szCs w:val="18"/>
              </w:rPr>
            </w:pPr>
            <w:r w:rsidDel="00000000" w:rsidR="00000000" w:rsidRPr="00000000">
              <w:rPr>
                <w:sz w:val="18"/>
                <w:szCs w:val="18"/>
                <w:rtl w:val="0"/>
              </w:rPr>
              <w:t xml:space="preserve">min_samples_leaf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D">
            <w:pPr>
              <w:jc w:val="both"/>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E">
            <w:pPr>
              <w:jc w:val="both"/>
              <w:rPr>
                <w:sz w:val="18"/>
                <w:szCs w:val="18"/>
              </w:rPr>
            </w:pPr>
            <w:r w:rsidDel="00000000" w:rsidR="00000000" w:rsidRPr="00000000">
              <w:rPr>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F">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0">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1">
            <w:pPr>
              <w:jc w:val="both"/>
              <w:rPr>
                <w:sz w:val="18"/>
                <w:szCs w:val="18"/>
              </w:rPr>
            </w:pPr>
            <w:r w:rsidDel="00000000" w:rsidR="00000000" w:rsidRPr="00000000">
              <w:rPr>
                <w:sz w:val="18"/>
                <w:szCs w:val="18"/>
                <w:rtl w:val="0"/>
              </w:rPr>
              <w:t xml:space="preserve">max_depth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2">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3">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4">
            <w:pPr>
              <w:jc w:val="both"/>
              <w:rPr>
                <w:sz w:val="18"/>
                <w:szCs w:val="18"/>
              </w:rPr>
            </w:pPr>
            <w:r w:rsidDel="00000000" w:rsidR="00000000" w:rsidRPr="00000000">
              <w:rPr>
                <w:sz w:val="18"/>
                <w:szCs w:val="18"/>
                <w:rtl w:val="0"/>
              </w:rPr>
              <w:t xml:space="preserve">None, 3, 5, 10, 20, 40</w:t>
            </w:r>
          </w:p>
        </w:tc>
      </w:tr>
      <w:tr>
        <w:trPr>
          <w:cantSplit w:val="0"/>
          <w:trHeight w:val="4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5">
            <w:pPr>
              <w:jc w:val="both"/>
              <w:rPr>
                <w:sz w:val="18"/>
                <w:szCs w:val="18"/>
              </w:rPr>
            </w:pPr>
            <w:r w:rsidDel="00000000" w:rsidR="00000000" w:rsidRPr="00000000">
              <w:rPr>
                <w:sz w:val="18"/>
                <w:szCs w:val="18"/>
                <w:rtl w:val="0"/>
              </w:rPr>
              <w:t xml:space="preserve">Random Forest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6">
            <w:pPr>
              <w:jc w:val="both"/>
              <w:rPr>
                <w:sz w:val="18"/>
                <w:szCs w:val="18"/>
              </w:rPr>
            </w:pPr>
            <w:r w:rsidDel="00000000" w:rsidR="00000000" w:rsidRPr="00000000">
              <w:rPr>
                <w:sz w:val="18"/>
                <w:szCs w:val="18"/>
                <w:rtl w:val="0"/>
              </w:rPr>
              <w:t xml:space="preserve">n_estimators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7">
            <w:pPr>
              <w:jc w:val="both"/>
              <w:rPr>
                <w:sz w:val="18"/>
                <w:szCs w:val="18"/>
              </w:rPr>
            </w:pPr>
            <w:r w:rsidDel="00000000" w:rsidR="00000000" w:rsidRPr="00000000">
              <w:rPr>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8">
            <w:pPr>
              <w:jc w:val="both"/>
              <w:rPr>
                <w:sz w:val="18"/>
                <w:szCs w:val="18"/>
              </w:rPr>
            </w:pPr>
            <w:r w:rsidDel="00000000" w:rsidR="00000000" w:rsidRPr="00000000">
              <w:rPr>
                <w:sz w:val="18"/>
                <w:szCs w:val="18"/>
                <w:rtl w:val="0"/>
              </w:rPr>
              <w:t xml:space="preserve">300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9">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A">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B">
            <w:pPr>
              <w:jc w:val="both"/>
              <w:rPr>
                <w:sz w:val="18"/>
                <w:szCs w:val="18"/>
              </w:rPr>
            </w:pPr>
            <w:r w:rsidDel="00000000" w:rsidR="00000000" w:rsidRPr="00000000">
              <w:rPr>
                <w:sz w:val="18"/>
                <w:szCs w:val="18"/>
                <w:rtl w:val="0"/>
              </w:rPr>
              <w:t xml:space="preserve">max_depth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C">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D">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E">
            <w:pPr>
              <w:jc w:val="both"/>
              <w:rPr>
                <w:sz w:val="18"/>
                <w:szCs w:val="18"/>
              </w:rPr>
            </w:pPr>
            <w:r w:rsidDel="00000000" w:rsidR="00000000" w:rsidRPr="00000000">
              <w:rPr>
                <w:sz w:val="18"/>
                <w:szCs w:val="18"/>
                <w:rtl w:val="0"/>
              </w:rPr>
              <w:t xml:space="preserve">None, 3, 5, 10, 20, 40</w:t>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F">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0">
            <w:pPr>
              <w:jc w:val="both"/>
              <w:rPr>
                <w:sz w:val="18"/>
                <w:szCs w:val="18"/>
              </w:rPr>
            </w:pPr>
            <w:r w:rsidDel="00000000" w:rsidR="00000000" w:rsidRPr="00000000">
              <w:rPr>
                <w:sz w:val="18"/>
                <w:szCs w:val="18"/>
                <w:rtl w:val="0"/>
              </w:rPr>
              <w:t xml:space="preserve">min_samples_split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1">
            <w:pPr>
              <w:jc w:val="both"/>
              <w:rPr>
                <w:sz w:val="18"/>
                <w:szCs w:val="18"/>
              </w:rPr>
            </w:pPr>
            <w:r w:rsidDel="00000000" w:rsidR="00000000" w:rsidRPr="00000000">
              <w:rPr>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2">
            <w:pPr>
              <w:jc w:val="both"/>
              <w:rPr>
                <w:sz w:val="18"/>
                <w:szCs w:val="18"/>
              </w:rPr>
            </w:pPr>
            <w:r w:rsidDel="00000000" w:rsidR="00000000" w:rsidRPr="00000000">
              <w:rPr>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3">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5">
            <w:pPr>
              <w:jc w:val="both"/>
              <w:rPr>
                <w:sz w:val="18"/>
                <w:szCs w:val="18"/>
              </w:rPr>
            </w:pPr>
            <w:r w:rsidDel="00000000" w:rsidR="00000000" w:rsidRPr="00000000">
              <w:rPr>
                <w:sz w:val="18"/>
                <w:szCs w:val="18"/>
                <w:rtl w:val="0"/>
              </w:rPr>
              <w:t xml:space="preserve">min_samples_leaf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6">
            <w:pPr>
              <w:jc w:val="both"/>
              <w:rPr>
                <w:sz w:val="18"/>
                <w:szCs w:val="18"/>
              </w:rPr>
            </w:pPr>
            <w:r w:rsidDel="00000000" w:rsidR="00000000" w:rsidRPr="00000000">
              <w:rPr>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7">
            <w:pPr>
              <w:jc w:val="both"/>
              <w:rPr>
                <w:sz w:val="18"/>
                <w:szCs w:val="18"/>
              </w:rPr>
            </w:pPr>
            <w:r w:rsidDel="00000000" w:rsidR="00000000" w:rsidRPr="00000000">
              <w:rPr>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8">
            <w:pPr>
              <w:jc w:val="both"/>
              <w:rPr>
                <w:sz w:val="18"/>
                <w:szCs w:val="18"/>
              </w:rPr>
            </w:pPr>
            <w:r w:rsidDel="00000000" w:rsidR="00000000" w:rsidRPr="00000000">
              <w:rPr>
                <w:rtl w:val="0"/>
              </w:rPr>
            </w:r>
          </w:p>
        </w:tc>
      </w:tr>
      <w:tr>
        <w:trPr>
          <w:cantSplit w:val="0"/>
          <w:trHeight w:val="45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A">
            <w:pPr>
              <w:jc w:val="both"/>
              <w:rPr>
                <w:sz w:val="18"/>
                <w:szCs w:val="18"/>
              </w:rPr>
            </w:pPr>
            <w:r w:rsidDel="00000000" w:rsidR="00000000" w:rsidRPr="00000000">
              <w:rPr>
                <w:sz w:val="18"/>
                <w:szCs w:val="18"/>
                <w:rtl w:val="0"/>
              </w:rPr>
              <w:t xml:space="preserve">max_features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B">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C">
            <w:pPr>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2D">
            <w:pPr>
              <w:jc w:val="both"/>
              <w:rPr>
                <w:sz w:val="18"/>
                <w:szCs w:val="18"/>
              </w:rPr>
            </w:pPr>
            <w:r w:rsidDel="00000000" w:rsidR="00000000" w:rsidRPr="00000000">
              <w:rPr>
                <w:sz w:val="18"/>
                <w:szCs w:val="18"/>
                <w:rtl w:val="0"/>
              </w:rPr>
              <w:t xml:space="preserve">sqrt, log2, None</w:t>
            </w:r>
          </w:p>
        </w:tc>
      </w:tr>
    </w:tbl>
    <w:p w:rsidR="00000000" w:rsidDel="00000000" w:rsidP="00000000" w:rsidRDefault="00000000" w:rsidRPr="00000000" w14:paraId="0000012E">
      <w:pPr>
        <w:spacing w:line="480" w:lineRule="auto"/>
        <w:jc w:val="both"/>
        <w:rPr/>
      </w:pPr>
      <w:r w:rsidDel="00000000" w:rsidR="00000000" w:rsidRPr="00000000">
        <w:rPr>
          <w:rtl w:val="0"/>
        </w:rPr>
        <w:t xml:space="preserve">Suppl. </w:t>
      </w:r>
      <w:hyperlink w:anchor="stabl_hpoipt">
        <w:r w:rsidDel="00000000" w:rsidR="00000000" w:rsidRPr="00000000">
          <w:rPr>
            <w:rtl w:val="0"/>
          </w:rPr>
          <w:t xml:space="preserve">Table 3</w:t>
        </w:r>
      </w:hyperlink>
      <w:r w:rsidDel="00000000" w:rsidR="00000000" w:rsidRPr="00000000">
        <w:rPr>
          <w:rtl w:val="0"/>
        </w:rPr>
        <w:t xml:space="preserve">. Hyperparameter ranges for the cytometry immunophenotyping classifiers. </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30">
      <w:pPr>
        <w:spacing w:after="200" w:before="200" w:line="480" w:lineRule="auto"/>
        <w:jc w:val="both"/>
        <w:rPr/>
      </w:pPr>
      <w:r w:rsidDel="00000000" w:rsidR="00000000" w:rsidRPr="00000000">
        <w:rPr>
          <w:rtl w:val="0"/>
        </w:rPr>
      </w:r>
    </w:p>
    <w:p w:rsidR="00000000" w:rsidDel="00000000" w:rsidP="00000000" w:rsidRDefault="00000000" w:rsidRPr="00000000" w14:paraId="00000131">
      <w:pPr>
        <w:spacing w:after="200" w:before="200" w:line="480" w:lineRule="auto"/>
        <w:jc w:val="both"/>
        <w:rPr/>
      </w:pPr>
      <w:r w:rsidDel="00000000" w:rsidR="00000000" w:rsidRPr="00000000">
        <w:rPr>
          <w:rtl w:val="0"/>
        </w:rPr>
        <w:t xml:space="preserve">Suppl. </w:t>
      </w:r>
      <w:hyperlink w:anchor="stabl_cogtests">
        <w:r w:rsidDel="00000000" w:rsidR="00000000" w:rsidRPr="00000000">
          <w:rPr>
            <w:rtl w:val="0"/>
          </w:rPr>
          <w:t xml:space="preserve">Table 4</w:t>
        </w:r>
      </w:hyperlink>
      <w:r w:rsidDel="00000000" w:rsidR="00000000" w:rsidRPr="00000000">
        <w:rPr>
          <w:rtl w:val="0"/>
        </w:rPr>
        <w:t xml:space="preserve">. Inventory of cognitive assessments performed in the ADIS study.</w:t>
      </w:r>
    </w:p>
    <w:p w:rsidR="00000000" w:rsidDel="00000000" w:rsidP="00000000" w:rsidRDefault="00000000" w:rsidRPr="00000000" w14:paraId="00000132">
      <w:pPr>
        <w:spacing w:line="480" w:lineRule="auto"/>
        <w:jc w:val="both"/>
        <w:rPr/>
      </w:pPr>
      <w:r w:rsidDel="00000000" w:rsidR="00000000" w:rsidRPr="00000000">
        <w:rPr>
          <w:rtl w:val="0"/>
        </w:rPr>
        <w:t xml:space="preserve">Suppl. </w:t>
      </w:r>
      <w:hyperlink w:anchor="stabl_kegg_pathways">
        <w:r w:rsidDel="00000000" w:rsidR="00000000" w:rsidRPr="00000000">
          <w:rPr>
            <w:rtl w:val="0"/>
          </w:rPr>
          <w:t xml:space="preserve">Table 5</w:t>
        </w:r>
      </w:hyperlink>
      <w:r w:rsidDel="00000000" w:rsidR="00000000" w:rsidRPr="00000000">
        <w:rPr>
          <w:rtl w:val="0"/>
        </w:rPr>
        <w:t xml:space="preserve">. KEGG pathways used in generation of low-dimensional embeddings of scRNA sequencing data.</w:t>
      </w:r>
    </w:p>
    <w:p w:rsidR="00000000" w:rsidDel="00000000" w:rsidP="00000000" w:rsidRDefault="00000000" w:rsidRPr="00000000" w14:paraId="00000133">
      <w:pPr>
        <w:spacing w:line="480" w:lineRule="auto"/>
        <w:jc w:val="both"/>
        <w:rPr/>
      </w:pPr>
      <w:r w:rsidDel="00000000" w:rsidR="00000000" w:rsidRPr="00000000">
        <w:rPr>
          <w:rtl w:val="0"/>
        </w:rPr>
        <w:t xml:space="preserve">Suppl. </w:t>
      </w:r>
      <w:hyperlink w:anchor="stabl_go_terms">
        <w:r w:rsidDel="00000000" w:rsidR="00000000" w:rsidRPr="00000000">
          <w:rPr>
            <w:rtl w:val="0"/>
          </w:rPr>
          <w:t xml:space="preserve">Table 6</w:t>
        </w:r>
      </w:hyperlink>
      <w:r w:rsidDel="00000000" w:rsidR="00000000" w:rsidRPr="00000000">
        <w:rPr>
          <w:rtl w:val="0"/>
        </w:rPr>
        <w:t xml:space="preserve">. GO Biological Process terms used in generation of low-dimensional embeddings of scRNA seq data.</w:t>
      </w:r>
    </w:p>
    <w:p w:rsidR="00000000" w:rsidDel="00000000" w:rsidP="00000000" w:rsidRDefault="00000000" w:rsidRPr="00000000" w14:paraId="00000134">
      <w:pPr>
        <w:jc w:val="both"/>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b w:val="1"/>
                <w:bCs w:val="1"/>
                <w:sz w:val="18"/>
                <w:szCs w:val="18"/>
              </w:rPr>
            </w:pPr>
            <w:r w:rsidDel="00000000" w:rsidR="00000000" w:rsidRPr="00000000">
              <w:rPr>
                <w:b w:val="1"/>
                <w:bCs w:val="1"/>
                <w:sz w:val="18"/>
                <w:szCs w:val="18"/>
                <w:rtl w:val="0"/>
              </w:rPr>
              <w:t xml:space="preserve">Hyperparameter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bCs w:val="1"/>
                <w:sz w:val="18"/>
                <w:szCs w:val="18"/>
              </w:rPr>
            </w:pPr>
            <w:r w:rsidDel="00000000" w:rsidR="00000000" w:rsidRPr="00000000">
              <w:rPr>
                <w:b w:val="1"/>
                <w:bCs w:val="1"/>
                <w:sz w:val="18"/>
                <w:szCs w:val="18"/>
                <w:rtl w:val="0"/>
              </w:rPr>
              <w:t xml:space="preserve">Search Space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8"/>
                <w:szCs w:val="18"/>
              </w:rPr>
            </w:pPr>
            <w:r w:rsidDel="00000000" w:rsidR="00000000" w:rsidRPr="00000000">
              <w:rPr>
                <w:sz w:val="18"/>
                <w:szCs w:val="18"/>
                <w:rtl w:val="0"/>
              </w:rPr>
              <w:t xml:space="preserve">Size of hidden 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8"/>
                <w:szCs w:val="18"/>
              </w:rPr>
            </w:pPr>
            <w:r w:rsidDel="00000000" w:rsidR="00000000" w:rsidRPr="00000000">
              <w:rPr>
                <w:sz w:val="18"/>
                <w:szCs w:val="18"/>
                <w:rtl w:val="0"/>
              </w:rPr>
              <w:t xml:space="preserve">[64, 128, 256]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8"/>
                <w:szCs w:val="18"/>
              </w:rPr>
            </w:pPr>
            <w:r w:rsidDel="00000000" w:rsidR="00000000" w:rsidRPr="00000000">
              <w:rPr>
                <w:sz w:val="18"/>
                <w:szCs w:val="18"/>
                <w:rtl w:val="0"/>
              </w:rPr>
              <w:t xml:space="preserve">Number of latent dimensions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8"/>
                <w:szCs w:val="18"/>
              </w:rPr>
            </w:pPr>
            <w:r w:rsidDel="00000000" w:rsidR="00000000" w:rsidRPr="00000000">
              <w:rPr>
                <w:sz w:val="18"/>
                <w:szCs w:val="18"/>
                <w:rtl w:val="0"/>
              </w:rPr>
              <w:t xml:space="preserve">[1, 2, 3, 4, 5, 6, 7, 8, 9, 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8"/>
                <w:szCs w:val="18"/>
              </w:rPr>
            </w:pPr>
            <w:r w:rsidDel="00000000" w:rsidR="00000000" w:rsidRPr="00000000">
              <w:rPr>
                <w:sz w:val="18"/>
                <w:szCs w:val="18"/>
                <w:rtl w:val="0"/>
              </w:rPr>
              <w:t xml:space="preserve">Number of layers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8"/>
                <w:szCs w:val="18"/>
              </w:rPr>
            </w:pPr>
            <w:r w:rsidDel="00000000" w:rsidR="00000000" w:rsidRPr="00000000">
              <w:rPr>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8"/>
                <w:szCs w:val="18"/>
              </w:rPr>
            </w:pPr>
            <w:r w:rsidDel="00000000" w:rsidR="00000000" w:rsidRPr="00000000">
              <w:rPr>
                <w:sz w:val="18"/>
                <w:szCs w:val="18"/>
                <w:rtl w:val="0"/>
              </w:rPr>
              <w:t xml:space="preserve">Batch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8"/>
                <w:szCs w:val="18"/>
              </w:rPr>
            </w:pPr>
            <w:r w:rsidDel="00000000" w:rsidR="00000000" w:rsidRPr="00000000">
              <w:rPr>
                <w:sz w:val="18"/>
                <w:szCs w:val="18"/>
                <w:rtl w:val="0"/>
              </w:rPr>
              <w:t xml:space="preserve">[64, 128, 512, 1024]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8"/>
                <w:szCs w:val="18"/>
              </w:rPr>
            </w:pPr>
            <w:r w:rsidDel="00000000" w:rsidR="00000000" w:rsidRPr="00000000">
              <w:rPr>
                <w:sz w:val="18"/>
                <w:szCs w:val="18"/>
                <w:rtl w:val="0"/>
              </w:rPr>
              <w:t xml:space="preserve">Learning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8"/>
                <w:szCs w:val="18"/>
              </w:rPr>
            </w:pPr>
            <w:r w:rsidDel="00000000" w:rsidR="00000000" w:rsidRPr="00000000">
              <w:rPr>
                <w:sz w:val="18"/>
                <w:szCs w:val="18"/>
                <w:rtl w:val="0"/>
              </w:rPr>
              <w:t xml:space="preserve">log(1e-4, 1e-2)</w:t>
            </w:r>
          </w:p>
        </w:tc>
      </w:tr>
    </w:tbl>
    <w:p w:rsidR="00000000" w:rsidDel="00000000" w:rsidP="00000000" w:rsidRDefault="00000000" w:rsidRPr="00000000" w14:paraId="00000141">
      <w:pPr>
        <w:spacing w:line="480" w:lineRule="auto"/>
        <w:jc w:val="both"/>
        <w:rPr/>
      </w:pPr>
      <w:r w:rsidDel="00000000" w:rsidR="00000000" w:rsidRPr="00000000">
        <w:rPr>
          <w:rtl w:val="0"/>
        </w:rPr>
        <w:t xml:space="preserve">Suppl. </w:t>
      </w:r>
      <w:hyperlink w:anchor="stabl_hyperparams_cvae">
        <w:r w:rsidDel="00000000" w:rsidR="00000000" w:rsidRPr="00000000">
          <w:rPr>
            <w:rtl w:val="0"/>
          </w:rPr>
          <w:t xml:space="preserve">Table 7</w:t>
        </w:r>
      </w:hyperlink>
      <w:r w:rsidDel="00000000" w:rsidR="00000000" w:rsidRPr="00000000">
        <w:rPr>
          <w:rtl w:val="0"/>
        </w:rPr>
        <w:t xml:space="preserve">. Hyperparameter search space for conditional variational autoencoder for representation learning of scRNA-seq data.</w:t>
      </w:r>
    </w:p>
    <w:p w:rsidR="00000000" w:rsidDel="00000000" w:rsidP="00000000" w:rsidRDefault="00000000" w:rsidRPr="00000000" w14:paraId="00000142">
      <w:pPr>
        <w:spacing w:line="480" w:lineRule="auto"/>
        <w:jc w:val="both"/>
        <w:rPr/>
      </w:pPr>
      <w:r w:rsidDel="00000000" w:rsidR="00000000" w:rsidRPr="00000000">
        <w:rPr>
          <w:rtl w:val="0"/>
        </w:rPr>
        <w:t xml:space="preserve">Suppl. </w:t>
      </w:r>
      <w:hyperlink w:anchor="stabl_ipt">
        <w:r w:rsidDel="00000000" w:rsidR="00000000" w:rsidRPr="00000000">
          <w:rPr>
            <w:rtl w:val="0"/>
          </w:rPr>
          <w:t xml:space="preserve">Table 8</w:t>
        </w:r>
      </w:hyperlink>
      <w:r w:rsidDel="00000000" w:rsidR="00000000" w:rsidRPr="00000000">
        <w:rPr>
          <w:rFonts w:ascii="Arial Unicode MS" w:cs="Arial Unicode MS" w:eastAsia="Arial Unicode MS" w:hAnsi="Arial Unicode MS"/>
          <w:rtl w:val="0"/>
        </w:rPr>
        <w:t xml:space="preserve">. Immunophenotyping marker combinations significantly altered in MCI or AD. Significant changes are indicated as arrows directed up or down, p-value ≤ 0.05, BH corrected.</w:t>
      </w:r>
    </w:p>
    <w:p w:rsidR="00000000" w:rsidDel="00000000" w:rsidP="00000000" w:rsidRDefault="00000000" w:rsidRPr="00000000" w14:paraId="0000014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ind w:left="720" w:hanging="360"/>
    </w:pPr>
    <w:rPr>
      <w:sz w:val="40"/>
      <w:szCs w:val="40"/>
    </w:rPr>
  </w:style>
  <w:style w:type="paragraph" w:styleId="Heading2">
    <w:name w:val="heading 2"/>
    <w:basedOn w:val="Normal"/>
    <w:next w:val="Normal"/>
    <w:pPr>
      <w:keepNext w:val="1"/>
      <w:keepLines w:val="1"/>
      <w:ind w:left="1440" w:hanging="360"/>
    </w:pPr>
    <w:rPr>
      <w:sz w:val="32"/>
      <w:szCs w:val="32"/>
    </w:rPr>
  </w:style>
  <w:style w:type="paragraph" w:styleId="Heading3">
    <w:name w:val="heading 3"/>
    <w:basedOn w:val="Normal"/>
    <w:next w:val="Normal"/>
    <w:pPr>
      <w:keepNext w:val="1"/>
      <w:keepLines w:val="1"/>
      <w:ind w:left="2160" w:hanging="360"/>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image" Target="media/image3.jpg"/><Relationship Id="rId41" Type="http://schemas.openxmlformats.org/officeDocument/2006/relationships/hyperlink" Target="https://docs.google.com/document/d/1jDd_cG5xw_sNR9orrwIC77ZZVrhwPvy3fOJV1CmUQWY/edit#sfigu_tcr_cluster_heatmaps" TargetMode="External"/><Relationship Id="rId44" Type="http://schemas.openxmlformats.org/officeDocument/2006/relationships/image" Target="media/image14.jpg"/><Relationship Id="rId43" Type="http://schemas.openxmlformats.org/officeDocument/2006/relationships/hyperlink" Target="https://docs.google.com/document/d/1jDd_cG5xw_sNR9orrwIC77ZZVrhwPvy3fOJV1CmUQWY/edit#sfigu_bn" TargetMode="External"/><Relationship Id="rId46" Type="http://schemas.openxmlformats.org/officeDocument/2006/relationships/image" Target="media/image1.jpg"/><Relationship Id="rId45" Type="http://schemas.openxmlformats.org/officeDocument/2006/relationships/hyperlink" Target="https://docs.google.com/document/d/1jDd_cG5xw_sNR9orrwIC77ZZVrhwPvy3fOJV1CmUQWY/edit#sfigu_antibody_subgraph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Dd_cG5xw_sNR9orrwIC77ZZVrhwPvy3fOJV1CmUQWY/edit#sfi_ipt" TargetMode="External"/><Relationship Id="rId48" Type="http://schemas.openxmlformats.org/officeDocument/2006/relationships/image" Target="media/image5.jpg"/><Relationship Id="rId47" Type="http://schemas.openxmlformats.org/officeDocument/2006/relationships/hyperlink" Target="https://docs.google.com/document/d/1jDd_cG5xw_sNR9orrwIC77ZZVrhwPvy3fOJV1CmUQWY/edit#sfigu_antibody_pd" TargetMode="External"/><Relationship Id="rId49" Type="http://schemas.openxmlformats.org/officeDocument/2006/relationships/hyperlink" Target="https://docs.google.com/document/d/1jDd_cG5xw_sNR9orrwIC77ZZVrhwPvy3fOJV1CmUQWY/edit#sfigu_ipt" TargetMode="External"/><Relationship Id="rId5" Type="http://schemas.openxmlformats.org/officeDocument/2006/relationships/styles" Target="styles.xml"/><Relationship Id="rId6" Type="http://schemas.openxmlformats.org/officeDocument/2006/relationships/hyperlink" Target="https://www.zotero.org/google-docs/?XYLRU1" TargetMode="External"/><Relationship Id="rId7" Type="http://schemas.openxmlformats.org/officeDocument/2006/relationships/hyperlink" Target="https://www.zotero.org/google-docs/?jxlKlD" TargetMode="External"/><Relationship Id="rId8" Type="http://schemas.openxmlformats.org/officeDocument/2006/relationships/hyperlink" Target="https://www.zotero.org/google-docs/?LzzCaS" TargetMode="External"/><Relationship Id="rId31" Type="http://schemas.openxmlformats.org/officeDocument/2006/relationships/hyperlink" Target="https://docs.google.com/document/d/1jDd_cG5xw_sNR9orrwIC77ZZVrhwPvy3fOJV1CmUQWY/edit#sfigu_nk_gsea_kegg" TargetMode="External"/><Relationship Id="rId30" Type="http://schemas.openxmlformats.org/officeDocument/2006/relationships/image" Target="media/image8.jpg"/><Relationship Id="rId33" Type="http://schemas.openxmlformats.org/officeDocument/2006/relationships/hyperlink" Target="https://docs.google.com/document/d/1jDd_cG5xw_sNR9orrwIC77ZZVrhwPvy3fOJV1CmUQWY/edit#sfigu_tcr1" TargetMode="External"/><Relationship Id="rId32" Type="http://schemas.openxmlformats.org/officeDocument/2006/relationships/image" Target="media/image9.jpg"/><Relationship Id="rId35" Type="http://schemas.openxmlformats.org/officeDocument/2006/relationships/hyperlink" Target="https://docs.google.com/document/d/1jDd_cG5xw_sNR9orrwIC77ZZVrhwPvy3fOJV1CmUQWY/edit#sfigu_tcr2" TargetMode="External"/><Relationship Id="rId34" Type="http://schemas.openxmlformats.org/officeDocument/2006/relationships/image" Target="media/image19.jpg"/><Relationship Id="rId37" Type="http://schemas.openxmlformats.org/officeDocument/2006/relationships/hyperlink" Target="https://docs.google.com/document/d/1jDd_cG5xw_sNR9orrwIC77ZZVrhwPvy3fOJV1CmUQWY/edit#sfigu_tcrtrb" TargetMode="External"/><Relationship Id="rId36" Type="http://schemas.openxmlformats.org/officeDocument/2006/relationships/image" Target="media/image11.jpg"/><Relationship Id="rId39" Type="http://schemas.openxmlformats.org/officeDocument/2006/relationships/hyperlink" Target="https://docs.google.com/document/d/1jDd_cG5xw_sNR9orrwIC77ZZVrhwPvy3fOJV1CmUQWY/edit#sfigu_tcr_cluster_umap" TargetMode="External"/><Relationship Id="rId38" Type="http://schemas.openxmlformats.org/officeDocument/2006/relationships/image" Target="media/image15.jpg"/><Relationship Id="rId61" Type="http://schemas.openxmlformats.org/officeDocument/2006/relationships/hyperlink" Target="https://www.zotero.org/google-docs/?Bqbuwr" TargetMode="External"/><Relationship Id="rId20" Type="http://schemas.openxmlformats.org/officeDocument/2006/relationships/hyperlink" Target="https://docs.google.com/document/d/1jDd_cG5xw_sNR9orrwIC77ZZVrhwPvy3fOJV1CmUQWY/edit#sfigu_cd8tem" TargetMode="External"/><Relationship Id="rId22" Type="http://schemas.openxmlformats.org/officeDocument/2006/relationships/hyperlink" Target="https://docs.google.com/document/d/1jDd_cG5xw_sNR9orrwIC77ZZVrhwPvy3fOJV1CmUQWY/edit#sfigu_cd8gsea_clusters" TargetMode="External"/><Relationship Id="rId21" Type="http://schemas.openxmlformats.org/officeDocument/2006/relationships/image" Target="media/image6.jpg"/><Relationship Id="rId24" Type="http://schemas.openxmlformats.org/officeDocument/2006/relationships/hyperlink" Target="https://docs.google.com/document/d/1jDd_cG5xw_sNR9orrwIC77ZZVrhwPvy3fOJV1CmUQWY/edit#sfigu_nk" TargetMode="External"/><Relationship Id="rId23" Type="http://schemas.openxmlformats.org/officeDocument/2006/relationships/image" Target="media/image18.jpg"/><Relationship Id="rId60" Type="http://schemas.openxmlformats.org/officeDocument/2006/relationships/hyperlink" Target="https://www.zotero.org/google-docs/?42g3KI" TargetMode="External"/><Relationship Id="rId26" Type="http://schemas.openxmlformats.org/officeDocument/2006/relationships/image" Target="media/image13.jpg"/><Relationship Id="rId25" Type="http://schemas.openxmlformats.org/officeDocument/2006/relationships/hyperlink" Target="https://www.zotero.org/google-docs/?yMLBSf" TargetMode="External"/><Relationship Id="rId28" Type="http://schemas.openxmlformats.org/officeDocument/2006/relationships/image" Target="media/image10.jpg"/><Relationship Id="rId27" Type="http://schemas.openxmlformats.org/officeDocument/2006/relationships/hyperlink" Target="https://docs.google.com/document/d/1jDd_cG5xw_sNR9orrwIC77ZZVrhwPvy3fOJV1CmUQWY/edit#sfigu_nkcd56bright_gsea" TargetMode="External"/><Relationship Id="rId29" Type="http://schemas.openxmlformats.org/officeDocument/2006/relationships/hyperlink" Target="https://docs.google.com/document/d/1jDd_cG5xw_sNR9orrwIC77ZZVrhwPvy3fOJV1CmUQWY/edit#sfigu_nk_gsea_go" TargetMode="External"/><Relationship Id="rId51" Type="http://schemas.openxmlformats.org/officeDocument/2006/relationships/hyperlink" Target="https://docs.google.com/document/d/1jDd_cG5xw_sNR9orrwIC77ZZVrhwPvy3fOJV1CmUQWY/edit#sfigu_ipt2" TargetMode="External"/><Relationship Id="rId50" Type="http://schemas.openxmlformats.org/officeDocument/2006/relationships/image" Target="media/image7.jpg"/><Relationship Id="rId53" Type="http://schemas.openxmlformats.org/officeDocument/2006/relationships/hyperlink" Target="https://www.zotero.org/google-docs/?PETTOY" TargetMode="External"/><Relationship Id="rId52" Type="http://schemas.openxmlformats.org/officeDocument/2006/relationships/hyperlink" Target="https://www.zotero.org/google-docs/?xwbwfZ" TargetMode="External"/><Relationship Id="rId11" Type="http://schemas.openxmlformats.org/officeDocument/2006/relationships/hyperlink" Target="https://docs.google.com/document/d/1jDd_cG5xw_sNR9orrwIC77ZZVrhwPvy3fOJV1CmUQWY/edit#sfi_ipt" TargetMode="External"/><Relationship Id="rId55" Type="http://schemas.openxmlformats.org/officeDocument/2006/relationships/hyperlink" Target="https://www.zotero.org/google-docs/?D0XLKe" TargetMode="External"/><Relationship Id="rId10" Type="http://schemas.openxmlformats.org/officeDocument/2006/relationships/hyperlink" Target="https://docs.google.com/document/d/1jDd_cG5xw_sNR9orrwIC77ZZVrhwPvy3fOJV1CmUQWY/edit#sfi_ipt2" TargetMode="External"/><Relationship Id="rId54" Type="http://schemas.openxmlformats.org/officeDocument/2006/relationships/hyperlink" Target="https://www.zotero.org/google-docs/?TaojKL" TargetMode="External"/><Relationship Id="rId13" Type="http://schemas.openxmlformats.org/officeDocument/2006/relationships/image" Target="media/image2.jpg"/><Relationship Id="rId57" Type="http://schemas.openxmlformats.org/officeDocument/2006/relationships/hyperlink" Target="https://www.zotero.org/google-docs/?9bmKpB" TargetMode="External"/><Relationship Id="rId12" Type="http://schemas.openxmlformats.org/officeDocument/2006/relationships/hyperlink" Target="https://docs.google.com/document/d/1jDd_cG5xw_sNR9orrwIC77ZZVrhwPvy3fOJV1CmUQWY/edit#sfi_ipt" TargetMode="External"/><Relationship Id="rId56" Type="http://schemas.openxmlformats.org/officeDocument/2006/relationships/hyperlink" Target="https://www.zotero.org/google-docs/?LX4PEd" TargetMode="External"/><Relationship Id="rId15" Type="http://schemas.openxmlformats.org/officeDocument/2006/relationships/image" Target="media/image4.jpg"/><Relationship Id="rId59" Type="http://schemas.openxmlformats.org/officeDocument/2006/relationships/hyperlink" Target="https://www.zotero.org/google-docs/?DWHF9o" TargetMode="External"/><Relationship Id="rId14" Type="http://schemas.openxmlformats.org/officeDocument/2006/relationships/hyperlink" Target="https://docs.google.com/document/d/1jDd_cG5xw_sNR9orrwIC77ZZVrhwPvy3fOJV1CmUQWY/edit#sfigu_celltypeshifts" TargetMode="External"/><Relationship Id="rId58" Type="http://schemas.openxmlformats.org/officeDocument/2006/relationships/hyperlink" Target="https://www.zotero.org/google-docs/?E2Vb2U" TargetMode="External"/><Relationship Id="rId17" Type="http://schemas.openxmlformats.org/officeDocument/2006/relationships/image" Target="media/image16.jpg"/><Relationship Id="rId16" Type="http://schemas.openxmlformats.org/officeDocument/2006/relationships/hyperlink" Target="https://docs.google.com/document/d/1jDd_cG5xw_sNR9orrwIC77ZZVrhwPvy3fOJV1CmUQWY/edit#sfigu_celldistribution" TargetMode="External"/><Relationship Id="rId19" Type="http://schemas.openxmlformats.org/officeDocument/2006/relationships/image" Target="media/image17.jpg"/><Relationship Id="rId18" Type="http://schemas.openxmlformats.org/officeDocument/2006/relationships/hyperlink" Target="https://docs.google.com/document/d/1jDd_cG5xw_sNR9orrwIC77ZZVrhwPvy3fOJV1CmUQWY/edit#sfigu_cd8gs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