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427B" w14:textId="77777777" w:rsidR="00142134" w:rsidRPr="00311C74" w:rsidRDefault="00142134" w:rsidP="00142134">
      <w:pPr>
        <w:pStyle w:val="PlosBIO"/>
        <w:rPr>
          <w:rFonts w:asciiTheme="minorHAnsi" w:hAnsiTheme="minorHAnsi"/>
        </w:rPr>
      </w:pPr>
      <w:bookmarkStart w:id="0" w:name="_Hlk80347789"/>
      <w:r w:rsidRPr="00311C74">
        <w:rPr>
          <w:rFonts w:asciiTheme="minorHAnsi" w:hAnsiTheme="minorHAnsi"/>
        </w:rPr>
        <w:t xml:space="preserve">SUPPLIMENTARY MATERIAL </w:t>
      </w:r>
    </w:p>
    <w:p w14:paraId="7E0F2AD8" w14:textId="77777777" w:rsidR="00142134" w:rsidRPr="00311C74" w:rsidRDefault="00142134" w:rsidP="00142134">
      <w:p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EB8938" w14:textId="77777777" w:rsidR="00142134" w:rsidRPr="00311C74" w:rsidRDefault="00142134" w:rsidP="00142134">
      <w:pPr>
        <w:spacing w:after="120" w:line="276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Supplementary</w:t>
      </w:r>
      <w:r w:rsidRPr="00311C74">
        <w:rPr>
          <w:rFonts w:asciiTheme="minorHAnsi" w:hAnsiTheme="minorHAnsi" w:cstheme="minorHAnsi"/>
        </w:rPr>
        <w:t xml:space="preserve"> Table S1: The protocol for staining, dehydration and embedding (EPON) for sample preparation of the coral fragment using the </w:t>
      </w:r>
      <w:proofErr w:type="spellStart"/>
      <w:r w:rsidRPr="00311C74">
        <w:rPr>
          <w:rFonts w:asciiTheme="minorHAnsi" w:hAnsiTheme="minorHAnsi" w:cstheme="minorHAnsi"/>
          <w:i/>
        </w:rPr>
        <w:t>Pelco</w:t>
      </w:r>
      <w:proofErr w:type="spellEnd"/>
      <w:r w:rsidRPr="00311C74">
        <w:rPr>
          <w:rFonts w:asciiTheme="minorHAnsi" w:hAnsiTheme="minorHAnsi" w:cstheme="minorHAnsi"/>
          <w:i/>
        </w:rPr>
        <w:t xml:space="preserve"> Biowave</w:t>
      </w:r>
      <w:r w:rsidRPr="00311C74">
        <w:rPr>
          <w:rFonts w:asciiTheme="minorHAnsi" w:hAnsiTheme="minorHAnsi" w:cstheme="minorHAnsi"/>
        </w:rPr>
        <w:t xml:space="preserve"> to view with SEM and confocal autofluorescence microscopy. Dehydration and infiltration steps can </w:t>
      </w:r>
      <w:r w:rsidRPr="00311C74">
        <w:rPr>
          <w:rFonts w:asciiTheme="minorHAnsi" w:hAnsiTheme="minorHAnsi" w:cstheme="minorHAnsi"/>
          <w:noProof/>
        </w:rPr>
        <w:t>be added</w:t>
      </w:r>
      <w:r w:rsidRPr="00311C74">
        <w:rPr>
          <w:rFonts w:asciiTheme="minorHAnsi" w:hAnsiTheme="minorHAnsi" w:cstheme="minorHAnsi"/>
        </w:rPr>
        <w:t xml:space="preserve">/removed as needed depending on size and permeability of the sample. Osmium step was removed for confocal autofluorescence microscopy. </w:t>
      </w:r>
    </w:p>
    <w:p w14:paraId="34FC00C9" w14:textId="77777777" w:rsidR="00142134" w:rsidRPr="00311C74" w:rsidRDefault="00142134" w:rsidP="00142134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"/>
        <w:gridCol w:w="2690"/>
        <w:gridCol w:w="112"/>
        <w:gridCol w:w="2286"/>
        <w:gridCol w:w="207"/>
        <w:gridCol w:w="2574"/>
        <w:gridCol w:w="112"/>
        <w:gridCol w:w="2052"/>
        <w:gridCol w:w="156"/>
      </w:tblGrid>
      <w:tr w:rsidR="00142134" w:rsidRPr="00311C74" w14:paraId="092B1CE6" w14:textId="77777777" w:rsidTr="00BF66CE">
        <w:trPr>
          <w:gridBefore w:val="1"/>
          <w:wBefore w:w="112" w:type="dxa"/>
          <w:trHeight w:val="327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B6F7E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Processing Phase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508347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Microwave Setting (Watts)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C8FD0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Time of Procedure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9FE54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Sample under Vacuum</w:t>
            </w:r>
          </w:p>
        </w:tc>
      </w:tr>
      <w:tr w:rsidR="00142134" w:rsidRPr="00311C74" w14:paraId="323543F5" w14:textId="77777777" w:rsidTr="00BF66CE">
        <w:trPr>
          <w:gridBefore w:val="1"/>
          <w:wBefore w:w="112" w:type="dxa"/>
          <w:trHeight w:val="264"/>
        </w:trPr>
        <w:tc>
          <w:tcPr>
            <w:tcW w:w="280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006A10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Buffer Rinse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F1BEBA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2EDA6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7CC24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134" w:rsidRPr="00311C74" w14:paraId="3F627456" w14:textId="77777777" w:rsidTr="00BF66CE">
        <w:trPr>
          <w:gridBefore w:val="1"/>
          <w:wBefore w:w="112" w:type="dxa"/>
          <w:trHeight w:val="377"/>
        </w:trPr>
        <w:tc>
          <w:tcPr>
            <w:tcW w:w="2802" w:type="dxa"/>
            <w:gridSpan w:val="2"/>
          </w:tcPr>
          <w:p w14:paraId="407CC9A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0.1 M Sodium Cacodylate</w:t>
            </w:r>
          </w:p>
        </w:tc>
        <w:tc>
          <w:tcPr>
            <w:tcW w:w="1397" w:type="dxa"/>
            <w:gridSpan w:val="2"/>
          </w:tcPr>
          <w:p w14:paraId="0E50AF4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N/A</w:t>
            </w:r>
          </w:p>
        </w:tc>
        <w:tc>
          <w:tcPr>
            <w:tcW w:w="2362" w:type="dxa"/>
            <w:gridSpan w:val="2"/>
          </w:tcPr>
          <w:p w14:paraId="48605B8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noProof/>
                <w:sz w:val="18"/>
                <w:szCs w:val="18"/>
              </w:rPr>
              <w:t>Fumehood</w:t>
            </w: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;10 minutes</w:t>
            </w:r>
          </w:p>
        </w:tc>
        <w:tc>
          <w:tcPr>
            <w:tcW w:w="1650" w:type="dxa"/>
            <w:gridSpan w:val="2"/>
          </w:tcPr>
          <w:p w14:paraId="33A4411B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5208E58E" w14:textId="77777777" w:rsidTr="00BF66CE">
        <w:trPr>
          <w:gridBefore w:val="1"/>
          <w:wBefore w:w="112" w:type="dxa"/>
          <w:trHeight w:val="327"/>
        </w:trPr>
        <w:tc>
          <w:tcPr>
            <w:tcW w:w="2802" w:type="dxa"/>
            <w:gridSpan w:val="2"/>
          </w:tcPr>
          <w:p w14:paraId="3F15E4AE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74253250"/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0.1 M Sodium Cacodylate</w:t>
            </w:r>
          </w:p>
        </w:tc>
        <w:tc>
          <w:tcPr>
            <w:tcW w:w="1397" w:type="dxa"/>
            <w:gridSpan w:val="2"/>
          </w:tcPr>
          <w:p w14:paraId="45F2AE1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2362" w:type="dxa"/>
            <w:gridSpan w:val="2"/>
          </w:tcPr>
          <w:p w14:paraId="0A0DA21E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481112BE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bookmarkEnd w:id="1"/>
      <w:tr w:rsidR="00142134" w:rsidRPr="00311C74" w14:paraId="5B4F0AC0" w14:textId="77777777" w:rsidTr="00BF66CE">
        <w:trPr>
          <w:gridBefore w:val="1"/>
          <w:wBefore w:w="112" w:type="dxa"/>
          <w:trHeight w:val="319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14:paraId="3A5B4CF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Osmium tetroxide fix</w:t>
            </w:r>
          </w:p>
        </w:tc>
        <w:tc>
          <w:tcPr>
            <w:tcW w:w="1397" w:type="dxa"/>
            <w:gridSpan w:val="2"/>
            <w:shd w:val="clear" w:color="auto" w:fill="D9D9D9" w:themeFill="background1" w:themeFillShade="D9"/>
          </w:tcPr>
          <w:p w14:paraId="5BA41AB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gridSpan w:val="2"/>
            <w:shd w:val="clear" w:color="auto" w:fill="D9D9D9" w:themeFill="background1" w:themeFillShade="D9"/>
          </w:tcPr>
          <w:p w14:paraId="41A18B70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shd w:val="clear" w:color="auto" w:fill="D9D9D9" w:themeFill="background1" w:themeFillShade="D9"/>
          </w:tcPr>
          <w:p w14:paraId="6D6F20ED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134" w:rsidRPr="00311C74" w14:paraId="5E1C244D" w14:textId="77777777" w:rsidTr="00BF66CE">
        <w:trPr>
          <w:gridBefore w:val="1"/>
          <w:wBefore w:w="112" w:type="dxa"/>
          <w:trHeight w:val="313"/>
        </w:trPr>
        <w:tc>
          <w:tcPr>
            <w:tcW w:w="2802" w:type="dxa"/>
            <w:gridSpan w:val="2"/>
          </w:tcPr>
          <w:p w14:paraId="025C3BE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 xml:space="preserve">2 x Osmium + </w:t>
            </w:r>
            <w:r w:rsidRPr="00311C74">
              <w:rPr>
                <w:rFonts w:asciiTheme="minorHAnsi" w:hAnsiTheme="minorHAnsi" w:cstheme="minorHAnsi"/>
                <w:noProof/>
                <w:sz w:val="18"/>
                <w:szCs w:val="18"/>
              </w:rPr>
              <w:t>Ruthinium</w:t>
            </w: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 xml:space="preserve"> Red</w:t>
            </w:r>
          </w:p>
        </w:tc>
        <w:tc>
          <w:tcPr>
            <w:tcW w:w="1397" w:type="dxa"/>
            <w:gridSpan w:val="2"/>
          </w:tcPr>
          <w:p w14:paraId="2772995C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2362" w:type="dxa"/>
            <w:gridSpan w:val="2"/>
          </w:tcPr>
          <w:p w14:paraId="727217BE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 xml:space="preserve">2 min on, 2 min off, </w:t>
            </w:r>
            <w:r w:rsidRPr="00311C74">
              <w:rPr>
                <w:rFonts w:asciiTheme="minorHAnsi" w:hAnsiTheme="minorHAnsi" w:cstheme="minorHAnsi"/>
                <w:noProof/>
                <w:sz w:val="18"/>
                <w:szCs w:val="18"/>
              </w:rPr>
              <w:t>2</w:t>
            </w: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 xml:space="preserve"> on</w:t>
            </w:r>
          </w:p>
        </w:tc>
        <w:tc>
          <w:tcPr>
            <w:tcW w:w="1650" w:type="dxa"/>
            <w:gridSpan w:val="2"/>
          </w:tcPr>
          <w:p w14:paraId="1E05C32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142134" w:rsidRPr="00311C74" w14:paraId="69276B7D" w14:textId="77777777" w:rsidTr="00BF66CE">
        <w:trPr>
          <w:gridBefore w:val="1"/>
          <w:wBefore w:w="112" w:type="dxa"/>
          <w:trHeight w:val="343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14:paraId="78A9913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Water Rinse</w:t>
            </w:r>
          </w:p>
        </w:tc>
        <w:tc>
          <w:tcPr>
            <w:tcW w:w="1397" w:type="dxa"/>
            <w:gridSpan w:val="2"/>
            <w:shd w:val="clear" w:color="auto" w:fill="D9D9D9" w:themeFill="background1" w:themeFillShade="D9"/>
          </w:tcPr>
          <w:p w14:paraId="1C34AC6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gridSpan w:val="2"/>
            <w:shd w:val="clear" w:color="auto" w:fill="D9D9D9" w:themeFill="background1" w:themeFillShade="D9"/>
          </w:tcPr>
          <w:p w14:paraId="2BC6683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shd w:val="clear" w:color="auto" w:fill="D9D9D9" w:themeFill="background1" w:themeFillShade="D9"/>
          </w:tcPr>
          <w:p w14:paraId="7598274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134" w:rsidRPr="00311C74" w14:paraId="57B19EB2" w14:textId="77777777" w:rsidTr="00BF66CE">
        <w:trPr>
          <w:gridBefore w:val="1"/>
          <w:wBefore w:w="112" w:type="dxa"/>
          <w:trHeight w:val="343"/>
        </w:trPr>
        <w:tc>
          <w:tcPr>
            <w:tcW w:w="2802" w:type="dxa"/>
            <w:gridSpan w:val="2"/>
          </w:tcPr>
          <w:p w14:paraId="28538A21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 x Water</w:t>
            </w:r>
          </w:p>
        </w:tc>
        <w:tc>
          <w:tcPr>
            <w:tcW w:w="1397" w:type="dxa"/>
            <w:gridSpan w:val="2"/>
          </w:tcPr>
          <w:p w14:paraId="27E6E729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2362" w:type="dxa"/>
            <w:gridSpan w:val="2"/>
          </w:tcPr>
          <w:p w14:paraId="603EDB3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 xml:space="preserve">40 s </w:t>
            </w:r>
          </w:p>
        </w:tc>
        <w:tc>
          <w:tcPr>
            <w:tcW w:w="1650" w:type="dxa"/>
            <w:gridSpan w:val="2"/>
          </w:tcPr>
          <w:p w14:paraId="666BFC0E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415952BF" w14:textId="77777777" w:rsidTr="00BF66CE">
        <w:trPr>
          <w:gridBefore w:val="1"/>
          <w:wBefore w:w="112" w:type="dxa"/>
          <w:trHeight w:val="343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14:paraId="5421E4EF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Dehydration (Ethanol)</w:t>
            </w:r>
          </w:p>
        </w:tc>
        <w:tc>
          <w:tcPr>
            <w:tcW w:w="1397" w:type="dxa"/>
            <w:gridSpan w:val="2"/>
            <w:shd w:val="clear" w:color="auto" w:fill="D9D9D9" w:themeFill="background1" w:themeFillShade="D9"/>
          </w:tcPr>
          <w:p w14:paraId="33588F99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gridSpan w:val="2"/>
            <w:shd w:val="clear" w:color="auto" w:fill="D9D9D9" w:themeFill="background1" w:themeFillShade="D9"/>
          </w:tcPr>
          <w:p w14:paraId="6789B43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shd w:val="clear" w:color="auto" w:fill="D9D9D9" w:themeFill="background1" w:themeFillShade="D9"/>
          </w:tcPr>
          <w:p w14:paraId="28D2FDA4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134" w:rsidRPr="00311C74" w14:paraId="04AEBBA7" w14:textId="77777777" w:rsidTr="00BF66CE">
        <w:trPr>
          <w:gridAfter w:val="1"/>
          <w:wAfter w:w="112" w:type="dxa"/>
          <w:trHeight w:val="95"/>
        </w:trPr>
        <w:tc>
          <w:tcPr>
            <w:tcW w:w="2802" w:type="dxa"/>
            <w:gridSpan w:val="2"/>
          </w:tcPr>
          <w:p w14:paraId="1AC83EE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x 20% (steps repeated with 10% increments)</w:t>
            </w:r>
          </w:p>
        </w:tc>
        <w:tc>
          <w:tcPr>
            <w:tcW w:w="1397" w:type="dxa"/>
            <w:gridSpan w:val="2"/>
          </w:tcPr>
          <w:p w14:paraId="0F21213F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050529C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321FAFF9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4303446C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3E61A120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3x 70% (left overnight)</w:t>
            </w:r>
          </w:p>
        </w:tc>
        <w:tc>
          <w:tcPr>
            <w:tcW w:w="1397" w:type="dxa"/>
            <w:gridSpan w:val="2"/>
          </w:tcPr>
          <w:p w14:paraId="426F2FF4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3E8F69A0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1ED3EBA1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5D4140A7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6F64C144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3x 80%</w:t>
            </w:r>
          </w:p>
        </w:tc>
        <w:tc>
          <w:tcPr>
            <w:tcW w:w="1397" w:type="dxa"/>
            <w:gridSpan w:val="2"/>
          </w:tcPr>
          <w:p w14:paraId="07574C5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3B1831D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2A3C101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79D7036B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2B5A36C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3x 90%</w:t>
            </w:r>
          </w:p>
        </w:tc>
        <w:tc>
          <w:tcPr>
            <w:tcW w:w="1397" w:type="dxa"/>
            <w:gridSpan w:val="2"/>
          </w:tcPr>
          <w:p w14:paraId="3EF3A67D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2446E679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4F047A5C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32CFED8E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48AB2492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x 100% (left over night)</w:t>
            </w:r>
          </w:p>
        </w:tc>
        <w:tc>
          <w:tcPr>
            <w:tcW w:w="1397" w:type="dxa"/>
            <w:gridSpan w:val="2"/>
          </w:tcPr>
          <w:p w14:paraId="68A6C2E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608F741A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7A65EA0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4B36EC0E" w14:textId="77777777" w:rsidTr="00BF66CE">
        <w:trPr>
          <w:gridAfter w:val="1"/>
          <w:wAfter w:w="112" w:type="dxa"/>
          <w:trHeight w:val="219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14:paraId="6DD92059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Dehydration (Acetone)</w:t>
            </w:r>
          </w:p>
        </w:tc>
        <w:tc>
          <w:tcPr>
            <w:tcW w:w="1397" w:type="dxa"/>
            <w:gridSpan w:val="2"/>
            <w:shd w:val="clear" w:color="auto" w:fill="D9D9D9" w:themeFill="background1" w:themeFillShade="D9"/>
          </w:tcPr>
          <w:p w14:paraId="3DBAE64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gridSpan w:val="2"/>
            <w:shd w:val="clear" w:color="auto" w:fill="D9D9D9" w:themeFill="background1" w:themeFillShade="D9"/>
          </w:tcPr>
          <w:p w14:paraId="4620F3A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shd w:val="clear" w:color="auto" w:fill="D9D9D9" w:themeFill="background1" w:themeFillShade="D9"/>
          </w:tcPr>
          <w:p w14:paraId="793040E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134" w:rsidRPr="00311C74" w14:paraId="4345CFAC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150AC4F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 x 100% (Acetone) (left overnight)</w:t>
            </w:r>
          </w:p>
        </w:tc>
        <w:tc>
          <w:tcPr>
            <w:tcW w:w="1397" w:type="dxa"/>
            <w:gridSpan w:val="2"/>
          </w:tcPr>
          <w:p w14:paraId="5932A5BF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070D79D1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40 s</w:t>
            </w:r>
          </w:p>
        </w:tc>
        <w:tc>
          <w:tcPr>
            <w:tcW w:w="1650" w:type="dxa"/>
            <w:gridSpan w:val="2"/>
          </w:tcPr>
          <w:p w14:paraId="2B06E9D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</w:tr>
      <w:tr w:rsidR="00142134" w:rsidRPr="00311C74" w14:paraId="759409FC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14:paraId="683CC8E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Resin infiltration (</w:t>
            </w:r>
            <w:proofErr w:type="spellStart"/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Spurrs</w:t>
            </w:r>
            <w:proofErr w:type="spellEnd"/>
            <w:r w:rsidRPr="00311C74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397" w:type="dxa"/>
            <w:gridSpan w:val="2"/>
            <w:shd w:val="clear" w:color="auto" w:fill="D9D9D9" w:themeFill="background1" w:themeFillShade="D9"/>
          </w:tcPr>
          <w:p w14:paraId="7EF45ACC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gridSpan w:val="2"/>
            <w:shd w:val="clear" w:color="auto" w:fill="D9D9D9" w:themeFill="background1" w:themeFillShade="D9"/>
          </w:tcPr>
          <w:p w14:paraId="7F4C413C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0" w:type="dxa"/>
            <w:gridSpan w:val="2"/>
            <w:shd w:val="clear" w:color="auto" w:fill="D9D9D9" w:themeFill="background1" w:themeFillShade="D9"/>
          </w:tcPr>
          <w:p w14:paraId="2B6FA830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134" w:rsidRPr="00311C74" w14:paraId="0BEC29D2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4B4FEC80" w14:textId="77777777" w:rsidR="00142134" w:rsidRPr="00311C74" w:rsidRDefault="00142134" w:rsidP="00BF66CE">
            <w:pPr>
              <w:spacing w:after="120" w:line="360" w:lineRule="auto"/>
              <w:ind w:firstLine="56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15%</w:t>
            </w:r>
          </w:p>
        </w:tc>
        <w:tc>
          <w:tcPr>
            <w:tcW w:w="1397" w:type="dxa"/>
            <w:gridSpan w:val="2"/>
          </w:tcPr>
          <w:p w14:paraId="5430D054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6FB4FA95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min</w:t>
            </w:r>
          </w:p>
        </w:tc>
        <w:tc>
          <w:tcPr>
            <w:tcW w:w="1650" w:type="dxa"/>
            <w:gridSpan w:val="2"/>
          </w:tcPr>
          <w:p w14:paraId="0CFE1EB1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142134" w:rsidRPr="00311C74" w14:paraId="425AF397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7E0D15A2" w14:textId="77777777" w:rsidR="00142134" w:rsidRPr="00311C74" w:rsidRDefault="00142134" w:rsidP="00BF66CE">
            <w:pPr>
              <w:spacing w:after="120" w:line="360" w:lineRule="auto"/>
              <w:ind w:firstLine="56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30%</w:t>
            </w:r>
          </w:p>
        </w:tc>
        <w:tc>
          <w:tcPr>
            <w:tcW w:w="1397" w:type="dxa"/>
            <w:gridSpan w:val="2"/>
          </w:tcPr>
          <w:p w14:paraId="5703D878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49944DBB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min</w:t>
            </w:r>
          </w:p>
        </w:tc>
        <w:tc>
          <w:tcPr>
            <w:tcW w:w="1650" w:type="dxa"/>
            <w:gridSpan w:val="2"/>
          </w:tcPr>
          <w:p w14:paraId="5976EC7A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142134" w:rsidRPr="00311C74" w14:paraId="51BE7C34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363FB795" w14:textId="77777777" w:rsidR="00142134" w:rsidRPr="00311C74" w:rsidRDefault="00142134" w:rsidP="00BF66CE">
            <w:pPr>
              <w:spacing w:after="120" w:line="360" w:lineRule="auto"/>
              <w:ind w:firstLine="56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50%</w:t>
            </w:r>
          </w:p>
        </w:tc>
        <w:tc>
          <w:tcPr>
            <w:tcW w:w="1397" w:type="dxa"/>
            <w:gridSpan w:val="2"/>
          </w:tcPr>
          <w:p w14:paraId="45728CCB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56903464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min</w:t>
            </w:r>
          </w:p>
        </w:tc>
        <w:tc>
          <w:tcPr>
            <w:tcW w:w="1650" w:type="dxa"/>
            <w:gridSpan w:val="2"/>
          </w:tcPr>
          <w:p w14:paraId="7536C8B3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142134" w:rsidRPr="00311C74" w14:paraId="577EC469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13AFB66D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70% (left overnight)</w:t>
            </w:r>
          </w:p>
        </w:tc>
        <w:tc>
          <w:tcPr>
            <w:tcW w:w="1397" w:type="dxa"/>
            <w:gridSpan w:val="2"/>
          </w:tcPr>
          <w:p w14:paraId="56F63DC7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3FACCE64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min</w:t>
            </w:r>
          </w:p>
        </w:tc>
        <w:tc>
          <w:tcPr>
            <w:tcW w:w="1650" w:type="dxa"/>
            <w:gridSpan w:val="2"/>
          </w:tcPr>
          <w:p w14:paraId="637696A9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142134" w:rsidRPr="00311C74" w14:paraId="08605C1F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</w:tcPr>
          <w:p w14:paraId="3541C304" w14:textId="77777777" w:rsidR="00142134" w:rsidRPr="00311C74" w:rsidRDefault="00142134" w:rsidP="00BF66CE">
            <w:pPr>
              <w:spacing w:after="120" w:line="360" w:lineRule="auto"/>
              <w:ind w:firstLine="56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90%</w:t>
            </w:r>
          </w:p>
        </w:tc>
        <w:tc>
          <w:tcPr>
            <w:tcW w:w="1397" w:type="dxa"/>
            <w:gridSpan w:val="2"/>
          </w:tcPr>
          <w:p w14:paraId="36E3463F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</w:tcPr>
          <w:p w14:paraId="480AB7E7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min</w:t>
            </w:r>
          </w:p>
        </w:tc>
        <w:tc>
          <w:tcPr>
            <w:tcW w:w="1650" w:type="dxa"/>
            <w:gridSpan w:val="2"/>
          </w:tcPr>
          <w:p w14:paraId="5E3DEAAA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142134" w:rsidRPr="00311C74" w14:paraId="7F264C82" w14:textId="77777777" w:rsidTr="00BF66CE">
        <w:trPr>
          <w:gridAfter w:val="1"/>
          <w:wAfter w:w="112" w:type="dxa"/>
          <w:trHeight w:val="343"/>
        </w:trPr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14:paraId="73BAB500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x 100% (left overnight)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5CBEB37D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250</w:t>
            </w:r>
          </w:p>
        </w:tc>
        <w:tc>
          <w:tcPr>
            <w:tcW w:w="2362" w:type="dxa"/>
            <w:gridSpan w:val="2"/>
            <w:tcBorders>
              <w:bottom w:val="single" w:sz="4" w:space="0" w:color="auto"/>
            </w:tcBorders>
          </w:tcPr>
          <w:p w14:paraId="1AF8B13B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3 min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14:paraId="51B3F0B6" w14:textId="77777777" w:rsidR="00142134" w:rsidRPr="00311C74" w:rsidRDefault="00142134" w:rsidP="00BF66CE">
            <w:pPr>
              <w:spacing w:after="120"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11C74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</w:tbl>
    <w:p w14:paraId="7B52019F" w14:textId="77777777" w:rsidR="00142134" w:rsidRPr="00311C74" w:rsidRDefault="00142134" w:rsidP="00142134">
      <w:pPr>
        <w:spacing w:line="276" w:lineRule="auto"/>
        <w:rPr>
          <w:rFonts w:asciiTheme="minorHAnsi" w:eastAsia="Times New Roman" w:hAnsiTheme="minorHAnsi" w:cstheme="minorHAnsi"/>
          <w:lang w:eastAsia="en-AU"/>
        </w:rPr>
      </w:pPr>
    </w:p>
    <w:bookmarkStart w:id="2" w:name="_Hlk82439101"/>
    <w:p w14:paraId="14152E45" w14:textId="77777777" w:rsidR="00142134" w:rsidRPr="00850D7E" w:rsidRDefault="00142134" w:rsidP="00142134">
      <w:pPr>
        <w:ind w:firstLine="0"/>
        <w:rPr>
          <w:rStyle w:val="Hyperlink"/>
          <w:rFonts w:asciiTheme="minorHAnsi" w:eastAsia="Times New Roman" w:hAnsiTheme="minorHAnsi" w:cstheme="minorHAnsi"/>
          <w:lang w:eastAsia="en-AU"/>
        </w:rPr>
      </w:pPr>
      <w:r w:rsidRPr="00850D7E">
        <w:rPr>
          <w:rFonts w:asciiTheme="minorHAnsi" w:hAnsiTheme="minorHAnsi" w:cstheme="minorHAnsi"/>
        </w:rPr>
        <w:fldChar w:fldCharType="begin"/>
      </w:r>
      <w:r w:rsidRPr="00850D7E">
        <w:rPr>
          <w:rFonts w:asciiTheme="minorHAnsi" w:hAnsiTheme="minorHAnsi" w:cstheme="minorHAnsi"/>
        </w:rPr>
        <w:instrText xml:space="preserve"> HYPERLINK "https://cloudstor.aarnet.edu.au/plus/s/FrKSIMLEjBMjQp1" </w:instrText>
      </w:r>
      <w:r w:rsidRPr="00850D7E">
        <w:rPr>
          <w:rFonts w:asciiTheme="minorHAnsi" w:hAnsiTheme="minorHAnsi" w:cstheme="minorHAnsi"/>
        </w:rPr>
      </w:r>
      <w:r w:rsidRPr="00850D7E">
        <w:rPr>
          <w:rFonts w:asciiTheme="minorHAnsi" w:hAnsiTheme="minorHAnsi" w:cstheme="minorHAnsi"/>
        </w:rPr>
        <w:fldChar w:fldCharType="separate"/>
      </w:r>
      <w:r w:rsidRPr="00850D7E">
        <w:rPr>
          <w:rStyle w:val="Hyperlink"/>
          <w:rFonts w:asciiTheme="minorHAnsi" w:hAnsiTheme="minorHAnsi" w:cstheme="minorHAnsi"/>
        </w:rPr>
        <w:t xml:space="preserve">Supplementary </w:t>
      </w:r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Movie S1 </w:t>
      </w:r>
      <w:proofErr w:type="gramStart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>(.Mp</w:t>
      </w:r>
      <w:proofErr w:type="gramEnd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4 format). Peak mesenterial filament behaviour during over 4 days of the coral’s immune response as seen through a glass substrate (Fig. S2). Ciliates and other colonisers populated the mucus biofilm that developed in this time. </w:t>
      </w:r>
    </w:p>
    <w:p w14:paraId="0B9CCA23" w14:textId="77777777" w:rsidR="00142134" w:rsidRPr="00850D7E" w:rsidRDefault="00142134" w:rsidP="00142134">
      <w:pPr>
        <w:ind w:firstLine="0"/>
        <w:rPr>
          <w:rStyle w:val="Hyperlink"/>
          <w:rFonts w:asciiTheme="minorHAnsi" w:eastAsia="Times New Roman" w:hAnsiTheme="minorHAnsi" w:cstheme="minorHAnsi"/>
          <w:lang w:eastAsia="en-AU"/>
        </w:rPr>
      </w:pPr>
      <w:r w:rsidRPr="00850D7E">
        <w:rPr>
          <w:rFonts w:asciiTheme="minorHAnsi" w:hAnsiTheme="minorHAnsi" w:cstheme="minorHAnsi"/>
        </w:rPr>
        <w:fldChar w:fldCharType="end"/>
      </w:r>
      <w:r>
        <w:fldChar w:fldCharType="begin"/>
      </w:r>
      <w:r>
        <w:instrText xml:space="preserve"> HYPERLINK "https://cloudstor.aarnet.edu.au/plus/s/BfNqfQQRuG2oE6h" </w:instrText>
      </w:r>
      <w:r>
        <w:fldChar w:fldCharType="separate"/>
      </w:r>
      <w:r w:rsidRPr="00850D7E">
        <w:rPr>
          <w:rStyle w:val="Hyperlink"/>
        </w:rPr>
        <w:t xml:space="preserve"> </w:t>
      </w:r>
      <w:r w:rsidRPr="00850D7E">
        <w:rPr>
          <w:rStyle w:val="Hyperlink"/>
          <w:rFonts w:asciiTheme="minorHAnsi" w:hAnsiTheme="minorHAnsi" w:cstheme="minorHAnsi"/>
        </w:rPr>
        <w:t xml:space="preserve">Supplementary </w:t>
      </w:r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>Movie S2 </w:t>
      </w:r>
      <w:proofErr w:type="gramStart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>(.Mp</w:t>
      </w:r>
      <w:proofErr w:type="gramEnd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4 format). The mesenterial filaments twisting to move through temporary holes in the coral fragments soft tissues to gain access to the substrate outside of the coral fragments body (Fig. S3). </w:t>
      </w:r>
    </w:p>
    <w:p w14:paraId="1903559E" w14:textId="77777777" w:rsidR="00142134" w:rsidRPr="00850D7E" w:rsidRDefault="00142134" w:rsidP="00142134">
      <w:pPr>
        <w:shd w:val="clear" w:color="auto" w:fill="FFFFFF"/>
        <w:spacing w:after="113"/>
        <w:ind w:firstLine="0"/>
        <w:rPr>
          <w:rStyle w:val="Hyperlink"/>
          <w:rFonts w:asciiTheme="minorHAnsi" w:eastAsia="Times New Roman" w:hAnsiTheme="minorHAnsi" w:cstheme="minorHAnsi"/>
          <w:lang w:eastAsia="en-AU"/>
        </w:rPr>
      </w:pPr>
      <w:r>
        <w:fldChar w:fldCharType="end"/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HYPERLINK "https://cloudstor.aarnet.edu.au/plus/s/26fqXsXpfvNHKyK"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850D7E">
        <w:rPr>
          <w:rStyle w:val="Hyperlink"/>
          <w:rFonts w:asciiTheme="minorHAnsi" w:hAnsiTheme="minorHAnsi" w:cstheme="minorHAnsi"/>
        </w:rPr>
        <w:t xml:space="preserve">Supplementary </w:t>
      </w:r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Movie S3 </w:t>
      </w:r>
      <w:proofErr w:type="gramStart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>(.Mp</w:t>
      </w:r>
      <w:proofErr w:type="gramEnd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4 format). Enlarged tissues at the contact points between the coral fragment and a ceramic substrate developing and anchoring onto the substrate (Fig. S2). </w:t>
      </w:r>
    </w:p>
    <w:p w14:paraId="2FF84B04" w14:textId="77777777" w:rsidR="00142134" w:rsidRPr="00850D7E" w:rsidRDefault="00142134" w:rsidP="00142134">
      <w:pPr>
        <w:shd w:val="clear" w:color="auto" w:fill="FFFFFF"/>
        <w:spacing w:after="113"/>
        <w:ind w:firstLine="0"/>
        <w:rPr>
          <w:rStyle w:val="Hyperlink"/>
          <w:rFonts w:asciiTheme="minorHAnsi" w:eastAsia="Times New Roman" w:hAnsiTheme="minorHAnsi" w:cstheme="minorHAnsi"/>
          <w:lang w:eastAsia="en-AU"/>
        </w:rPr>
      </w:pP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HYPERLINK "https://cloudstor.aarnet.edu.au/plus/s/GzjFJRNwvOEXRLX"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850D7E">
        <w:rPr>
          <w:rStyle w:val="Hyperlink"/>
          <w:rFonts w:asciiTheme="minorHAnsi" w:hAnsiTheme="minorHAnsi" w:cstheme="minorHAnsi"/>
        </w:rPr>
        <w:t xml:space="preserve">Supplementary </w:t>
      </w:r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Movie S4 </w:t>
      </w:r>
      <w:proofErr w:type="gramStart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>(.Mp</w:t>
      </w:r>
      <w:proofErr w:type="gramEnd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4 format). The mesenterial filaments removed the coral's tissues through autolysis (Fig. S6). </w:t>
      </w:r>
    </w:p>
    <w:p w14:paraId="6362B044" w14:textId="77777777" w:rsidR="00142134" w:rsidRPr="00850D7E" w:rsidRDefault="00142134" w:rsidP="00142134">
      <w:pPr>
        <w:shd w:val="clear" w:color="auto" w:fill="FFFFFF"/>
        <w:spacing w:after="113"/>
        <w:ind w:firstLine="0"/>
        <w:rPr>
          <w:rStyle w:val="Hyperlink"/>
          <w:rFonts w:asciiTheme="minorHAnsi" w:eastAsia="Times New Roman" w:hAnsiTheme="minorHAnsi" w:cstheme="minorHAnsi"/>
          <w:lang w:eastAsia="en-AU"/>
        </w:rPr>
      </w:pP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HYPERLINK "https://cloudstor.aarnet.edu.au/plus/s/9lyORcSuAcGRqTw"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850D7E">
        <w:rPr>
          <w:rStyle w:val="Hyperlink"/>
          <w:rFonts w:asciiTheme="minorHAnsi" w:hAnsiTheme="minorHAnsi" w:cstheme="minorHAnsi"/>
        </w:rPr>
        <w:t xml:space="preserve">Supplementary </w:t>
      </w:r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Movie S5 </w:t>
      </w:r>
      <w:proofErr w:type="gramStart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>(.Mp</w:t>
      </w:r>
      <w:proofErr w:type="gramEnd"/>
      <w:r w:rsidRPr="00850D7E">
        <w:rPr>
          <w:rStyle w:val="Hyperlink"/>
          <w:rFonts w:asciiTheme="minorHAnsi" w:eastAsia="Times New Roman" w:hAnsiTheme="minorHAnsi" w:cstheme="minorHAnsi"/>
          <w:lang w:eastAsia="en-AU"/>
        </w:rPr>
        <w:t xml:space="preserve">4 format). Localised pulsing of the corals tissues to move the lappet appendage along the surface depositing the corals initial skeleton (Fig. S7). </w:t>
      </w:r>
    </w:p>
    <w:bookmarkEnd w:id="0"/>
    <w:bookmarkEnd w:id="2"/>
    <w:p w14:paraId="5C111C69" w14:textId="77777777" w:rsidR="00142134" w:rsidRPr="00311C74" w:rsidRDefault="00142134" w:rsidP="0014213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fldChar w:fldCharType="end"/>
      </w:r>
    </w:p>
    <w:p w14:paraId="36444375" w14:textId="77777777" w:rsidR="004A541B" w:rsidRDefault="004A541B"/>
    <w:sectPr w:rsidR="004A541B" w:rsidSect="00844852">
      <w:headerReference w:type="default" r:id="rId4"/>
      <w:footerReference w:type="default" r:id="rId5"/>
      <w:pgSz w:w="11906" w:h="16838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09F6" w14:textId="77777777" w:rsidR="00DE3C9D" w:rsidRDefault="00142134" w:rsidP="00DE3C9D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eastAsia="Times New Roman" w:cs="Times New Roman"/>
        <w:sz w:val="18"/>
        <w:szCs w:val="18"/>
        <w:lang w:val="en-US"/>
      </w:rPr>
    </w:pPr>
    <w:r w:rsidRPr="00DE3C9D">
      <w:rPr>
        <w:rFonts w:eastAsia="Times New Roman" w:cs="Times New Roman"/>
        <w:b/>
        <w:bCs/>
        <w:sz w:val="18"/>
        <w:szCs w:val="18"/>
        <w:lang w:val="en-US"/>
      </w:rPr>
      <w:fldChar w:fldCharType="begin"/>
    </w:r>
    <w:r w:rsidRPr="00DE3C9D">
      <w:rPr>
        <w:rFonts w:eastAsia="Times New Roman" w:cs="Times New Roman"/>
        <w:b/>
        <w:bCs/>
        <w:sz w:val="18"/>
        <w:szCs w:val="18"/>
        <w:lang w:val="en-US"/>
      </w:rPr>
      <w:instrText xml:space="preserve"> PAGE </w:instrText>
    </w:r>
    <w:r w:rsidRPr="00DE3C9D">
      <w:rPr>
        <w:rFonts w:eastAsia="Times New Roman" w:cs="Times New Roman"/>
        <w:b/>
        <w:bCs/>
        <w:sz w:val="18"/>
        <w:szCs w:val="18"/>
        <w:lang w:val="en-US"/>
      </w:rPr>
      <w:fldChar w:fldCharType="separate"/>
    </w:r>
    <w:r w:rsidRPr="00DE3C9D">
      <w:rPr>
        <w:rFonts w:eastAsia="Times New Roman" w:cs="Times New Roman"/>
        <w:b/>
        <w:bCs/>
        <w:sz w:val="18"/>
        <w:szCs w:val="18"/>
        <w:lang w:val="en-US"/>
      </w:rPr>
      <w:t>6</w:t>
    </w:r>
    <w:r w:rsidRPr="00DE3C9D">
      <w:rPr>
        <w:rFonts w:eastAsia="Times New Roman" w:cs="Times New Roman"/>
        <w:b/>
        <w:bCs/>
        <w:sz w:val="18"/>
        <w:szCs w:val="18"/>
        <w:lang w:val="en-US"/>
      </w:rPr>
      <w:fldChar w:fldCharType="end"/>
    </w:r>
  </w:p>
  <w:p w14:paraId="7B1A28DC" w14:textId="77777777" w:rsidR="00C54504" w:rsidRPr="00DE3C9D" w:rsidRDefault="00142134" w:rsidP="00DE3C9D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eastAsia="Times New Roman" w:cs="Times New Roman"/>
        <w:sz w:val="18"/>
        <w:szCs w:val="18"/>
        <w:lang w:val="en-US"/>
      </w:rPr>
    </w:pPr>
  </w:p>
  <w:p w14:paraId="359E81EC" w14:textId="77777777" w:rsidR="000B045F" w:rsidRDefault="00142134">
    <w:pPr>
      <w:pStyle w:val="Footer"/>
      <w:jc w:val="center"/>
      <w:rPr>
        <w:caps/>
        <w:noProof/>
        <w:color w:val="4472C4" w:themeColor="accent1"/>
      </w:rPr>
    </w:pPr>
  </w:p>
  <w:p w14:paraId="1CEB1A45" w14:textId="77777777" w:rsidR="000B045F" w:rsidRDefault="00142134" w:rsidP="00DE3C9D">
    <w:pPr>
      <w:pStyle w:val="Footer"/>
      <w:tabs>
        <w:tab w:val="clear" w:pos="4513"/>
        <w:tab w:val="clear" w:pos="9026"/>
        <w:tab w:val="left" w:pos="3682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BDB7" w14:textId="77777777" w:rsidR="0062468C" w:rsidRDefault="00142134" w:rsidP="0052266D">
    <w:pPr>
      <w:pStyle w:val="Header"/>
    </w:pPr>
  </w:p>
  <w:p w14:paraId="0129D998" w14:textId="77777777" w:rsidR="0052266D" w:rsidRPr="0052266D" w:rsidRDefault="00142134" w:rsidP="00522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c0M7c0NjA0MzUwsrRU0lEKTi0uzszPAykwrAUA984dQiwAAAA="/>
  </w:docVars>
  <w:rsids>
    <w:rsidRoot w:val="00142134"/>
    <w:rsid w:val="00142134"/>
    <w:rsid w:val="004A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E3A5"/>
  <w15:chartTrackingRefBased/>
  <w15:docId w15:val="{478AD3E5-0732-44FC-AEA3-9F7C98A5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134"/>
    <w:pPr>
      <w:spacing w:line="480" w:lineRule="auto"/>
      <w:ind w:left="720" w:firstLine="72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1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134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142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134"/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14213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42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osBIO">
    <w:name w:val="Plos BIO"/>
    <w:basedOn w:val="Heading1"/>
    <w:link w:val="PlosBIOChar"/>
    <w:qFormat/>
    <w:rsid w:val="00142134"/>
    <w:pPr>
      <w:spacing w:line="276" w:lineRule="auto"/>
      <w:ind w:left="0"/>
    </w:pPr>
    <w:rPr>
      <w:rFonts w:ascii="Georgia" w:hAnsi="Georgia" w:cstheme="minorHAnsi"/>
      <w:b/>
      <w:color w:val="auto"/>
      <w:sz w:val="28"/>
      <w:szCs w:val="20"/>
    </w:rPr>
  </w:style>
  <w:style w:type="character" w:customStyle="1" w:styleId="PlosBIOChar">
    <w:name w:val="Plos BIO Char"/>
    <w:basedOn w:val="DefaultParagraphFont"/>
    <w:link w:val="PlosBIO"/>
    <w:rsid w:val="00142134"/>
    <w:rPr>
      <w:rFonts w:ascii="Georgia" w:eastAsiaTheme="majorEastAsia" w:hAnsi="Georgia" w:cstheme="minorHAnsi"/>
      <w:b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42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14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Lewis</dc:creator>
  <cp:keywords/>
  <dc:description/>
  <cp:lastModifiedBy>Brett Lewis</cp:lastModifiedBy>
  <cp:revision>1</cp:revision>
  <dcterms:created xsi:type="dcterms:W3CDTF">2021-10-06T04:25:00Z</dcterms:created>
  <dcterms:modified xsi:type="dcterms:W3CDTF">2021-10-07T06:33:00Z</dcterms:modified>
</cp:coreProperties>
</file>