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101A9" w14:textId="77777777" w:rsidR="00BE6C8D" w:rsidRDefault="00BE6C8D" w:rsidP="00BE6C8D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1C2C"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261BEE2" wp14:editId="2AE4DD90">
            <wp:extent cx="5731510" cy="2102485"/>
            <wp:effectExtent l="0" t="0" r="0" b="5715"/>
            <wp:docPr id="600126572" name="Picture 1" descr="A colorful glowing spots on a black background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126572" name="Picture 1" descr="A colorful glowing spots on a black background  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96299" w14:textId="77777777" w:rsidR="00BE6C8D" w:rsidRDefault="00BE6C8D" w:rsidP="00BE6C8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S1.</w:t>
      </w:r>
      <w:r w:rsidRPr="002C1C2C">
        <w:rPr>
          <w:rFonts w:ascii="Arial" w:hAnsi="Arial" w:cs="Arial"/>
          <w:sz w:val="22"/>
          <w:szCs w:val="22"/>
        </w:rPr>
        <w:t xml:space="preserve"> Examples </w:t>
      </w:r>
      <w:r>
        <w:rPr>
          <w:rFonts w:ascii="Arial" w:hAnsi="Arial" w:cs="Arial"/>
          <w:sz w:val="22"/>
          <w:szCs w:val="22"/>
        </w:rPr>
        <w:t xml:space="preserve">of </w:t>
      </w:r>
      <w:r w:rsidRPr="002C1C2C">
        <w:rPr>
          <w:rFonts w:ascii="Arial" w:hAnsi="Arial" w:cs="Arial"/>
          <w:sz w:val="22"/>
          <w:szCs w:val="22"/>
        </w:rPr>
        <w:t xml:space="preserve">images </w:t>
      </w:r>
      <w:r>
        <w:rPr>
          <w:rFonts w:ascii="Arial" w:hAnsi="Arial" w:cs="Arial"/>
          <w:sz w:val="22"/>
          <w:szCs w:val="22"/>
        </w:rPr>
        <w:t xml:space="preserve">demonstrating </w:t>
      </w:r>
      <w:r w:rsidRPr="002C1C2C">
        <w:rPr>
          <w:rFonts w:ascii="Arial" w:hAnsi="Arial" w:cs="Arial"/>
          <w:sz w:val="22"/>
          <w:szCs w:val="22"/>
        </w:rPr>
        <w:t>track</w:t>
      </w:r>
      <w:r>
        <w:rPr>
          <w:rFonts w:ascii="Arial" w:hAnsi="Arial" w:cs="Arial"/>
          <w:sz w:val="22"/>
          <w:szCs w:val="22"/>
        </w:rPr>
        <w:t>ing of green fluorescent-protein-labeled exosomes after intracerebroventricular</w:t>
      </w:r>
      <w:r w:rsidRPr="002C1C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injection in mice subjected to either middle cerebral artery occlusion or sham control surgery. Tissue is co-labeled</w:t>
      </w:r>
      <w:r w:rsidRPr="002C1C2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to </w:t>
      </w:r>
      <w:r w:rsidRPr="002C1C2C">
        <w:rPr>
          <w:rFonts w:ascii="Arial" w:hAnsi="Arial" w:cs="Arial"/>
          <w:sz w:val="22"/>
          <w:szCs w:val="22"/>
        </w:rPr>
        <w:t xml:space="preserve">identify astrocytes (GFAP) </w:t>
      </w:r>
      <w:r>
        <w:rPr>
          <w:rFonts w:ascii="Arial" w:hAnsi="Arial" w:cs="Arial"/>
          <w:sz w:val="22"/>
          <w:szCs w:val="22"/>
        </w:rPr>
        <w:t>and</w:t>
      </w:r>
      <w:r w:rsidRPr="002C1C2C">
        <w:rPr>
          <w:rFonts w:ascii="Arial" w:hAnsi="Arial" w:cs="Arial"/>
          <w:sz w:val="22"/>
          <w:szCs w:val="22"/>
        </w:rPr>
        <w:t xml:space="preserve"> neurons (NeuN). Scale bar = 50 mm</w:t>
      </w:r>
    </w:p>
    <w:p w14:paraId="3BC855E2" w14:textId="77777777" w:rsidR="004E780C" w:rsidRDefault="004E780C"/>
    <w:sectPr w:rsidR="004E7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C8D"/>
    <w:rsid w:val="002978F5"/>
    <w:rsid w:val="003852CF"/>
    <w:rsid w:val="004615F2"/>
    <w:rsid w:val="004E780C"/>
    <w:rsid w:val="00BE6C8D"/>
    <w:rsid w:val="00F5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CBC70"/>
  <w15:chartTrackingRefBased/>
  <w15:docId w15:val="{BD39F0DD-240F-43A2-A8D0-3A324A457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C8D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6C8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6C8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6C8D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6C8D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6C8D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6C8D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6C8D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6C8D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6C8D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6C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6C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6C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6C8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6C8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6C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6C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6C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6C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6C8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E6C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6C8D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E6C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6C8D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E6C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6C8D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E6C8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6C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6C8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6C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Rohit Pandey</dc:creator>
  <cp:keywords/>
  <dc:description/>
  <cp:lastModifiedBy>Rohit Pandey</cp:lastModifiedBy>
  <cp:revision>1</cp:revision>
  <dcterms:created xsi:type="dcterms:W3CDTF">2026-05-26T19:05:00Z</dcterms:created>
  <dcterms:modified xsi:type="dcterms:W3CDTF">2026-05-26T19:05:00Z</dcterms:modified>
</cp:coreProperties>
</file>