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2B" w:rsidRPr="002E2ACF" w:rsidRDefault="0084282B" w:rsidP="0084282B">
      <w:pPr>
        <w:spacing w:after="0" w:line="360" w:lineRule="auto"/>
        <w:ind w:left="567" w:right="1276" w:hanging="567"/>
        <w:jc w:val="both"/>
        <w:rPr>
          <w:rFonts w:eastAsia="Calibri" w:cstheme="minorHAnsi"/>
          <w:kern w:val="2"/>
          <w:sz w:val="18"/>
          <w:szCs w:val="18"/>
          <w14:ligatures w14:val="standardContextual"/>
        </w:rPr>
      </w:pPr>
      <w:proofErr w:type="spellStart"/>
      <w:r w:rsidRPr="00DB119C">
        <w:rPr>
          <w:rFonts w:eastAsia="Calibri" w:cstheme="minorHAnsi"/>
          <w:b/>
          <w:kern w:val="2"/>
          <w:sz w:val="18"/>
          <w:szCs w:val="18"/>
          <w14:ligatures w14:val="standardContextual"/>
        </w:rPr>
        <w:t>Supp</w:t>
      </w:r>
      <w:proofErr w:type="spellEnd"/>
      <w:r w:rsidRPr="00DB119C">
        <w:rPr>
          <w:rFonts w:eastAsia="Calibri" w:cstheme="minorHAnsi"/>
          <w:b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DB119C">
        <w:rPr>
          <w:rFonts w:eastAsia="Calibri" w:cstheme="minorHAnsi"/>
          <w:b/>
          <w:kern w:val="2"/>
          <w:sz w:val="18"/>
          <w:szCs w:val="18"/>
          <w14:ligatures w14:val="standardContextual"/>
        </w:rPr>
        <w:t>Table</w:t>
      </w:r>
      <w:proofErr w:type="spellEnd"/>
      <w:r w:rsidRPr="00DB119C">
        <w:rPr>
          <w:rFonts w:eastAsia="Calibri" w:cstheme="minorHAnsi"/>
          <w:b/>
          <w:kern w:val="2"/>
          <w:sz w:val="18"/>
          <w:szCs w:val="18"/>
          <w14:ligatures w14:val="standardContextual"/>
        </w:rPr>
        <w:t xml:space="preserve"> 1</w:t>
      </w:r>
      <w:r>
        <w:rPr>
          <w:rFonts w:eastAsia="Calibri" w:cstheme="minorHAnsi"/>
          <w:b/>
          <w:kern w:val="2"/>
          <w:sz w:val="18"/>
          <w:szCs w:val="18"/>
          <w14:ligatures w14:val="standardContextual"/>
        </w:rPr>
        <w:t xml:space="preserve">. </w:t>
      </w:r>
      <w:r w:rsidRPr="00EF38E1">
        <w:rPr>
          <w:rFonts w:eastAsia="Calibri" w:cstheme="minorHAnsi"/>
          <w:kern w:val="2"/>
          <w:sz w:val="18"/>
          <w:szCs w:val="18"/>
          <w:lang w:val="en-US"/>
          <w14:ligatures w14:val="standardContextual"/>
        </w:rPr>
        <w:t>Comparison of Anatomical and Morphometric Characteristics Between Female and Male Patients</w:t>
      </w:r>
      <w:r>
        <w:rPr>
          <w:rFonts w:eastAsia="Calibri" w:cstheme="minorHAnsi"/>
          <w:kern w:val="2"/>
          <w:sz w:val="18"/>
          <w:szCs w:val="18"/>
          <w:lang w:val="en-US"/>
          <w14:ligatures w14:val="standardContextual"/>
        </w:rPr>
        <w:t xml:space="preserve"> </w:t>
      </w:r>
      <w:r w:rsidRPr="00EF38E1">
        <w:rPr>
          <w:rFonts w:eastAsia="Calibri" w:cstheme="minorHAnsi"/>
          <w:kern w:val="2"/>
          <w:sz w:val="18"/>
          <w:szCs w:val="18"/>
          <w:lang w:val="en-US"/>
          <w14:ligatures w14:val="standardContextual"/>
        </w:rPr>
        <w:t>(n = 261)</w:t>
      </w:r>
    </w:p>
    <w:tbl>
      <w:tblPr>
        <w:tblStyle w:val="ListTable23"/>
        <w:tblW w:w="7717" w:type="dxa"/>
        <w:tblLayout w:type="fixed"/>
        <w:tblLook w:val="04A0" w:firstRow="1" w:lastRow="0" w:firstColumn="1" w:lastColumn="0" w:noHBand="0" w:noVBand="1"/>
      </w:tblPr>
      <w:tblGrid>
        <w:gridCol w:w="2086"/>
        <w:gridCol w:w="1698"/>
        <w:gridCol w:w="1698"/>
        <w:gridCol w:w="1557"/>
        <w:gridCol w:w="678"/>
      </w:tblGrid>
      <w:tr w:rsidR="0084282B" w:rsidRPr="002E2ACF" w:rsidTr="00024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right="-531"/>
              <w:rPr>
                <w:rFonts w:eastAsia="Times New Roman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282B" w:rsidRDefault="0084282B" w:rsidP="0002488F">
            <w:pPr>
              <w:autoSpaceDE w:val="0"/>
              <w:autoSpaceDN w:val="0"/>
              <w:adjustRightInd w:val="0"/>
              <w:ind w:right="-2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           </w:t>
            </w:r>
            <w:proofErr w:type="spellStart"/>
            <w:r w:rsidRPr="002E2ACF">
              <w:rPr>
                <w:rFonts w:eastAsia="Times New Roman" w:cstheme="minorHAnsi"/>
                <w:sz w:val="18"/>
                <w:szCs w:val="18"/>
              </w:rPr>
              <w:t>All</w:t>
            </w:r>
            <w:proofErr w:type="spellEnd"/>
          </w:p>
          <w:p w:rsidR="0084282B" w:rsidRPr="00ED3868" w:rsidRDefault="0084282B" w:rsidP="0002488F">
            <w:pPr>
              <w:autoSpaceDE w:val="0"/>
              <w:autoSpaceDN w:val="0"/>
              <w:adjustRightInd w:val="0"/>
              <w:ind w:right="-2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18"/>
                <w:szCs w:val="18"/>
              </w:rPr>
            </w:pPr>
            <w:r>
              <w:rPr>
                <w:rFonts w:eastAsia="Times New Roman" w:cstheme="minorHAnsi"/>
                <w:b w:val="0"/>
                <w:sz w:val="18"/>
                <w:szCs w:val="18"/>
              </w:rPr>
              <w:t xml:space="preserve">        </w:t>
            </w:r>
            <w:r w:rsidRPr="00ED3868">
              <w:rPr>
                <w:rFonts w:eastAsia="Times New Roman" w:cstheme="minorHAnsi"/>
                <w:b w:val="0"/>
                <w:sz w:val="18"/>
                <w:szCs w:val="18"/>
              </w:rPr>
              <w:t>(n=261)</w:t>
            </w:r>
          </w:p>
        </w:tc>
        <w:tc>
          <w:tcPr>
            <w:tcW w:w="16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282B" w:rsidRDefault="0084282B" w:rsidP="0002488F">
            <w:pPr>
              <w:autoSpaceDE w:val="0"/>
              <w:autoSpaceDN w:val="0"/>
              <w:adjustRightInd w:val="0"/>
              <w:ind w:left="33" w:right="-2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18"/>
                <w:szCs w:val="18"/>
              </w:rPr>
            </w:pPr>
            <w:proofErr w:type="spellStart"/>
            <w:r w:rsidRPr="002E2ACF">
              <w:rPr>
                <w:rFonts w:eastAsia="Times New Roman" w:cstheme="minorHAnsi"/>
                <w:sz w:val="18"/>
                <w:szCs w:val="18"/>
              </w:rPr>
              <w:t>Female</w:t>
            </w:r>
            <w:proofErr w:type="spellEnd"/>
          </w:p>
          <w:p w:rsidR="0084282B" w:rsidRPr="002E2ACF" w:rsidRDefault="0084282B" w:rsidP="0002488F">
            <w:pPr>
              <w:autoSpaceDE w:val="0"/>
              <w:autoSpaceDN w:val="0"/>
              <w:adjustRightInd w:val="0"/>
              <w:ind w:left="33" w:right="-2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F12A49">
              <w:rPr>
                <w:rFonts w:eastAsia="Times New Roman" w:cstheme="minorHAnsi"/>
                <w:b w:val="0"/>
                <w:sz w:val="18"/>
                <w:szCs w:val="18"/>
              </w:rPr>
              <w:t>(n=107)</w:t>
            </w:r>
          </w:p>
        </w:tc>
        <w:tc>
          <w:tcPr>
            <w:tcW w:w="1557" w:type="dxa"/>
            <w:tcBorders>
              <w:top w:val="single" w:sz="18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84282B" w:rsidRDefault="0084282B" w:rsidP="0002488F">
            <w:pPr>
              <w:autoSpaceDE w:val="0"/>
              <w:autoSpaceDN w:val="0"/>
              <w:adjustRightInd w:val="0"/>
              <w:ind w:lef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Male</w:t>
            </w:r>
          </w:p>
          <w:p w:rsidR="0084282B" w:rsidRPr="002E2ACF" w:rsidRDefault="0084282B" w:rsidP="0002488F">
            <w:pPr>
              <w:autoSpaceDE w:val="0"/>
              <w:autoSpaceDN w:val="0"/>
              <w:adjustRightInd w:val="0"/>
              <w:ind w:lef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F12A49">
              <w:rPr>
                <w:rFonts w:eastAsia="Times New Roman" w:cstheme="minorHAnsi"/>
                <w:b w:val="0"/>
                <w:sz w:val="18"/>
                <w:szCs w:val="18"/>
              </w:rPr>
              <w:t>(n=154)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left="-68" w:firstLine="2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i/>
                <w:iCs/>
                <w:sz w:val="18"/>
                <w:szCs w:val="18"/>
              </w:rPr>
            </w:pPr>
            <w:r w:rsidRPr="002E2ACF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P </w:t>
            </w:r>
            <w:proofErr w:type="spellStart"/>
            <w:r w:rsidRPr="002E2ACF">
              <w:rPr>
                <w:rFonts w:eastAsia="Calibri" w:cstheme="minorHAnsi"/>
                <w:i/>
                <w:iCs/>
                <w:sz w:val="18"/>
                <w:szCs w:val="18"/>
              </w:rPr>
              <w:t>value</w:t>
            </w:r>
            <w:proofErr w:type="spellEnd"/>
          </w:p>
        </w:tc>
      </w:tr>
      <w:tr w:rsidR="0084282B" w:rsidRPr="002E2ACF" w:rsidTr="00024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vMerge w:val="restart"/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proofErr w:type="spellStart"/>
            <w:r w:rsidRPr="002E2ACF">
              <w:rPr>
                <w:rFonts w:eastAsia="Times New Roman" w:cstheme="minorHAnsi"/>
                <w:sz w:val="18"/>
                <w:szCs w:val="18"/>
              </w:rPr>
              <w:t>Carina</w:t>
            </w:r>
            <w:proofErr w:type="spellEnd"/>
            <w:r w:rsidRPr="002E2ACF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2E2ACF">
              <w:rPr>
                <w:rFonts w:eastAsia="Times New Roman" w:cstheme="minorHAnsi"/>
                <w:sz w:val="18"/>
                <w:szCs w:val="18"/>
              </w:rPr>
              <w:t>to</w:t>
            </w:r>
            <w:proofErr w:type="spellEnd"/>
            <w:r w:rsidRPr="002E2ACF">
              <w:rPr>
                <w:rFonts w:eastAsia="Times New Roman" w:cstheme="minorHAnsi"/>
                <w:sz w:val="18"/>
                <w:szCs w:val="18"/>
              </w:rPr>
              <w:t xml:space="preserve"> CAJ </w:t>
            </w:r>
            <w:r w:rsidRPr="002E2ACF">
              <w:rPr>
                <w:rFonts w:eastAsia="Times New Roman" w:cstheme="minorHAnsi"/>
                <w:b w:val="0"/>
                <w:sz w:val="18"/>
                <w:szCs w:val="18"/>
              </w:rPr>
              <w:t>(mm)</w:t>
            </w:r>
          </w:p>
        </w:tc>
        <w:tc>
          <w:tcPr>
            <w:tcW w:w="1698" w:type="dxa"/>
            <w:tcBorders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0.00-58.00 (36.00)</w:t>
            </w:r>
          </w:p>
        </w:tc>
        <w:tc>
          <w:tcPr>
            <w:tcW w:w="1698" w:type="dxa"/>
            <w:tcBorders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10.00-56.00 (35.00)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hanging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0.00-58.00 (37.00)</w:t>
            </w:r>
          </w:p>
        </w:tc>
        <w:tc>
          <w:tcPr>
            <w:tcW w:w="67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left="-68" w:firstLine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sz w:val="18"/>
                <w:szCs w:val="18"/>
              </w:rPr>
            </w:pPr>
            <w:r w:rsidRPr="002E2ACF">
              <w:rPr>
                <w:rFonts w:eastAsia="Calibri" w:cstheme="minorHAnsi"/>
                <w:bCs/>
                <w:sz w:val="18"/>
                <w:szCs w:val="18"/>
              </w:rPr>
              <w:t>0.1381</w:t>
            </w:r>
          </w:p>
        </w:tc>
      </w:tr>
      <w:tr w:rsidR="0084282B" w:rsidRPr="002E2ACF" w:rsidTr="0002488F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vMerge/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35.39±10.70</w:t>
            </w:r>
          </w:p>
        </w:tc>
        <w:tc>
          <w:tcPr>
            <w:tcW w:w="1698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34.28±9.98</w:t>
            </w:r>
          </w:p>
        </w:tc>
        <w:tc>
          <w:tcPr>
            <w:tcW w:w="1557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hanging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36.16±11.14</w:t>
            </w:r>
          </w:p>
        </w:tc>
        <w:tc>
          <w:tcPr>
            <w:tcW w:w="678" w:type="dxa"/>
            <w:vMerge/>
            <w:tcBorders>
              <w:top w:val="nil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left="-68" w:firstLine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  <w:tr w:rsidR="0084282B" w:rsidRPr="002E2ACF" w:rsidTr="00024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vMerge w:val="restart"/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2E2ACF">
              <w:rPr>
                <w:rFonts w:eastAsia="Times New Roman" w:cstheme="minorHAnsi"/>
                <w:sz w:val="18"/>
                <w:szCs w:val="18"/>
              </w:rPr>
              <w:t>Carina</w:t>
            </w:r>
            <w:proofErr w:type="spellEnd"/>
            <w:r w:rsidRPr="002E2ACF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2E2ACF">
              <w:rPr>
                <w:rFonts w:eastAsia="Times New Roman" w:cstheme="minorHAnsi"/>
                <w:sz w:val="18"/>
                <w:szCs w:val="18"/>
              </w:rPr>
              <w:t>to</w:t>
            </w:r>
            <w:proofErr w:type="spellEnd"/>
            <w:r w:rsidRPr="002E2ACF">
              <w:rPr>
                <w:rFonts w:eastAsia="Times New Roman" w:cstheme="minorHAnsi"/>
                <w:sz w:val="18"/>
                <w:szCs w:val="18"/>
              </w:rPr>
              <w:t xml:space="preserve"> CAJ </w:t>
            </w:r>
            <w:r w:rsidRPr="002E2ACF">
              <w:rPr>
                <w:rFonts w:eastAsia="Times New Roman" w:cstheme="minorHAnsi"/>
                <w:b w:val="0"/>
                <w:sz w:val="18"/>
                <w:szCs w:val="18"/>
              </w:rPr>
              <w:t>(VBU)</w:t>
            </w:r>
          </w:p>
        </w:tc>
        <w:tc>
          <w:tcPr>
            <w:tcW w:w="1698" w:type="dxa"/>
            <w:tcBorders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Calibri" w:cstheme="minorHAnsi"/>
                <w:iCs/>
                <w:sz w:val="18"/>
                <w:szCs w:val="18"/>
              </w:rPr>
              <w:t>0.00-2.60 (1.60)</w:t>
            </w:r>
          </w:p>
        </w:tc>
        <w:tc>
          <w:tcPr>
            <w:tcW w:w="1698" w:type="dxa"/>
            <w:tcBorders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0.30-2.30 (1.60)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hanging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0.00-2.60 (1.60)</w:t>
            </w: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left="-68" w:firstLine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sz w:val="18"/>
                <w:szCs w:val="18"/>
              </w:rPr>
            </w:pPr>
            <w:r w:rsidRPr="002E2ACF">
              <w:rPr>
                <w:rFonts w:eastAsia="Calibri" w:cstheme="minorHAnsi"/>
                <w:bCs/>
                <w:sz w:val="18"/>
                <w:szCs w:val="18"/>
              </w:rPr>
              <w:t>0.3345</w:t>
            </w:r>
          </w:p>
        </w:tc>
      </w:tr>
      <w:tr w:rsidR="0084282B" w:rsidRPr="002E2ACF" w:rsidTr="0002488F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vMerge/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rPr>
                <w:rFonts w:eastAsia="Times New Roman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Calibri" w:cstheme="minorHAnsi"/>
                <w:iCs/>
                <w:sz w:val="18"/>
                <w:szCs w:val="18"/>
              </w:rPr>
              <w:t>1.53±0.47</w:t>
            </w: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1.53±0.46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hanging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1.51±0.48</w:t>
            </w:r>
          </w:p>
        </w:tc>
        <w:tc>
          <w:tcPr>
            <w:tcW w:w="678" w:type="dxa"/>
            <w:vMerge/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left="-68" w:firstLine="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  <w:tr w:rsidR="0084282B" w:rsidRPr="002E2ACF" w:rsidTr="00024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vMerge w:val="restart"/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 xml:space="preserve">SVC </w:t>
            </w:r>
            <w:proofErr w:type="spellStart"/>
            <w:r w:rsidRPr="002E2ACF">
              <w:rPr>
                <w:rFonts w:eastAsia="Times New Roman" w:cstheme="minorHAnsi"/>
                <w:sz w:val="18"/>
                <w:szCs w:val="18"/>
              </w:rPr>
              <w:t>length</w:t>
            </w:r>
            <w:proofErr w:type="spellEnd"/>
            <w:r w:rsidRPr="002E2ACF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2ACF">
              <w:rPr>
                <w:rFonts w:eastAsia="Times New Roman" w:cstheme="minorHAnsi"/>
                <w:b w:val="0"/>
                <w:sz w:val="18"/>
                <w:szCs w:val="18"/>
              </w:rPr>
              <w:t>(mm)</w:t>
            </w:r>
          </w:p>
        </w:tc>
        <w:tc>
          <w:tcPr>
            <w:tcW w:w="1698" w:type="dxa"/>
            <w:tcBorders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Calibri" w:cstheme="minorHAnsi"/>
                <w:iCs/>
                <w:sz w:val="18"/>
                <w:szCs w:val="18"/>
              </w:rPr>
              <w:t>32.00-96.00 (64.00)</w:t>
            </w:r>
          </w:p>
        </w:tc>
        <w:tc>
          <w:tcPr>
            <w:tcW w:w="1698" w:type="dxa"/>
            <w:tcBorders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32.00-80.00 (62.00)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43.00-96.00 (65.00)</w:t>
            </w: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left="-68" w:right="-395" w:firstLine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2E2ACF">
              <w:rPr>
                <w:rFonts w:eastAsia="Calibri" w:cstheme="minorHAnsi"/>
                <w:b/>
                <w:bCs/>
                <w:sz w:val="18"/>
                <w:szCs w:val="18"/>
              </w:rPr>
              <w:t>0.0019**</w:t>
            </w:r>
          </w:p>
        </w:tc>
      </w:tr>
      <w:tr w:rsidR="0084282B" w:rsidRPr="002E2ACF" w:rsidTr="0002488F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Calibri" w:cstheme="minorHAnsi"/>
                <w:iCs/>
                <w:sz w:val="18"/>
                <w:szCs w:val="18"/>
              </w:rPr>
              <w:t>64.54±10.61</w:t>
            </w:r>
          </w:p>
        </w:tc>
        <w:tc>
          <w:tcPr>
            <w:tcW w:w="16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61.66±9.18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66.54±11.10</w:t>
            </w:r>
          </w:p>
        </w:tc>
        <w:tc>
          <w:tcPr>
            <w:tcW w:w="6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left="-68" w:right="-395" w:firstLine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  <w:tr w:rsidR="0084282B" w:rsidRPr="002E2ACF" w:rsidTr="00024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vMerge w:val="restart"/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 xml:space="preserve">IJV </w:t>
            </w:r>
            <w:proofErr w:type="spellStart"/>
            <w:r w:rsidRPr="002E2ACF">
              <w:rPr>
                <w:rFonts w:eastAsia="Times New Roman" w:cstheme="minorHAnsi"/>
                <w:sz w:val="18"/>
                <w:szCs w:val="18"/>
              </w:rPr>
              <w:t>diameter</w:t>
            </w:r>
            <w:proofErr w:type="spellEnd"/>
            <w:r w:rsidRPr="002E2ACF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2ACF">
              <w:rPr>
                <w:rFonts w:eastAsia="Times New Roman" w:cstheme="minorHAnsi"/>
                <w:b w:val="0"/>
                <w:sz w:val="18"/>
                <w:szCs w:val="18"/>
              </w:rPr>
              <w:t>(mm)</w:t>
            </w: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282B" w:rsidRPr="00D56C75" w:rsidRDefault="0084282B" w:rsidP="0002488F">
            <w:pPr>
              <w:autoSpaceDE w:val="0"/>
              <w:autoSpaceDN w:val="0"/>
              <w:adjustRightInd w:val="0"/>
              <w:ind w:righ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D56C75">
              <w:rPr>
                <w:rFonts w:eastAsia="Times New Roman" w:cstheme="minorHAnsi"/>
                <w:sz w:val="18"/>
                <w:szCs w:val="18"/>
                <w:lang w:val="en-GB"/>
              </w:rPr>
              <w:t>8.20-21.00 (12.40)</w:t>
            </w: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8.20-18.00 (12.00)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8.30-21.00 (13.00)</w:t>
            </w: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left="-68" w:right="-395" w:firstLine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2E2ACF">
              <w:rPr>
                <w:rFonts w:eastAsia="Calibri" w:cstheme="minorHAnsi"/>
                <w:b/>
                <w:bCs/>
                <w:sz w:val="18"/>
                <w:szCs w:val="18"/>
              </w:rPr>
              <w:t>0.0317**</w:t>
            </w:r>
          </w:p>
        </w:tc>
      </w:tr>
      <w:tr w:rsidR="0084282B" w:rsidRPr="002E2ACF" w:rsidTr="0002488F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:rsidR="0084282B" w:rsidRPr="00D56C75" w:rsidRDefault="0084282B" w:rsidP="0002488F">
            <w:pPr>
              <w:autoSpaceDE w:val="0"/>
              <w:autoSpaceDN w:val="0"/>
              <w:adjustRightInd w:val="0"/>
              <w:ind w:righ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D56C75">
              <w:rPr>
                <w:rFonts w:eastAsia="Times New Roman" w:cstheme="minorHAnsi"/>
                <w:sz w:val="18"/>
                <w:szCs w:val="18"/>
                <w:lang w:val="en-GB"/>
              </w:rPr>
              <w:t>12.76±2.51</w:t>
            </w:r>
          </w:p>
        </w:tc>
        <w:tc>
          <w:tcPr>
            <w:tcW w:w="1698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12.42±2.44</w:t>
            </w:r>
          </w:p>
        </w:tc>
        <w:tc>
          <w:tcPr>
            <w:tcW w:w="1557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2E2ACF">
              <w:rPr>
                <w:rFonts w:eastAsia="Times New Roman" w:cstheme="minorHAnsi"/>
                <w:sz w:val="18"/>
                <w:szCs w:val="18"/>
              </w:rPr>
              <w:t>13.00±2.55</w:t>
            </w:r>
          </w:p>
        </w:tc>
        <w:tc>
          <w:tcPr>
            <w:tcW w:w="678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282B" w:rsidRPr="002E2ACF" w:rsidRDefault="0084282B" w:rsidP="0002488F">
            <w:pPr>
              <w:autoSpaceDE w:val="0"/>
              <w:autoSpaceDN w:val="0"/>
              <w:adjustRightInd w:val="0"/>
              <w:ind w:left="-68" w:right="-395" w:firstLine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</w:tbl>
    <w:p w:rsidR="0084282B" w:rsidRPr="00EF38E1" w:rsidRDefault="0084282B" w:rsidP="0084282B">
      <w:pPr>
        <w:spacing w:after="160" w:line="259" w:lineRule="auto"/>
        <w:jc w:val="both"/>
        <w:rPr>
          <w:rFonts w:eastAsia="Calibri" w:cstheme="minorHAnsi"/>
          <w:iCs/>
          <w:kern w:val="2"/>
          <w:sz w:val="18"/>
          <w:szCs w:val="18"/>
          <w14:ligatures w14:val="standardContextual"/>
        </w:rPr>
      </w:pP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All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measurements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were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obtained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from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thoracic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computed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tomography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(CT)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scans</w:t>
      </w:r>
      <w:proofErr w:type="spellEnd"/>
      <w:r>
        <w:rPr>
          <w:rFonts w:eastAsia="Calibri" w:cstheme="minorHAnsi"/>
          <w:iCs/>
          <w:kern w:val="2"/>
          <w:sz w:val="18"/>
          <w:szCs w:val="18"/>
          <w14:ligatures w14:val="standardContextual"/>
        </w:rPr>
        <w:t>.</w:t>
      </w:r>
      <w:r w:rsidRPr="00EF38E1"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Numerical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gram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data</w:t>
      </w:r>
      <w:proofErr w:type="gram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were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summarized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as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mean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±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standard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deviation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along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with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median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(minimum–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maximum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). P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values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were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calculated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using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the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Mann–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Whitney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U test. A </w:t>
      </w:r>
      <w:r w:rsidRPr="00EA2B3D">
        <w:rPr>
          <w:rFonts w:eastAsia="Calibri" w:cstheme="minorHAnsi"/>
          <w:b/>
          <w:iCs/>
          <w:kern w:val="2"/>
          <w:sz w:val="18"/>
          <w:szCs w:val="18"/>
          <w14:ligatures w14:val="standardContextual"/>
        </w:rPr>
        <w:t>p-</w:t>
      </w:r>
      <w:proofErr w:type="spellStart"/>
      <w:r w:rsidRPr="00EA2B3D">
        <w:rPr>
          <w:rFonts w:eastAsia="Calibri" w:cstheme="minorHAnsi"/>
          <w:b/>
          <w:iCs/>
          <w:kern w:val="2"/>
          <w:sz w:val="18"/>
          <w:szCs w:val="18"/>
          <w14:ligatures w14:val="standardContextual"/>
        </w:rPr>
        <w:t>value</w:t>
      </w:r>
      <w:proofErr w:type="spellEnd"/>
      <w:r w:rsidRPr="00EA2B3D">
        <w:rPr>
          <w:rFonts w:eastAsia="Calibri" w:cstheme="minorHAnsi"/>
          <w:b/>
          <w:iCs/>
          <w:kern w:val="2"/>
          <w:sz w:val="18"/>
          <w:szCs w:val="18"/>
          <w14:ligatures w14:val="standardContextual"/>
        </w:rPr>
        <w:t xml:space="preserve"> &lt; 0.05</w:t>
      </w:r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was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considered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statistically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significant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.</w:t>
      </w:r>
    </w:p>
    <w:p w:rsidR="0084282B" w:rsidRPr="002E2ACF" w:rsidRDefault="0084282B" w:rsidP="0084282B">
      <w:pPr>
        <w:spacing w:after="160" w:line="259" w:lineRule="auto"/>
        <w:jc w:val="both"/>
        <w:rPr>
          <w:rFonts w:eastAsia="Calibri" w:cstheme="minorHAnsi"/>
          <w:iCs/>
          <w:kern w:val="2"/>
          <w:sz w:val="18"/>
          <w:szCs w:val="18"/>
          <w14:ligatures w14:val="standardContextual"/>
        </w:rPr>
      </w:pPr>
      <w:proofErr w:type="spellStart"/>
      <w:r w:rsidRPr="00EA2B3D">
        <w:rPr>
          <w:rFonts w:eastAsia="Calibri" w:cstheme="minorHAnsi"/>
          <w:b/>
          <w:iCs/>
          <w:kern w:val="2"/>
          <w:sz w:val="18"/>
          <w:szCs w:val="18"/>
          <w14:ligatures w14:val="standardContextual"/>
        </w:rPr>
        <w:t>Abbreviations</w:t>
      </w:r>
      <w:proofErr w:type="spellEnd"/>
      <w:r w:rsidRPr="00EA2B3D">
        <w:rPr>
          <w:rFonts w:eastAsia="Calibri" w:cstheme="minorHAnsi"/>
          <w:b/>
          <w:iCs/>
          <w:kern w:val="2"/>
          <w:sz w:val="18"/>
          <w:szCs w:val="18"/>
          <w14:ligatures w14:val="standardContextual"/>
        </w:rPr>
        <w:t>:</w:t>
      </w:r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CAJ,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cavoatrial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junction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; IJV,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internal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jugular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vein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; SVC,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superior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vena cava; VBU,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vertebral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 xml:space="preserve"> body </w:t>
      </w:r>
      <w:proofErr w:type="spellStart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unit</w:t>
      </w:r>
      <w:proofErr w:type="spellEnd"/>
      <w:r w:rsidRPr="00EF38E1">
        <w:rPr>
          <w:rFonts w:eastAsia="Calibri" w:cstheme="minorHAnsi"/>
          <w:iCs/>
          <w:kern w:val="2"/>
          <w:sz w:val="18"/>
          <w:szCs w:val="18"/>
          <w14:ligatures w14:val="standardContextual"/>
        </w:rPr>
        <w:t>.</w:t>
      </w:r>
    </w:p>
    <w:p w:rsidR="0084282B" w:rsidRDefault="0084282B" w:rsidP="0084282B">
      <w:pPr>
        <w:jc w:val="both"/>
        <w:rPr>
          <w:sz w:val="18"/>
          <w:szCs w:val="18"/>
        </w:rPr>
      </w:pPr>
    </w:p>
    <w:p w:rsidR="0084282B" w:rsidRDefault="0084282B" w:rsidP="0084282B">
      <w:pPr>
        <w:jc w:val="both"/>
        <w:rPr>
          <w:sz w:val="18"/>
          <w:szCs w:val="18"/>
        </w:rPr>
      </w:pPr>
    </w:p>
    <w:p w:rsidR="0084282B" w:rsidRDefault="0084282B" w:rsidP="0084282B">
      <w:pPr>
        <w:jc w:val="both"/>
        <w:rPr>
          <w:sz w:val="18"/>
          <w:szCs w:val="18"/>
        </w:rPr>
      </w:pPr>
    </w:p>
    <w:p w:rsidR="0084282B" w:rsidRDefault="0084282B" w:rsidP="0084282B">
      <w:pPr>
        <w:jc w:val="both"/>
        <w:rPr>
          <w:sz w:val="18"/>
          <w:szCs w:val="18"/>
        </w:rPr>
      </w:pPr>
    </w:p>
    <w:p w:rsidR="0084282B" w:rsidRDefault="0084282B" w:rsidP="0084282B">
      <w:pPr>
        <w:jc w:val="both"/>
        <w:rPr>
          <w:sz w:val="18"/>
          <w:szCs w:val="18"/>
        </w:rPr>
      </w:pPr>
    </w:p>
    <w:p w:rsidR="008F4C8A" w:rsidRDefault="008F4C8A">
      <w:bookmarkStart w:id="0" w:name="_GoBack"/>
      <w:bookmarkEnd w:id="0"/>
    </w:p>
    <w:sectPr w:rsidR="008F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08"/>
    <w:rsid w:val="0084282B"/>
    <w:rsid w:val="008F4C8A"/>
    <w:rsid w:val="00A8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ListTable23">
    <w:name w:val="List Table 23"/>
    <w:basedOn w:val="NormalTablo"/>
    <w:uiPriority w:val="47"/>
    <w:rsid w:val="008428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ListTable23">
    <w:name w:val="List Table 23"/>
    <w:basedOn w:val="NormalTablo"/>
    <w:uiPriority w:val="47"/>
    <w:rsid w:val="008428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demirgan</dc:creator>
  <cp:keywords/>
  <dc:description/>
  <cp:lastModifiedBy>serdar demirgan</cp:lastModifiedBy>
  <cp:revision>2</cp:revision>
  <dcterms:created xsi:type="dcterms:W3CDTF">2026-01-05T08:33:00Z</dcterms:created>
  <dcterms:modified xsi:type="dcterms:W3CDTF">2026-01-05T08:33:00Z</dcterms:modified>
</cp:coreProperties>
</file>