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21C74" w14:textId="77777777" w:rsidR="00C97C0F" w:rsidRDefault="00000000">
      <w:pPr>
        <w:spacing w:before="120" w:after="80"/>
        <w:jc w:val="center"/>
      </w:pPr>
      <w:r>
        <w:rPr>
          <w:b/>
          <w:bCs/>
          <w:sz w:val="22"/>
          <w:szCs w:val="22"/>
        </w:rPr>
        <w:t>SUPPLEMENTARY INFORMATION (SI)</w:t>
      </w:r>
    </w:p>
    <w:p w14:paraId="04FA46DE" w14:textId="77777777" w:rsidR="00C97C0F" w:rsidRDefault="00000000">
      <w:pPr>
        <w:spacing w:after="60"/>
        <w:jc w:val="center"/>
      </w:pPr>
      <w:r>
        <w:rPr>
          <w:i/>
          <w:iCs/>
        </w:rPr>
        <w:t>Online Appendix and Supporting Data Files</w:t>
      </w:r>
    </w:p>
    <w:p w14:paraId="107D5305" w14:textId="77777777" w:rsidR="00C97C0F" w:rsidRDefault="00C97C0F">
      <w:pPr>
        <w:spacing w:before="80" w:after="40"/>
      </w:pPr>
    </w:p>
    <w:p w14:paraId="32E6AC47" w14:textId="77777777" w:rsidR="00C97C0F" w:rsidRDefault="00C97C0F">
      <w:pPr>
        <w:pBdr>
          <w:bottom w:val="single" w:sz="4" w:space="1" w:color="000000"/>
        </w:pBdr>
        <w:spacing w:before="60" w:after="60"/>
      </w:pPr>
    </w:p>
    <w:p w14:paraId="566BE1E1" w14:textId="77777777" w:rsidR="00C97C0F" w:rsidRDefault="00C97C0F">
      <w:pPr>
        <w:spacing w:before="80" w:after="80"/>
      </w:pPr>
    </w:p>
    <w:p w14:paraId="03C55686" w14:textId="77777777" w:rsidR="00C97C0F" w:rsidRDefault="00000000">
      <w:pPr>
        <w:spacing w:after="60"/>
      </w:pPr>
      <w:r>
        <w:rPr>
          <w:b/>
          <w:bCs/>
        </w:rPr>
        <w:t xml:space="preserve">Article Title: </w:t>
      </w:r>
      <w:r>
        <w:t>Cost Asymmetry, Redundancy Underinvestment, and the Unintended Consequences of Environmental Regulation: Evidence from Indian Aviation</w:t>
      </w:r>
    </w:p>
    <w:p w14:paraId="449507BB" w14:textId="77777777" w:rsidR="00C97C0F" w:rsidRDefault="00000000">
      <w:pPr>
        <w:spacing w:after="60"/>
      </w:pPr>
      <w:r>
        <w:rPr>
          <w:b/>
          <w:bCs/>
        </w:rPr>
        <w:t xml:space="preserve">Journal: </w:t>
      </w:r>
      <w:r>
        <w:rPr>
          <w:i/>
          <w:iCs/>
        </w:rPr>
        <w:t>Journal of Regulatory Economics</w:t>
      </w:r>
    </w:p>
    <w:p w14:paraId="24565B7D" w14:textId="77777777" w:rsidR="00C97C0F" w:rsidRDefault="00000000">
      <w:pPr>
        <w:spacing w:after="60"/>
      </w:pPr>
      <w:r>
        <w:rPr>
          <w:b/>
          <w:bCs/>
        </w:rPr>
        <w:t xml:space="preserve">Author: </w:t>
      </w:r>
      <w:r>
        <w:t>Tarun Gangadhara</w:t>
      </w:r>
    </w:p>
    <w:p w14:paraId="200099FC" w14:textId="68AE6829" w:rsidR="00C97C0F" w:rsidRDefault="00000000">
      <w:pPr>
        <w:spacing w:after="60"/>
      </w:pPr>
      <w:r>
        <w:rPr>
          <w:b/>
          <w:bCs/>
        </w:rPr>
        <w:t xml:space="preserve">Affiliation: </w:t>
      </w:r>
      <w:r w:rsidR="002B586C">
        <w:t>John Nash Thesis Fellowship, Hyderabad, Telangana, India</w:t>
      </w:r>
    </w:p>
    <w:p w14:paraId="71F20743" w14:textId="6ADC36AD" w:rsidR="002B586C" w:rsidRDefault="00000000">
      <w:pPr>
        <w:spacing w:after="80"/>
      </w:pPr>
      <w:r>
        <w:rPr>
          <w:b/>
          <w:bCs/>
        </w:rPr>
        <w:t xml:space="preserve">Corresponding Author E-mail: </w:t>
      </w:r>
      <w:hyperlink r:id="rId7" w:history="1">
        <w:r w:rsidR="002B586C" w:rsidRPr="00D81FD7">
          <w:rPr>
            <w:rStyle w:val="Hyperlink"/>
          </w:rPr>
          <w:t>Tarungan00@gmail.com</w:t>
        </w:r>
      </w:hyperlink>
    </w:p>
    <w:p w14:paraId="37AA181B" w14:textId="77777777" w:rsidR="00C97C0F" w:rsidRDefault="00C97C0F">
      <w:pPr>
        <w:pBdr>
          <w:bottom w:val="single" w:sz="4" w:space="1" w:color="000000"/>
        </w:pBdr>
        <w:spacing w:before="60" w:after="60"/>
      </w:pPr>
    </w:p>
    <w:p w14:paraId="136B8513" w14:textId="77777777" w:rsidR="00C97C0F" w:rsidRDefault="00C97C0F">
      <w:pPr>
        <w:spacing w:before="80" w:after="80"/>
      </w:pPr>
    </w:p>
    <w:p w14:paraId="1EDCE566" w14:textId="77777777" w:rsidR="00C97C0F" w:rsidRDefault="00000000">
      <w:pPr>
        <w:spacing w:before="280" w:after="120"/>
      </w:pPr>
      <w:r>
        <w:rPr>
          <w:b/>
          <w:bCs/>
          <w:sz w:val="26"/>
          <w:szCs w:val="26"/>
        </w:rPr>
        <w:t>Supplementary Information Contents</w:t>
      </w:r>
    </w:p>
    <w:p w14:paraId="1B593613" w14:textId="77777777" w:rsidR="00C97C0F" w:rsidRDefault="00000000">
      <w:pPr>
        <w:spacing w:after="120"/>
        <w:jc w:val="both"/>
      </w:pPr>
      <w:r>
        <w:t>This Supplementary Information (SI) package contains the following files, submitted as Online Resources per Springer guidelines. All files are named consecutively with the ESM_ prefix. Each file contains the article title, journal name, author name, affiliation, and corresponding author email address in its header.</w:t>
      </w:r>
    </w:p>
    <w:p w14:paraId="487C3D56" w14:textId="77777777" w:rsidR="00C97C0F" w:rsidRDefault="00C97C0F">
      <w:pPr>
        <w:spacing w:before="80" w:after="40"/>
      </w:pPr>
    </w:p>
    <w:p w14:paraId="6149DC30" w14:textId="77777777" w:rsidR="00C97C0F" w:rsidRDefault="00000000">
      <w:pPr>
        <w:spacing w:after="60"/>
      </w:pPr>
      <w:r>
        <w:rPr>
          <w:b/>
          <w:bCs/>
        </w:rPr>
        <w:t>Table 1. Supplementary Information File Index</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0"/>
        <w:gridCol w:w="1800"/>
        <w:gridCol w:w="1400"/>
        <w:gridCol w:w="2560"/>
        <w:gridCol w:w="2600"/>
      </w:tblGrid>
      <w:tr w:rsidR="00C97C0F" w14:paraId="05317BE9" w14:textId="77777777">
        <w:tblPrEx>
          <w:tblCellMar>
            <w:top w:w="0" w:type="dxa"/>
            <w:bottom w:w="0" w:type="dxa"/>
          </w:tblCellMar>
        </w:tblPrEx>
        <w:tc>
          <w:tcPr>
            <w:tcW w:w="1000" w:type="dxa"/>
            <w:tcBorders>
              <w:top w:val="single" w:sz="12" w:space="0" w:color="000000"/>
              <w:left w:val="none" w:sz="0" w:space="0" w:color="000000"/>
              <w:bottom w:val="single" w:sz="4" w:space="0" w:color="000000"/>
              <w:right w:val="none" w:sz="0" w:space="0" w:color="000000"/>
            </w:tcBorders>
            <w:shd w:val="clear" w:color="auto" w:fill="FFFFFF"/>
            <w:tcMar>
              <w:top w:w="60" w:type="dxa"/>
              <w:left w:w="80" w:type="dxa"/>
              <w:bottom w:w="60" w:type="dxa"/>
              <w:right w:w="80" w:type="dxa"/>
            </w:tcMar>
            <w:vAlign w:val="center"/>
          </w:tcPr>
          <w:p w14:paraId="6991165F" w14:textId="77777777" w:rsidR="00C97C0F" w:rsidRDefault="00000000">
            <w:pPr>
              <w:jc w:val="center"/>
            </w:pPr>
            <w:r>
              <w:rPr>
                <w:b/>
                <w:bCs/>
                <w:sz w:val="18"/>
                <w:szCs w:val="18"/>
              </w:rPr>
              <w:t>Online Resource</w:t>
            </w:r>
          </w:p>
        </w:tc>
        <w:tc>
          <w:tcPr>
            <w:tcW w:w="1800" w:type="dxa"/>
            <w:tcBorders>
              <w:top w:val="single" w:sz="12" w:space="0" w:color="000000"/>
              <w:left w:val="none" w:sz="0" w:space="0" w:color="000000"/>
              <w:bottom w:val="single" w:sz="4" w:space="0" w:color="000000"/>
              <w:right w:val="none" w:sz="0" w:space="0" w:color="000000"/>
            </w:tcBorders>
            <w:shd w:val="clear" w:color="auto" w:fill="FFFFFF"/>
            <w:tcMar>
              <w:top w:w="60" w:type="dxa"/>
              <w:left w:w="80" w:type="dxa"/>
              <w:bottom w:w="60" w:type="dxa"/>
              <w:right w:w="80" w:type="dxa"/>
            </w:tcMar>
            <w:vAlign w:val="center"/>
          </w:tcPr>
          <w:p w14:paraId="7E141ACB" w14:textId="77777777" w:rsidR="00C97C0F" w:rsidRDefault="00000000">
            <w:pPr>
              <w:jc w:val="center"/>
            </w:pPr>
            <w:r>
              <w:rPr>
                <w:b/>
                <w:bCs/>
                <w:sz w:val="18"/>
                <w:szCs w:val="18"/>
              </w:rPr>
              <w:t>Filename</w:t>
            </w:r>
          </w:p>
        </w:tc>
        <w:tc>
          <w:tcPr>
            <w:tcW w:w="1400" w:type="dxa"/>
            <w:tcBorders>
              <w:top w:val="single" w:sz="12" w:space="0" w:color="000000"/>
              <w:left w:val="none" w:sz="0" w:space="0" w:color="000000"/>
              <w:bottom w:val="single" w:sz="4" w:space="0" w:color="000000"/>
              <w:right w:val="none" w:sz="0" w:space="0" w:color="000000"/>
            </w:tcBorders>
            <w:shd w:val="clear" w:color="auto" w:fill="FFFFFF"/>
            <w:tcMar>
              <w:top w:w="60" w:type="dxa"/>
              <w:left w:w="80" w:type="dxa"/>
              <w:bottom w:w="60" w:type="dxa"/>
              <w:right w:w="80" w:type="dxa"/>
            </w:tcMar>
            <w:vAlign w:val="center"/>
          </w:tcPr>
          <w:p w14:paraId="6454C73E" w14:textId="77777777" w:rsidR="00C97C0F" w:rsidRDefault="00000000">
            <w:pPr>
              <w:jc w:val="center"/>
            </w:pPr>
            <w:r>
              <w:rPr>
                <w:b/>
                <w:bCs/>
                <w:sz w:val="18"/>
                <w:szCs w:val="18"/>
              </w:rPr>
              <w:t>Format</w:t>
            </w:r>
          </w:p>
        </w:tc>
        <w:tc>
          <w:tcPr>
            <w:tcW w:w="2560" w:type="dxa"/>
            <w:tcBorders>
              <w:top w:val="single" w:sz="12" w:space="0" w:color="000000"/>
              <w:left w:val="none" w:sz="0" w:space="0" w:color="000000"/>
              <w:bottom w:val="single" w:sz="4" w:space="0" w:color="000000"/>
              <w:right w:val="none" w:sz="0" w:space="0" w:color="000000"/>
            </w:tcBorders>
            <w:shd w:val="clear" w:color="auto" w:fill="FFFFFF"/>
            <w:tcMar>
              <w:top w:w="60" w:type="dxa"/>
              <w:left w:w="80" w:type="dxa"/>
              <w:bottom w:w="60" w:type="dxa"/>
              <w:right w:w="80" w:type="dxa"/>
            </w:tcMar>
            <w:vAlign w:val="center"/>
          </w:tcPr>
          <w:p w14:paraId="236C8C23" w14:textId="77777777" w:rsidR="00C97C0F" w:rsidRDefault="00000000">
            <w:pPr>
              <w:jc w:val="center"/>
            </w:pPr>
            <w:r>
              <w:rPr>
                <w:b/>
                <w:bCs/>
                <w:sz w:val="18"/>
                <w:szCs w:val="18"/>
              </w:rPr>
              <w:t>Title / Description</w:t>
            </w:r>
          </w:p>
        </w:tc>
        <w:tc>
          <w:tcPr>
            <w:tcW w:w="2600" w:type="dxa"/>
            <w:tcBorders>
              <w:top w:val="single" w:sz="12" w:space="0" w:color="000000"/>
              <w:left w:val="none" w:sz="0" w:space="0" w:color="000000"/>
              <w:bottom w:val="single" w:sz="4" w:space="0" w:color="000000"/>
              <w:right w:val="none" w:sz="0" w:space="0" w:color="000000"/>
            </w:tcBorders>
            <w:shd w:val="clear" w:color="auto" w:fill="FFFFFF"/>
            <w:tcMar>
              <w:top w:w="60" w:type="dxa"/>
              <w:left w:w="80" w:type="dxa"/>
              <w:bottom w:w="60" w:type="dxa"/>
              <w:right w:w="80" w:type="dxa"/>
            </w:tcMar>
            <w:vAlign w:val="center"/>
          </w:tcPr>
          <w:p w14:paraId="1648E2CC" w14:textId="77777777" w:rsidR="00C97C0F" w:rsidRDefault="00000000">
            <w:pPr>
              <w:jc w:val="center"/>
            </w:pPr>
            <w:r>
              <w:rPr>
                <w:b/>
                <w:bCs/>
                <w:sz w:val="18"/>
                <w:szCs w:val="18"/>
              </w:rPr>
              <w:t>Cited in Main Text</w:t>
            </w:r>
          </w:p>
        </w:tc>
      </w:tr>
      <w:tr w:rsidR="00C97C0F" w14:paraId="156DCC10" w14:textId="77777777">
        <w:tblPrEx>
          <w:tblCellMar>
            <w:top w:w="0" w:type="dxa"/>
            <w:bottom w:w="0" w:type="dxa"/>
          </w:tblCellMar>
        </w:tblPrEx>
        <w:tc>
          <w:tcPr>
            <w:tcW w:w="10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566B5E47" w14:textId="77777777" w:rsidR="00C97C0F" w:rsidRDefault="00000000">
            <w:pPr>
              <w:jc w:val="center"/>
            </w:pPr>
            <w:r>
              <w:rPr>
                <w:sz w:val="18"/>
                <w:szCs w:val="18"/>
              </w:rPr>
              <w:t>1</w:t>
            </w:r>
          </w:p>
        </w:tc>
        <w:tc>
          <w:tcPr>
            <w:tcW w:w="18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700CB251" w14:textId="77777777" w:rsidR="00C97C0F" w:rsidRDefault="00000000">
            <w:r>
              <w:rPr>
                <w:sz w:val="18"/>
                <w:szCs w:val="18"/>
              </w:rPr>
              <w:t>ESM_1.docx</w:t>
            </w:r>
          </w:p>
        </w:tc>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3221B62D" w14:textId="77777777" w:rsidR="00C97C0F" w:rsidRDefault="00000000">
            <w:pPr>
              <w:jc w:val="center"/>
            </w:pPr>
            <w:r>
              <w:rPr>
                <w:sz w:val="18"/>
                <w:szCs w:val="18"/>
              </w:rPr>
              <w:t>DOCX</w:t>
            </w:r>
          </w:p>
        </w:tc>
        <w:tc>
          <w:tcPr>
            <w:tcW w:w="25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5256B3CA" w14:textId="77777777" w:rsidR="00C97C0F" w:rsidRDefault="00000000">
            <w:r>
              <w:rPr>
                <w:sz w:val="18"/>
                <w:szCs w:val="18"/>
              </w:rPr>
              <w:t>Supplementary Information Cover Page and File Index (this document)</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633C253F" w14:textId="77777777" w:rsidR="00C97C0F" w:rsidRDefault="00000000">
            <w:r>
              <w:rPr>
                <w:sz w:val="18"/>
                <w:szCs w:val="18"/>
              </w:rPr>
              <w:t>Listed in Supplementary Information section</w:t>
            </w:r>
          </w:p>
        </w:tc>
      </w:tr>
      <w:tr w:rsidR="00C97C0F" w14:paraId="7B5F1F14" w14:textId="77777777">
        <w:tblPrEx>
          <w:tblCellMar>
            <w:top w:w="0" w:type="dxa"/>
            <w:bottom w:w="0" w:type="dxa"/>
          </w:tblCellMar>
        </w:tblPrEx>
        <w:tc>
          <w:tcPr>
            <w:tcW w:w="10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303A440D" w14:textId="77777777" w:rsidR="00C97C0F" w:rsidRDefault="00000000">
            <w:pPr>
              <w:jc w:val="center"/>
            </w:pPr>
            <w:r>
              <w:rPr>
                <w:sz w:val="18"/>
                <w:szCs w:val="18"/>
              </w:rPr>
              <w:t>2</w:t>
            </w:r>
          </w:p>
        </w:tc>
        <w:tc>
          <w:tcPr>
            <w:tcW w:w="18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46517014" w14:textId="77777777" w:rsidR="00C97C0F" w:rsidRDefault="00000000">
            <w:r>
              <w:rPr>
                <w:sz w:val="18"/>
                <w:szCs w:val="18"/>
              </w:rPr>
              <w:t>ESM_2.xlsx</w:t>
            </w:r>
          </w:p>
        </w:tc>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3D458270" w14:textId="77777777" w:rsidR="00C97C0F" w:rsidRDefault="00000000">
            <w:pPr>
              <w:jc w:val="center"/>
            </w:pPr>
            <w:r>
              <w:rPr>
                <w:sz w:val="18"/>
                <w:szCs w:val="18"/>
              </w:rPr>
              <w:t>XLSX</w:t>
            </w:r>
          </w:p>
        </w:tc>
        <w:tc>
          <w:tcPr>
            <w:tcW w:w="25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2EA9CDFE" w14:textId="77777777" w:rsidR="00C97C0F" w:rsidRDefault="00000000">
            <w:r>
              <w:rPr>
                <w:sz w:val="18"/>
                <w:szCs w:val="18"/>
              </w:rPr>
              <w:t xml:space="preserve">Carrier-Year Panel Dataset: Indian Domestic Aviation Market FY2019-FY2024. Full 22-observation panel underlying all regression analyses. Includes </w:t>
            </w:r>
            <w:proofErr w:type="spellStart"/>
            <w:r>
              <w:rPr>
                <w:sz w:val="18"/>
                <w:szCs w:val="18"/>
              </w:rPr>
              <w:t>Data_Notes</w:t>
            </w:r>
            <w:proofErr w:type="spellEnd"/>
            <w:r>
              <w:rPr>
                <w:sz w:val="18"/>
                <w:szCs w:val="18"/>
              </w:rPr>
              <w:t xml:space="preserve"> sheet with variable definitions and source codes.</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435051CE" w14:textId="77777777" w:rsidR="00C97C0F" w:rsidRDefault="00000000">
            <w:r>
              <w:rPr>
                <w:sz w:val="18"/>
                <w:szCs w:val="18"/>
              </w:rPr>
              <w:t>Section 3.2 ("additional data are given in Online Resource 2"); Table A1 in Online Appendix (Online Resource 1, Tables)</w:t>
            </w:r>
          </w:p>
        </w:tc>
      </w:tr>
      <w:tr w:rsidR="00C97C0F" w14:paraId="33BAE749" w14:textId="77777777">
        <w:tblPrEx>
          <w:tblCellMar>
            <w:top w:w="0" w:type="dxa"/>
            <w:bottom w:w="0" w:type="dxa"/>
          </w:tblCellMar>
        </w:tblPrEx>
        <w:tc>
          <w:tcPr>
            <w:tcW w:w="10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0B383AE7" w14:textId="77777777" w:rsidR="00C97C0F" w:rsidRDefault="00000000">
            <w:pPr>
              <w:jc w:val="center"/>
            </w:pPr>
            <w:r>
              <w:rPr>
                <w:sz w:val="18"/>
                <w:szCs w:val="18"/>
              </w:rPr>
              <w:t>3</w:t>
            </w:r>
          </w:p>
        </w:tc>
        <w:tc>
          <w:tcPr>
            <w:tcW w:w="18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0738747B" w14:textId="77777777" w:rsidR="00C97C0F" w:rsidRDefault="00000000">
            <w:r>
              <w:rPr>
                <w:sz w:val="18"/>
                <w:szCs w:val="18"/>
              </w:rPr>
              <w:t>ESM_3.xlsx</w:t>
            </w:r>
          </w:p>
        </w:tc>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1BD94DE1" w14:textId="77777777" w:rsidR="00C97C0F" w:rsidRDefault="00000000">
            <w:pPr>
              <w:jc w:val="center"/>
            </w:pPr>
            <w:r>
              <w:rPr>
                <w:sz w:val="18"/>
                <w:szCs w:val="18"/>
              </w:rPr>
              <w:t>XLSX</w:t>
            </w:r>
          </w:p>
        </w:tc>
        <w:tc>
          <w:tcPr>
            <w:tcW w:w="25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7A8D773E" w14:textId="77777777" w:rsidR="00C97C0F" w:rsidRDefault="00000000">
            <w:r>
              <w:rPr>
                <w:sz w:val="18"/>
                <w:szCs w:val="18"/>
              </w:rPr>
              <w:t xml:space="preserve">Regression Replication Dataset: Tidy format (one row per carrier-year) with all variables required for Stata, R, or Python replication. Includes </w:t>
            </w:r>
            <w:proofErr w:type="spellStart"/>
            <w:r>
              <w:rPr>
                <w:sz w:val="18"/>
                <w:szCs w:val="18"/>
              </w:rPr>
              <w:t>Stata_R_Code</w:t>
            </w:r>
            <w:proofErr w:type="spellEnd"/>
            <w:r>
              <w:rPr>
                <w:sz w:val="18"/>
                <w:szCs w:val="18"/>
              </w:rPr>
              <w:t xml:space="preserve"> sheet with exact commands.</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202482CE" w14:textId="77777777" w:rsidR="00C97C0F" w:rsidRDefault="00000000">
            <w:r>
              <w:rPr>
                <w:sz w:val="18"/>
                <w:szCs w:val="18"/>
              </w:rPr>
              <w:t>Section B of Online Appendix: "full replication commands are given in Online Resource 3"</w:t>
            </w:r>
          </w:p>
        </w:tc>
      </w:tr>
      <w:tr w:rsidR="00C97C0F" w14:paraId="79D033A9" w14:textId="77777777">
        <w:tblPrEx>
          <w:tblCellMar>
            <w:top w:w="0" w:type="dxa"/>
            <w:bottom w:w="0" w:type="dxa"/>
          </w:tblCellMar>
        </w:tblPrEx>
        <w:tc>
          <w:tcPr>
            <w:tcW w:w="10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2447BC2E" w14:textId="77777777" w:rsidR="00C97C0F" w:rsidRDefault="00000000">
            <w:pPr>
              <w:jc w:val="center"/>
            </w:pPr>
            <w:r>
              <w:rPr>
                <w:sz w:val="18"/>
                <w:szCs w:val="18"/>
              </w:rPr>
              <w:t>4</w:t>
            </w:r>
          </w:p>
        </w:tc>
        <w:tc>
          <w:tcPr>
            <w:tcW w:w="18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6F0AF053" w14:textId="77777777" w:rsidR="00C97C0F" w:rsidRDefault="00000000">
            <w:r>
              <w:rPr>
                <w:sz w:val="18"/>
                <w:szCs w:val="18"/>
              </w:rPr>
              <w:t>ESM_4.xlsx</w:t>
            </w:r>
          </w:p>
        </w:tc>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11B28229" w14:textId="77777777" w:rsidR="00C97C0F" w:rsidRDefault="00000000">
            <w:pPr>
              <w:jc w:val="center"/>
            </w:pPr>
            <w:r>
              <w:rPr>
                <w:sz w:val="18"/>
                <w:szCs w:val="18"/>
              </w:rPr>
              <w:t>XLSX</w:t>
            </w:r>
          </w:p>
        </w:tc>
        <w:tc>
          <w:tcPr>
            <w:tcW w:w="25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083828DA" w14:textId="77777777" w:rsidR="00C97C0F" w:rsidRDefault="00000000">
            <w:r>
              <w:rPr>
                <w:sz w:val="18"/>
                <w:szCs w:val="18"/>
              </w:rPr>
              <w:t>CASK Decomposition and Convergence Workbook: Two-sheet workbook with (</w:t>
            </w:r>
            <w:proofErr w:type="spellStart"/>
            <w:r>
              <w:rPr>
                <w:sz w:val="18"/>
                <w:szCs w:val="18"/>
              </w:rPr>
              <w:t>i</w:t>
            </w:r>
            <w:proofErr w:type="spellEnd"/>
            <w:r>
              <w:rPr>
                <w:sz w:val="18"/>
                <w:szCs w:val="18"/>
              </w:rPr>
              <w:t xml:space="preserve">) parametric CASK savings model with blue input cells for scenario adjustment, and (ii) sigma and beta convergence computations. </w:t>
            </w:r>
            <w:r>
              <w:rPr>
                <w:sz w:val="18"/>
                <w:szCs w:val="18"/>
              </w:rPr>
              <w:lastRenderedPageBreak/>
              <w:t>All formulas linked to a shared assumption block.</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6D83F162" w14:textId="77777777" w:rsidR="00C97C0F" w:rsidRDefault="00000000">
            <w:r>
              <w:rPr>
                <w:sz w:val="18"/>
                <w:szCs w:val="18"/>
              </w:rPr>
              <w:lastRenderedPageBreak/>
              <w:t>Sections 4.1, 4.2, and Section D of Online Appendix; "calculations are given in Online Resource 4"</w:t>
            </w:r>
          </w:p>
        </w:tc>
      </w:tr>
      <w:tr w:rsidR="00C97C0F" w14:paraId="28B9DFF2" w14:textId="77777777">
        <w:tblPrEx>
          <w:tblCellMar>
            <w:top w:w="0" w:type="dxa"/>
            <w:bottom w:w="0" w:type="dxa"/>
          </w:tblCellMar>
        </w:tblPrEx>
        <w:tc>
          <w:tcPr>
            <w:tcW w:w="10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435ACC5C" w14:textId="77777777" w:rsidR="00C97C0F" w:rsidRDefault="00000000">
            <w:pPr>
              <w:jc w:val="center"/>
            </w:pPr>
            <w:r>
              <w:rPr>
                <w:sz w:val="18"/>
                <w:szCs w:val="18"/>
              </w:rPr>
              <w:t>5</w:t>
            </w:r>
          </w:p>
        </w:tc>
        <w:tc>
          <w:tcPr>
            <w:tcW w:w="18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0D5EC9E7" w14:textId="77777777" w:rsidR="00C97C0F" w:rsidRDefault="00000000">
            <w:r>
              <w:rPr>
                <w:sz w:val="18"/>
                <w:szCs w:val="18"/>
              </w:rPr>
              <w:t>ESM_5.xlsx</w:t>
            </w:r>
          </w:p>
        </w:tc>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08746CA7" w14:textId="77777777" w:rsidR="00C97C0F" w:rsidRDefault="00000000">
            <w:pPr>
              <w:jc w:val="center"/>
            </w:pPr>
            <w:r>
              <w:rPr>
                <w:sz w:val="18"/>
                <w:szCs w:val="18"/>
              </w:rPr>
              <w:t>XLSX</w:t>
            </w:r>
          </w:p>
        </w:tc>
        <w:tc>
          <w:tcPr>
            <w:tcW w:w="25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7578EBF3" w14:textId="77777777" w:rsidR="00C97C0F" w:rsidRDefault="00000000">
            <w:r>
              <w:rPr>
                <w:sz w:val="18"/>
                <w:szCs w:val="18"/>
              </w:rPr>
              <w:t>Network Cascade Simulation Workbook: Watts (2002) threshold cascade model applied to IndiGo scheduling network. Includes parameter block with adjustable inputs (initial shock, base multiplier k), cascade propagation table across five slack scenarios, and full derivation sheet for k(s) function.</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3B00CCB4" w14:textId="77777777" w:rsidR="00C97C0F" w:rsidRDefault="00000000">
            <w:r>
              <w:rPr>
                <w:sz w:val="18"/>
                <w:szCs w:val="18"/>
              </w:rPr>
              <w:t>Section E of Online Appendix; Section 6.2 of main paper: "simulation workbook is given in Online Resource 5"</w:t>
            </w:r>
          </w:p>
        </w:tc>
      </w:tr>
      <w:tr w:rsidR="00C97C0F" w14:paraId="74C585C6" w14:textId="77777777">
        <w:tblPrEx>
          <w:tblCellMar>
            <w:top w:w="0" w:type="dxa"/>
            <w:bottom w:w="0" w:type="dxa"/>
          </w:tblCellMar>
        </w:tblPrEx>
        <w:tc>
          <w:tcPr>
            <w:tcW w:w="1000" w:type="dxa"/>
            <w:tcBorders>
              <w:top w:val="none" w:sz="0" w:space="0" w:color="000000"/>
              <w:left w:val="none" w:sz="0" w:space="0" w:color="000000"/>
              <w:bottom w:val="single" w:sz="12" w:space="0" w:color="000000"/>
              <w:right w:val="none" w:sz="0" w:space="0" w:color="000000"/>
            </w:tcBorders>
            <w:shd w:val="clear" w:color="auto" w:fill="FFFFFF"/>
            <w:tcMar>
              <w:top w:w="80" w:type="dxa"/>
              <w:left w:w="80" w:type="dxa"/>
              <w:bottom w:w="80" w:type="dxa"/>
              <w:right w:w="80" w:type="dxa"/>
            </w:tcMar>
            <w:vAlign w:val="center"/>
          </w:tcPr>
          <w:p w14:paraId="7DD1167C" w14:textId="77777777" w:rsidR="00C97C0F" w:rsidRDefault="00000000">
            <w:pPr>
              <w:jc w:val="center"/>
            </w:pPr>
            <w:r>
              <w:rPr>
                <w:sz w:val="18"/>
                <w:szCs w:val="18"/>
              </w:rPr>
              <w:t>6</w:t>
            </w:r>
          </w:p>
        </w:tc>
        <w:tc>
          <w:tcPr>
            <w:tcW w:w="1800" w:type="dxa"/>
            <w:tcBorders>
              <w:top w:val="none" w:sz="0" w:space="0" w:color="000000"/>
              <w:left w:val="none" w:sz="0" w:space="0" w:color="000000"/>
              <w:bottom w:val="single" w:sz="12" w:space="0" w:color="000000"/>
              <w:right w:val="none" w:sz="0" w:space="0" w:color="000000"/>
            </w:tcBorders>
            <w:shd w:val="clear" w:color="auto" w:fill="FFFFFF"/>
            <w:tcMar>
              <w:top w:w="80" w:type="dxa"/>
              <w:left w:w="80" w:type="dxa"/>
              <w:bottom w:w="80" w:type="dxa"/>
              <w:right w:w="80" w:type="dxa"/>
            </w:tcMar>
            <w:vAlign w:val="center"/>
          </w:tcPr>
          <w:p w14:paraId="59588F80" w14:textId="77777777" w:rsidR="00C97C0F" w:rsidRDefault="00000000">
            <w:r>
              <w:rPr>
                <w:sz w:val="18"/>
                <w:szCs w:val="18"/>
              </w:rPr>
              <w:t>ESM_6.xlsx</w:t>
            </w:r>
          </w:p>
        </w:tc>
        <w:tc>
          <w:tcPr>
            <w:tcW w:w="1400" w:type="dxa"/>
            <w:tcBorders>
              <w:top w:val="none" w:sz="0" w:space="0" w:color="000000"/>
              <w:left w:val="none" w:sz="0" w:space="0" w:color="000000"/>
              <w:bottom w:val="single" w:sz="12" w:space="0" w:color="000000"/>
              <w:right w:val="none" w:sz="0" w:space="0" w:color="000000"/>
            </w:tcBorders>
            <w:shd w:val="clear" w:color="auto" w:fill="FFFFFF"/>
            <w:tcMar>
              <w:top w:w="80" w:type="dxa"/>
              <w:left w:w="80" w:type="dxa"/>
              <w:bottom w:w="80" w:type="dxa"/>
              <w:right w:w="80" w:type="dxa"/>
            </w:tcMar>
            <w:vAlign w:val="center"/>
          </w:tcPr>
          <w:p w14:paraId="35861677" w14:textId="77777777" w:rsidR="00C97C0F" w:rsidRDefault="00000000">
            <w:pPr>
              <w:jc w:val="center"/>
            </w:pPr>
            <w:r>
              <w:rPr>
                <w:sz w:val="18"/>
                <w:szCs w:val="18"/>
              </w:rPr>
              <w:t>XLSX</w:t>
            </w:r>
          </w:p>
        </w:tc>
        <w:tc>
          <w:tcPr>
            <w:tcW w:w="2560" w:type="dxa"/>
            <w:tcBorders>
              <w:top w:val="none" w:sz="0" w:space="0" w:color="000000"/>
              <w:left w:val="none" w:sz="0" w:space="0" w:color="000000"/>
              <w:bottom w:val="single" w:sz="12" w:space="0" w:color="000000"/>
              <w:right w:val="none" w:sz="0" w:space="0" w:color="000000"/>
            </w:tcBorders>
            <w:shd w:val="clear" w:color="auto" w:fill="FFFFFF"/>
            <w:tcMar>
              <w:top w:w="80" w:type="dxa"/>
              <w:left w:w="80" w:type="dxa"/>
              <w:bottom w:w="80" w:type="dxa"/>
              <w:right w:w="80" w:type="dxa"/>
            </w:tcMar>
            <w:vAlign w:val="center"/>
          </w:tcPr>
          <w:p w14:paraId="74189B75" w14:textId="77777777" w:rsidR="00C97C0F" w:rsidRDefault="00000000">
            <w:r>
              <w:rPr>
                <w:sz w:val="18"/>
                <w:szCs w:val="18"/>
              </w:rPr>
              <w:t>Welfare Parameter Grid Workbook: Full 9-row x 5-column sensitivity grid crossing disruption frequency (0.2, 0.5, 1.0, 2.0 per year) against passenger time cost (INR 100, 200, 300/hr) and scope (30%, 50%, 70%). All cells linked to adjustable assumption block. Net welfare gain computed automatically for each combination.</w:t>
            </w:r>
          </w:p>
        </w:tc>
        <w:tc>
          <w:tcPr>
            <w:tcW w:w="2600" w:type="dxa"/>
            <w:tcBorders>
              <w:top w:val="none" w:sz="0" w:space="0" w:color="000000"/>
              <w:left w:val="none" w:sz="0" w:space="0" w:color="000000"/>
              <w:bottom w:val="single" w:sz="12" w:space="0" w:color="000000"/>
              <w:right w:val="none" w:sz="0" w:space="0" w:color="000000"/>
            </w:tcBorders>
            <w:shd w:val="clear" w:color="auto" w:fill="FFFFFF"/>
            <w:tcMar>
              <w:top w:w="80" w:type="dxa"/>
              <w:left w:w="80" w:type="dxa"/>
              <w:bottom w:w="80" w:type="dxa"/>
              <w:right w:w="80" w:type="dxa"/>
            </w:tcMar>
            <w:vAlign w:val="center"/>
          </w:tcPr>
          <w:p w14:paraId="6F10DB9A" w14:textId="77777777" w:rsidR="00C97C0F" w:rsidRDefault="00000000">
            <w:r>
              <w:rPr>
                <w:sz w:val="18"/>
                <w:szCs w:val="18"/>
              </w:rPr>
              <w:t>Section F of Online Appendix; Section 7.4 of main paper: "full welfare grid is given in Online Resource 6"</w:t>
            </w:r>
          </w:p>
        </w:tc>
      </w:tr>
    </w:tbl>
    <w:p w14:paraId="58A9ED3F" w14:textId="77777777" w:rsidR="00C97C0F" w:rsidRDefault="00C97C0F">
      <w:pPr>
        <w:spacing w:before="80" w:after="80"/>
      </w:pPr>
    </w:p>
    <w:p w14:paraId="09FF6E85" w14:textId="77777777" w:rsidR="00C97C0F" w:rsidRDefault="00000000">
      <w:pPr>
        <w:spacing w:before="280" w:after="120"/>
      </w:pPr>
      <w:r>
        <w:rPr>
          <w:b/>
          <w:bCs/>
          <w:sz w:val="26"/>
          <w:szCs w:val="26"/>
        </w:rPr>
        <w:t>Supplementary File Captions</w:t>
      </w:r>
    </w:p>
    <w:p w14:paraId="273F959F" w14:textId="77777777" w:rsidR="00C97C0F" w:rsidRDefault="00000000">
      <w:pPr>
        <w:spacing w:after="120"/>
        <w:jc w:val="both"/>
      </w:pPr>
      <w:r>
        <w:t>The following captions describe the content of each supplementary file. These captions are for inclusion in the published manuscript's Supplementary Information section.</w:t>
      </w:r>
    </w:p>
    <w:p w14:paraId="4D5BBC2B" w14:textId="77777777" w:rsidR="00C97C0F" w:rsidRDefault="00C97C0F">
      <w:pPr>
        <w:spacing w:before="60" w:after="40"/>
      </w:pPr>
    </w:p>
    <w:p w14:paraId="534E9B6E" w14:textId="77777777" w:rsidR="00C97C0F" w:rsidRDefault="00000000">
      <w:pPr>
        <w:spacing w:before="80" w:after="60"/>
      </w:pPr>
      <w:r>
        <w:rPr>
          <w:b/>
          <w:bCs/>
        </w:rPr>
        <w:t>Online Resource 1.</w:t>
      </w:r>
      <w:r>
        <w:t xml:space="preserve"> Supplementary Information cover page and file index. This document describes the content, format, and main-text citation location of each supplementary file (Online Resources 2-6).</w:t>
      </w:r>
    </w:p>
    <w:p w14:paraId="09ADB4B0" w14:textId="77777777" w:rsidR="00C97C0F" w:rsidRDefault="00000000">
      <w:pPr>
        <w:spacing w:before="40" w:after="60"/>
      </w:pPr>
      <w:r>
        <w:rPr>
          <w:b/>
          <w:bCs/>
        </w:rPr>
        <w:t>Online Resource 2.</w:t>
      </w:r>
      <w:r>
        <w:t xml:space="preserve"> Carrier-year panel dataset (ESM_2.xlsx). Two-sheet Microsoft Excel workbook containing: (</w:t>
      </w:r>
      <w:proofErr w:type="spellStart"/>
      <w:r>
        <w:t>i</w:t>
      </w:r>
      <w:proofErr w:type="spellEnd"/>
      <w:r>
        <w:t xml:space="preserve">) the complete 22-observation carrier-year panel for IndiGo, Air India, SpiceJet, and Go First (FY2019-FY2024), with CASK, RASK, market share, load factor, fleet size, and constructed regression variables; and (ii) a </w:t>
      </w:r>
      <w:proofErr w:type="spellStart"/>
      <w:r>
        <w:t>Data_Notes</w:t>
      </w:r>
      <w:proofErr w:type="spellEnd"/>
      <w:r>
        <w:t xml:space="preserve"> sheet with full variable definitions, source codes, and estimation notes. Supports Tables A1-A3 in Online Resource 1.</w:t>
      </w:r>
    </w:p>
    <w:p w14:paraId="67F982BA" w14:textId="77777777" w:rsidR="00C97C0F" w:rsidRDefault="00000000">
      <w:pPr>
        <w:spacing w:before="40" w:after="60"/>
      </w:pPr>
      <w:r>
        <w:rPr>
          <w:b/>
          <w:bCs/>
        </w:rPr>
        <w:t>Online Resource 3.</w:t>
      </w:r>
      <w:r>
        <w:t xml:space="preserve"> Regression replication dataset and code (ESM_3.xlsx). Two-sheet Microsoft Excel workbook containing: (</w:t>
      </w:r>
      <w:proofErr w:type="spellStart"/>
      <w:r>
        <w:t>i</w:t>
      </w:r>
      <w:proofErr w:type="spellEnd"/>
      <w:r>
        <w:t xml:space="preserve">) the panel in tidy format (one row per carrier-year) with all variables required for direct import into Stata, R, or Python, including constructed dummies and the CASK gap variable; and (ii) a </w:t>
      </w:r>
      <w:proofErr w:type="spellStart"/>
      <w:r>
        <w:t>Stata_R_Code</w:t>
      </w:r>
      <w:proofErr w:type="spellEnd"/>
      <w:r>
        <w:t xml:space="preserve"> sheet with exact replication commands for all four regression models (Table A4) and the difference-in-differences estimator (Table A5). Supports Sections B and C of the Online Appendix.</w:t>
      </w:r>
    </w:p>
    <w:p w14:paraId="6A18FBA6" w14:textId="77777777" w:rsidR="00C97C0F" w:rsidRDefault="00000000">
      <w:pPr>
        <w:spacing w:before="40" w:after="60"/>
      </w:pPr>
      <w:r>
        <w:rPr>
          <w:b/>
          <w:bCs/>
        </w:rPr>
        <w:t>Online Resource 4.</w:t>
      </w:r>
      <w:r>
        <w:t xml:space="preserve"> CASK decomposition and convergence workbook (ESM_4.xlsx). Two-sheet Microsoft Excel workbook containing: (</w:t>
      </w:r>
      <w:proofErr w:type="spellStart"/>
      <w:r>
        <w:t>i</w:t>
      </w:r>
      <w:proofErr w:type="spellEnd"/>
      <w:r>
        <w:t>) a parametric CASK savings model with blue user-adjustable input cells for ATF price, fleet size, and adoption rate, with all savings computed as Excel formulas linked to the assumption block; and (ii) sigma and beta convergence computations for the CASK gap across carriers (FY2019-FY2024). Supports Tables A2-A3 and Section D of the Online Appendix.</w:t>
      </w:r>
    </w:p>
    <w:p w14:paraId="5B7B0697" w14:textId="77777777" w:rsidR="00C97C0F" w:rsidRDefault="00000000">
      <w:pPr>
        <w:spacing w:before="40" w:after="60"/>
      </w:pPr>
      <w:r>
        <w:rPr>
          <w:b/>
          <w:bCs/>
        </w:rPr>
        <w:t>Online Resource 5.</w:t>
      </w:r>
      <w:r>
        <w:t xml:space="preserve"> Network cascade simulation workbook (ESM_5.xlsx). Two-sheet Microsoft Excel workbook containing: (</w:t>
      </w:r>
      <w:proofErr w:type="spellStart"/>
      <w:r>
        <w:t>i</w:t>
      </w:r>
      <w:proofErr w:type="spellEnd"/>
      <w:r>
        <w:t xml:space="preserve">) the cascade simulation results table applying the Watts (2002) threshold cascade </w:t>
      </w:r>
      <w:r>
        <w:lastRenderedPageBreak/>
        <w:t>model to IndiGo's 1,800-slot daily scheduling network under five slack buffer scenarios (0%, 3%, 5%, 8%, 10%), with adjustable parameters for initial shock size and base multiplier; and (ii) a derivation sheet showing the calibration of the base cascade multiplier k=4.2 and the slack-absorption function k(s). Supports Table A7 and Section E of the Online Appendix, and Section 6.2 of the main paper.</w:t>
      </w:r>
    </w:p>
    <w:p w14:paraId="19B8AF4A" w14:textId="77777777" w:rsidR="00C97C0F" w:rsidRDefault="00000000">
      <w:pPr>
        <w:spacing w:before="40" w:after="80"/>
      </w:pPr>
      <w:r>
        <w:rPr>
          <w:b/>
          <w:bCs/>
        </w:rPr>
        <w:t>Online Resource 6.</w:t>
      </w:r>
      <w:r>
        <w:t xml:space="preserve"> Welfare parameter grid workbook (ESM_6.xlsx). Microsoft Excel workbook containing a full 9-row × 5-column sensitivity grid crossing disruption frequency (0.2, 0.5, 1.0, and 2.0 events per year) against passenger time cost (INR 100, 200, and 300 per hour) and disruption scope (30%, 50%, and 70% of passengers seriously disrupted). All cells compute automatically from an adjustable assumption block using Excel formulas. Supports Table A9 and Section F of the Online Appendix, and Table 6 of the main paper.</w:t>
      </w:r>
    </w:p>
    <w:p w14:paraId="5D297AF4" w14:textId="77777777" w:rsidR="00C97C0F" w:rsidRDefault="00C97C0F">
      <w:pPr>
        <w:pBdr>
          <w:bottom w:val="single" w:sz="4" w:space="1" w:color="000000"/>
        </w:pBdr>
        <w:spacing w:before="60" w:after="60"/>
      </w:pPr>
    </w:p>
    <w:p w14:paraId="1B5ED103" w14:textId="77777777" w:rsidR="00C97C0F" w:rsidRDefault="00000000">
      <w:pPr>
        <w:spacing w:before="280" w:after="120"/>
      </w:pPr>
      <w:r>
        <w:rPr>
          <w:b/>
          <w:bCs/>
          <w:sz w:val="26"/>
          <w:szCs w:val="26"/>
        </w:rPr>
        <w:t>Main Paper Citation Locations</w:t>
      </w:r>
    </w:p>
    <w:p w14:paraId="1F8528EC" w14:textId="77777777" w:rsidR="00C97C0F" w:rsidRDefault="00000000">
      <w:pPr>
        <w:spacing w:after="120"/>
        <w:jc w:val="both"/>
      </w:pPr>
      <w:r>
        <w:t>The following table shows the exact locations in the main manuscript where each Online Resource should be cited, and the precise citation text to insert per Springer SI guidelines ("refer to the supplementary files as 'Online Resource'").</w:t>
      </w:r>
    </w:p>
    <w:p w14:paraId="527FAE7D" w14:textId="77777777" w:rsidR="00C97C0F" w:rsidRDefault="00C97C0F">
      <w:pPr>
        <w:spacing w:before="60" w:after="40"/>
      </w:pPr>
    </w:p>
    <w:p w14:paraId="0755D990" w14:textId="77777777" w:rsidR="00C97C0F" w:rsidRDefault="00000000">
      <w:pPr>
        <w:spacing w:after="60"/>
      </w:pPr>
      <w:r>
        <w:rPr>
          <w:b/>
          <w:bCs/>
        </w:rPr>
        <w:t>Table 2. Online Resource Citation Guide for Main Manuscript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2600"/>
        <w:gridCol w:w="5360"/>
      </w:tblGrid>
      <w:tr w:rsidR="00C97C0F" w14:paraId="1C26AD6E" w14:textId="77777777">
        <w:tblPrEx>
          <w:tblCellMar>
            <w:top w:w="0" w:type="dxa"/>
            <w:bottom w:w="0" w:type="dxa"/>
          </w:tblCellMar>
        </w:tblPrEx>
        <w:tc>
          <w:tcPr>
            <w:tcW w:w="1400" w:type="dxa"/>
            <w:tcBorders>
              <w:top w:val="single" w:sz="12" w:space="0" w:color="000000"/>
              <w:left w:val="none" w:sz="0" w:space="0" w:color="000000"/>
              <w:bottom w:val="single" w:sz="4" w:space="0" w:color="000000"/>
              <w:right w:val="none" w:sz="0" w:space="0" w:color="000000"/>
            </w:tcBorders>
            <w:shd w:val="clear" w:color="auto" w:fill="FFFFFF"/>
            <w:tcMar>
              <w:top w:w="60" w:type="dxa"/>
              <w:left w:w="80" w:type="dxa"/>
              <w:bottom w:w="60" w:type="dxa"/>
              <w:right w:w="80" w:type="dxa"/>
            </w:tcMar>
            <w:vAlign w:val="center"/>
          </w:tcPr>
          <w:p w14:paraId="03882F3A" w14:textId="77777777" w:rsidR="00C97C0F" w:rsidRDefault="00000000">
            <w:pPr>
              <w:jc w:val="center"/>
            </w:pPr>
            <w:r>
              <w:rPr>
                <w:b/>
                <w:bCs/>
                <w:sz w:val="18"/>
                <w:szCs w:val="18"/>
              </w:rPr>
              <w:t>Main Paper Section</w:t>
            </w:r>
          </w:p>
        </w:tc>
        <w:tc>
          <w:tcPr>
            <w:tcW w:w="2600" w:type="dxa"/>
            <w:tcBorders>
              <w:top w:val="single" w:sz="12" w:space="0" w:color="000000"/>
              <w:left w:val="none" w:sz="0" w:space="0" w:color="000000"/>
              <w:bottom w:val="single" w:sz="4" w:space="0" w:color="000000"/>
              <w:right w:val="none" w:sz="0" w:space="0" w:color="000000"/>
            </w:tcBorders>
            <w:shd w:val="clear" w:color="auto" w:fill="FFFFFF"/>
            <w:tcMar>
              <w:top w:w="60" w:type="dxa"/>
              <w:left w:w="80" w:type="dxa"/>
              <w:bottom w:w="60" w:type="dxa"/>
              <w:right w:w="80" w:type="dxa"/>
            </w:tcMar>
            <w:vAlign w:val="center"/>
          </w:tcPr>
          <w:p w14:paraId="1A88633E" w14:textId="77777777" w:rsidR="00C97C0F" w:rsidRDefault="00000000">
            <w:pPr>
              <w:jc w:val="center"/>
            </w:pPr>
            <w:r>
              <w:rPr>
                <w:b/>
                <w:bCs/>
                <w:sz w:val="18"/>
                <w:szCs w:val="18"/>
              </w:rPr>
              <w:t>Location</w:t>
            </w:r>
          </w:p>
        </w:tc>
        <w:tc>
          <w:tcPr>
            <w:tcW w:w="5360" w:type="dxa"/>
            <w:tcBorders>
              <w:top w:val="single" w:sz="12" w:space="0" w:color="000000"/>
              <w:left w:val="none" w:sz="0" w:space="0" w:color="000000"/>
              <w:bottom w:val="single" w:sz="4" w:space="0" w:color="000000"/>
              <w:right w:val="none" w:sz="0" w:space="0" w:color="000000"/>
            </w:tcBorders>
            <w:shd w:val="clear" w:color="auto" w:fill="FFFFFF"/>
            <w:tcMar>
              <w:top w:w="60" w:type="dxa"/>
              <w:left w:w="80" w:type="dxa"/>
              <w:bottom w:w="60" w:type="dxa"/>
              <w:right w:w="80" w:type="dxa"/>
            </w:tcMar>
            <w:vAlign w:val="center"/>
          </w:tcPr>
          <w:p w14:paraId="7D540A93" w14:textId="77777777" w:rsidR="00C97C0F" w:rsidRDefault="00000000">
            <w:pPr>
              <w:jc w:val="center"/>
            </w:pPr>
            <w:r>
              <w:rPr>
                <w:b/>
                <w:bCs/>
                <w:sz w:val="18"/>
                <w:szCs w:val="18"/>
              </w:rPr>
              <w:t>Citation Text to Insert</w:t>
            </w:r>
          </w:p>
        </w:tc>
      </w:tr>
      <w:tr w:rsidR="00C97C0F" w14:paraId="0BA5AB78" w14:textId="77777777">
        <w:tblPrEx>
          <w:tblCellMar>
            <w:top w:w="0" w:type="dxa"/>
            <w:bottom w:w="0" w:type="dxa"/>
          </w:tblCellMar>
        </w:tblPrEx>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12D80A8A" w14:textId="77777777" w:rsidR="00C97C0F" w:rsidRDefault="00000000">
            <w:r>
              <w:rPr>
                <w:sz w:val="18"/>
                <w:szCs w:val="18"/>
              </w:rPr>
              <w:t>Section 3.2</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0518FEBE" w14:textId="77777777" w:rsidR="00C97C0F" w:rsidRDefault="00000000">
            <w:r>
              <w:rPr>
                <w:sz w:val="18"/>
                <w:szCs w:val="18"/>
              </w:rPr>
              <w:t>End of second paragraph (after "DGCA monthly publications")</w:t>
            </w:r>
          </w:p>
        </w:tc>
        <w:tc>
          <w:tcPr>
            <w:tcW w:w="53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2AF171C0" w14:textId="77777777" w:rsidR="00C97C0F" w:rsidRDefault="00000000">
            <w:r>
              <w:rPr>
                <w:sz w:val="18"/>
                <w:szCs w:val="18"/>
              </w:rPr>
              <w:t>"The complete panel dataset and data notes are given in Online Resource 2."</w:t>
            </w:r>
          </w:p>
        </w:tc>
      </w:tr>
      <w:tr w:rsidR="00C97C0F" w14:paraId="6E00182E" w14:textId="77777777">
        <w:tblPrEx>
          <w:tblCellMar>
            <w:top w:w="0" w:type="dxa"/>
            <w:bottom w:w="0" w:type="dxa"/>
          </w:tblCellMar>
        </w:tblPrEx>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6DAFD077" w14:textId="77777777" w:rsidR="00C97C0F" w:rsidRDefault="00000000">
            <w:r>
              <w:rPr>
                <w:sz w:val="18"/>
                <w:szCs w:val="18"/>
              </w:rPr>
              <w:t>Section 7.4</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0CDD5613" w14:textId="77777777" w:rsidR="00C97C0F" w:rsidRDefault="00000000">
            <w:r>
              <w:rPr>
                <w:sz w:val="18"/>
                <w:szCs w:val="18"/>
              </w:rPr>
              <w:t>After Table 6 note</w:t>
            </w:r>
          </w:p>
        </w:tc>
        <w:tc>
          <w:tcPr>
            <w:tcW w:w="53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223BDFA9" w14:textId="77777777" w:rsidR="00C97C0F" w:rsidRDefault="00000000">
            <w:r>
              <w:rPr>
                <w:sz w:val="18"/>
                <w:szCs w:val="18"/>
              </w:rPr>
              <w:t>"The full welfare parameter grid with adjustable assumptions is given in Online Resource 6."</w:t>
            </w:r>
          </w:p>
        </w:tc>
      </w:tr>
      <w:tr w:rsidR="00C97C0F" w14:paraId="65FC3020" w14:textId="77777777">
        <w:tblPrEx>
          <w:tblCellMar>
            <w:top w:w="0" w:type="dxa"/>
            <w:bottom w:w="0" w:type="dxa"/>
          </w:tblCellMar>
        </w:tblPrEx>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14AC88FC" w14:textId="77777777" w:rsidR="00C97C0F" w:rsidRDefault="00000000">
            <w:r>
              <w:rPr>
                <w:sz w:val="18"/>
                <w:szCs w:val="18"/>
              </w:rPr>
              <w:t>Section 6.2</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3A0FF128" w14:textId="77777777" w:rsidR="00C97C0F" w:rsidRDefault="00000000">
            <w:r>
              <w:rPr>
                <w:sz w:val="18"/>
                <w:szCs w:val="18"/>
              </w:rPr>
              <w:t>After cascade propagation paragraph</w:t>
            </w:r>
          </w:p>
        </w:tc>
        <w:tc>
          <w:tcPr>
            <w:tcW w:w="53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10A35B8F" w14:textId="77777777" w:rsidR="00C97C0F" w:rsidRDefault="00000000">
            <w:r>
              <w:rPr>
                <w:sz w:val="18"/>
                <w:szCs w:val="18"/>
              </w:rPr>
              <w:t>"The cascade simulation workbook, including derivation of k(s) and all propagation calculations, is given in Online Resource 5."</w:t>
            </w:r>
          </w:p>
        </w:tc>
      </w:tr>
      <w:tr w:rsidR="00C97C0F" w14:paraId="3C505536" w14:textId="77777777">
        <w:tblPrEx>
          <w:tblCellMar>
            <w:top w:w="0" w:type="dxa"/>
            <w:bottom w:w="0" w:type="dxa"/>
          </w:tblCellMar>
        </w:tblPrEx>
        <w:tc>
          <w:tcPr>
            <w:tcW w:w="14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16CF17CA" w14:textId="77777777" w:rsidR="00C97C0F" w:rsidRDefault="00000000">
            <w:r>
              <w:rPr>
                <w:sz w:val="18"/>
                <w:szCs w:val="18"/>
              </w:rPr>
              <w:t>Section 9 (Conclusion)</w:t>
            </w:r>
          </w:p>
        </w:tc>
        <w:tc>
          <w:tcPr>
            <w:tcW w:w="260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21D063E5" w14:textId="77777777" w:rsidR="00C97C0F" w:rsidRDefault="00000000">
            <w:r>
              <w:rPr>
                <w:sz w:val="18"/>
                <w:szCs w:val="18"/>
              </w:rPr>
              <w:t>After replication paragraph</w:t>
            </w:r>
          </w:p>
        </w:tc>
        <w:tc>
          <w:tcPr>
            <w:tcW w:w="5360" w:type="dxa"/>
            <w:tcBorders>
              <w:top w:val="none" w:sz="0" w:space="0" w:color="000000"/>
              <w:left w:val="none" w:sz="0" w:space="0" w:color="000000"/>
              <w:bottom w:val="none" w:sz="0" w:space="0" w:color="000000"/>
              <w:right w:val="none" w:sz="0" w:space="0" w:color="000000"/>
            </w:tcBorders>
            <w:shd w:val="clear" w:color="auto" w:fill="FFFFFF"/>
            <w:tcMar>
              <w:top w:w="80" w:type="dxa"/>
              <w:left w:w="80" w:type="dxa"/>
              <w:bottom w:w="80" w:type="dxa"/>
              <w:right w:w="80" w:type="dxa"/>
            </w:tcMar>
            <w:vAlign w:val="center"/>
          </w:tcPr>
          <w:p w14:paraId="529514EB" w14:textId="77777777" w:rsidR="00C97C0F" w:rsidRDefault="00000000">
            <w:r>
              <w:rPr>
                <w:sz w:val="18"/>
                <w:szCs w:val="18"/>
              </w:rPr>
              <w:t>"Replication data and Stata/R code are given in Online Resource 3. CASK decomposition calculations are given in Online Resource 4."</w:t>
            </w:r>
          </w:p>
        </w:tc>
      </w:tr>
      <w:tr w:rsidR="00C97C0F" w14:paraId="01F579A9" w14:textId="77777777">
        <w:tblPrEx>
          <w:tblCellMar>
            <w:top w:w="0" w:type="dxa"/>
            <w:bottom w:w="0" w:type="dxa"/>
          </w:tblCellMar>
        </w:tblPrEx>
        <w:tc>
          <w:tcPr>
            <w:tcW w:w="1400" w:type="dxa"/>
            <w:tcBorders>
              <w:top w:val="none" w:sz="0" w:space="0" w:color="000000"/>
              <w:left w:val="none" w:sz="0" w:space="0" w:color="000000"/>
              <w:bottom w:val="single" w:sz="12" w:space="0" w:color="000000"/>
              <w:right w:val="none" w:sz="0" w:space="0" w:color="000000"/>
            </w:tcBorders>
            <w:shd w:val="clear" w:color="auto" w:fill="FFFFFF"/>
            <w:tcMar>
              <w:top w:w="80" w:type="dxa"/>
              <w:left w:w="80" w:type="dxa"/>
              <w:bottom w:w="80" w:type="dxa"/>
              <w:right w:w="80" w:type="dxa"/>
            </w:tcMar>
            <w:vAlign w:val="center"/>
          </w:tcPr>
          <w:p w14:paraId="70E1CA49" w14:textId="77777777" w:rsidR="00C97C0F" w:rsidRDefault="00000000">
            <w:r>
              <w:rPr>
                <w:sz w:val="18"/>
                <w:szCs w:val="18"/>
              </w:rPr>
              <w:t>Appendix (if included)</w:t>
            </w:r>
          </w:p>
        </w:tc>
        <w:tc>
          <w:tcPr>
            <w:tcW w:w="2600" w:type="dxa"/>
            <w:tcBorders>
              <w:top w:val="none" w:sz="0" w:space="0" w:color="000000"/>
              <w:left w:val="none" w:sz="0" w:space="0" w:color="000000"/>
              <w:bottom w:val="single" w:sz="12" w:space="0" w:color="000000"/>
              <w:right w:val="none" w:sz="0" w:space="0" w:color="000000"/>
            </w:tcBorders>
            <w:shd w:val="clear" w:color="auto" w:fill="FFFFFF"/>
            <w:tcMar>
              <w:top w:w="80" w:type="dxa"/>
              <w:left w:w="80" w:type="dxa"/>
              <w:bottom w:w="80" w:type="dxa"/>
              <w:right w:w="80" w:type="dxa"/>
            </w:tcMar>
            <w:vAlign w:val="center"/>
          </w:tcPr>
          <w:p w14:paraId="211A5246" w14:textId="77777777" w:rsidR="00C97C0F" w:rsidRDefault="00000000">
            <w:r>
              <w:rPr>
                <w:sz w:val="18"/>
                <w:szCs w:val="18"/>
              </w:rPr>
              <w:t>End of each section (A through H)</w:t>
            </w:r>
          </w:p>
        </w:tc>
        <w:tc>
          <w:tcPr>
            <w:tcW w:w="5360" w:type="dxa"/>
            <w:tcBorders>
              <w:top w:val="none" w:sz="0" w:space="0" w:color="000000"/>
              <w:left w:val="none" w:sz="0" w:space="0" w:color="000000"/>
              <w:bottom w:val="single" w:sz="12" w:space="0" w:color="000000"/>
              <w:right w:val="none" w:sz="0" w:space="0" w:color="000000"/>
            </w:tcBorders>
            <w:shd w:val="clear" w:color="auto" w:fill="FFFFFF"/>
            <w:tcMar>
              <w:top w:w="80" w:type="dxa"/>
              <w:left w:w="80" w:type="dxa"/>
              <w:bottom w:w="80" w:type="dxa"/>
              <w:right w:w="80" w:type="dxa"/>
            </w:tcMar>
            <w:vAlign w:val="center"/>
          </w:tcPr>
          <w:p w14:paraId="09D315BC" w14:textId="77777777" w:rsidR="00C97C0F" w:rsidRDefault="00000000">
            <w:r>
              <w:rPr>
                <w:sz w:val="18"/>
                <w:szCs w:val="18"/>
              </w:rPr>
              <w:t>"Underlying data and computations for this section are given in Online Resources 2-6 as indicated."</w:t>
            </w:r>
          </w:p>
        </w:tc>
      </w:tr>
    </w:tbl>
    <w:p w14:paraId="4148E9E3" w14:textId="77777777" w:rsidR="00C97C0F" w:rsidRDefault="00C97C0F">
      <w:pPr>
        <w:spacing w:before="80" w:after="80"/>
      </w:pPr>
    </w:p>
    <w:p w14:paraId="25418ABA" w14:textId="77777777" w:rsidR="00C97C0F" w:rsidRDefault="00000000">
      <w:pPr>
        <w:spacing w:before="280" w:after="120"/>
      </w:pPr>
      <w:r>
        <w:rPr>
          <w:b/>
          <w:bCs/>
          <w:sz w:val="26"/>
          <w:szCs w:val="26"/>
        </w:rPr>
        <w:t>Accessibility Statement</w:t>
      </w:r>
    </w:p>
    <w:p w14:paraId="5E73C335" w14:textId="77777777" w:rsidR="00C97C0F" w:rsidRDefault="00000000">
      <w:pPr>
        <w:spacing w:after="120"/>
        <w:jc w:val="both"/>
      </w:pPr>
      <w:r>
        <w:t>All supplementary spreadsheet files (Online Resources 2-6) include descriptive sheet names and column headers that function as text alternatives for the tabular data they contain. All table data are in standard Excel table format readable by screen readers. No audio, video, or animation files are included in this Supplementary Information package. All data are text and numerical content only.</w:t>
      </w:r>
    </w:p>
    <w:p w14:paraId="1A14A697" w14:textId="77777777" w:rsidR="00C97C0F" w:rsidRDefault="00C97C0F">
      <w:pPr>
        <w:pBdr>
          <w:bottom w:val="single" w:sz="4" w:space="1" w:color="000000"/>
        </w:pBdr>
        <w:spacing w:before="60" w:after="60"/>
      </w:pPr>
    </w:p>
    <w:p w14:paraId="2547BCA2" w14:textId="77777777" w:rsidR="00C97C0F" w:rsidRDefault="00000000">
      <w:pPr>
        <w:spacing w:before="280" w:after="120"/>
      </w:pPr>
      <w:r>
        <w:rPr>
          <w:b/>
          <w:bCs/>
          <w:sz w:val="26"/>
          <w:szCs w:val="26"/>
        </w:rPr>
        <w:t>Data and Code Availability</w:t>
      </w:r>
    </w:p>
    <w:p w14:paraId="4C1C5B28" w14:textId="77777777" w:rsidR="00C97C0F" w:rsidRDefault="00000000">
      <w:pPr>
        <w:spacing w:after="120"/>
        <w:jc w:val="both"/>
      </w:pPr>
      <w:r>
        <w:t xml:space="preserve">The empirical analysis in this paper draws on publicly available data sources: IndiGo Annual Reports (https://www.goindigo.in/investor-relations.html); Directorate General of Civil Aviation monthly traffic statistics (https://dgca.gov.in); SpiceJet annual reports on the Bombay Stock Exchange (https://www.bseindia.com); Air India Comptroller and Auditor General audit reports (https://cag.gov.in); </w:t>
      </w:r>
      <w:r>
        <w:lastRenderedPageBreak/>
        <w:t>and Go First National Company Law Tribunal insolvency filings. Non-IndiGo CASK estimates are analyst consensus figures from CAPA India (2024) and Jefferies India (2024); these are clearly marked as estimates in Online Resource 2.</w:t>
      </w:r>
    </w:p>
    <w:p w14:paraId="76E1F23B" w14:textId="77777777" w:rsidR="00C97C0F" w:rsidRDefault="00000000">
      <w:pPr>
        <w:spacing w:after="120"/>
        <w:ind w:firstLine="720"/>
        <w:jc w:val="both"/>
      </w:pPr>
      <w:r>
        <w:t>The full panel dataset and all regression, simulation, and welfare computations are provided in Online Resources 2-6. The main paper's conclusions can be independently verified by replicating the Stata or R code in Online Resource 3 against the panel data in Online Resource 2. Researchers who obtain access to proprietary CAPA India or Jefferies India datasets are encouraged to update the non-IndiGo CASK estimates and report whether the regression results are robust to those updated figures.</w:t>
      </w:r>
    </w:p>
    <w:sectPr w:rsidR="00C97C0F">
      <w:footerReference w:type="default" r:id="rId8"/>
      <w:pgSz w:w="12240" w:h="15840"/>
      <w:pgMar w:top="1800" w:right="1800" w:bottom="1800" w:left="18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E5665" w14:textId="77777777" w:rsidR="00863DF0" w:rsidRDefault="00863DF0">
      <w:r>
        <w:separator/>
      </w:r>
    </w:p>
  </w:endnote>
  <w:endnote w:type="continuationSeparator" w:id="0">
    <w:p w14:paraId="4C930F2A" w14:textId="77777777" w:rsidR="00863DF0" w:rsidRDefault="0086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18146" w14:textId="77777777" w:rsidR="00C97C0F" w:rsidRDefault="00000000">
    <w:pPr>
      <w:jc w:val="center"/>
    </w:pPr>
    <w:r>
      <w:t xml:space="preserve">ESM_1 — SI Cover Page | Page </w:t>
    </w:r>
    <w:r>
      <w:fldChar w:fldCharType="begin"/>
    </w:r>
    <w:r>
      <w:instrText>PAGE</w:instrText>
    </w:r>
    <w:r>
      <w:fldChar w:fldCharType="separate"/>
    </w:r>
    <w:r w:rsidR="002B586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6FC89" w14:textId="77777777" w:rsidR="00863DF0" w:rsidRDefault="00863DF0">
      <w:r>
        <w:separator/>
      </w:r>
    </w:p>
  </w:footnote>
  <w:footnote w:type="continuationSeparator" w:id="0">
    <w:p w14:paraId="228A686E" w14:textId="77777777" w:rsidR="00863DF0" w:rsidRDefault="00863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B808FD"/>
    <w:multiLevelType w:val="hybridMultilevel"/>
    <w:tmpl w:val="089CA974"/>
    <w:lvl w:ilvl="0" w:tplc="652A81F6">
      <w:start w:val="1"/>
      <w:numFmt w:val="bullet"/>
      <w:lvlText w:val="●"/>
      <w:lvlJc w:val="left"/>
      <w:pPr>
        <w:ind w:left="720" w:hanging="360"/>
      </w:pPr>
    </w:lvl>
    <w:lvl w:ilvl="1" w:tplc="20FCE4D6">
      <w:start w:val="1"/>
      <w:numFmt w:val="bullet"/>
      <w:lvlText w:val="○"/>
      <w:lvlJc w:val="left"/>
      <w:pPr>
        <w:ind w:left="1440" w:hanging="360"/>
      </w:pPr>
    </w:lvl>
    <w:lvl w:ilvl="2" w:tplc="7B02746C">
      <w:start w:val="1"/>
      <w:numFmt w:val="bullet"/>
      <w:lvlText w:val="■"/>
      <w:lvlJc w:val="left"/>
      <w:pPr>
        <w:ind w:left="2160" w:hanging="360"/>
      </w:pPr>
    </w:lvl>
    <w:lvl w:ilvl="3" w:tplc="EA76370C">
      <w:start w:val="1"/>
      <w:numFmt w:val="bullet"/>
      <w:lvlText w:val="●"/>
      <w:lvlJc w:val="left"/>
      <w:pPr>
        <w:ind w:left="2880" w:hanging="360"/>
      </w:pPr>
    </w:lvl>
    <w:lvl w:ilvl="4" w:tplc="3FA4CD14">
      <w:start w:val="1"/>
      <w:numFmt w:val="bullet"/>
      <w:lvlText w:val="○"/>
      <w:lvlJc w:val="left"/>
      <w:pPr>
        <w:ind w:left="3600" w:hanging="360"/>
      </w:pPr>
    </w:lvl>
    <w:lvl w:ilvl="5" w:tplc="0C8CC018">
      <w:start w:val="1"/>
      <w:numFmt w:val="bullet"/>
      <w:lvlText w:val="■"/>
      <w:lvlJc w:val="left"/>
      <w:pPr>
        <w:ind w:left="4320" w:hanging="360"/>
      </w:pPr>
    </w:lvl>
    <w:lvl w:ilvl="6" w:tplc="08B8F2A2">
      <w:start w:val="1"/>
      <w:numFmt w:val="bullet"/>
      <w:lvlText w:val="●"/>
      <w:lvlJc w:val="left"/>
      <w:pPr>
        <w:ind w:left="5040" w:hanging="360"/>
      </w:pPr>
    </w:lvl>
    <w:lvl w:ilvl="7" w:tplc="C17E70E6">
      <w:start w:val="1"/>
      <w:numFmt w:val="bullet"/>
      <w:lvlText w:val="●"/>
      <w:lvlJc w:val="left"/>
      <w:pPr>
        <w:ind w:left="5760" w:hanging="360"/>
      </w:pPr>
    </w:lvl>
    <w:lvl w:ilvl="8" w:tplc="B9F2328E">
      <w:start w:val="1"/>
      <w:numFmt w:val="bullet"/>
      <w:lvlText w:val="●"/>
      <w:lvlJc w:val="left"/>
      <w:pPr>
        <w:ind w:left="6480" w:hanging="360"/>
      </w:pPr>
    </w:lvl>
  </w:abstractNum>
  <w:num w:numId="1" w16cid:durableId="119033427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C0F"/>
    <w:rsid w:val="002B586C"/>
    <w:rsid w:val="00863DF0"/>
    <w:rsid w:val="00C458E9"/>
    <w:rsid w:val="00C97C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2A10E"/>
  <w15:docId w15:val="{08AB320B-6C8A-4FB1-B2B6-B844748A8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000000"/>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styleId="UnresolvedMention">
    <w:name w:val="Unresolved Mention"/>
    <w:basedOn w:val="DefaultParagraphFont"/>
    <w:uiPriority w:val="99"/>
    <w:semiHidden/>
    <w:unhideWhenUsed/>
    <w:rsid w:val="002B5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arungan00@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1293</Words>
  <Characters>7374</Characters>
  <Application>Microsoft Office Word</Application>
  <DocSecurity>0</DocSecurity>
  <Lines>61</Lines>
  <Paragraphs>17</Paragraphs>
  <ScaleCrop>false</ScaleCrop>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Tarun</cp:lastModifiedBy>
  <cp:revision>2</cp:revision>
  <dcterms:created xsi:type="dcterms:W3CDTF">2026-04-30T04:18:00Z</dcterms:created>
  <dcterms:modified xsi:type="dcterms:W3CDTF">2026-04-30T04:18:00Z</dcterms:modified>
</cp:coreProperties>
</file>