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626A" w14:textId="77777777" w:rsidR="00A26227" w:rsidRPr="00957BBC" w:rsidRDefault="00A26227" w:rsidP="00A26227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Cs w:val="21"/>
        </w:rPr>
      </w:pPr>
      <w:r w:rsidRPr="00957BBC">
        <w:rPr>
          <w:rFonts w:ascii="Arial" w:hAnsi="Arial" w:cs="Arial"/>
          <w:b/>
          <w:bCs/>
          <w:color w:val="000000" w:themeColor="text1"/>
          <w:szCs w:val="21"/>
        </w:rPr>
        <w:t>Tables</w:t>
      </w:r>
    </w:p>
    <w:p w14:paraId="0E045081" w14:textId="77777777" w:rsidR="00A26227" w:rsidRPr="00957BBC" w:rsidRDefault="00A26227" w:rsidP="00A26227">
      <w:pPr>
        <w:spacing w:line="360" w:lineRule="auto"/>
        <w:rPr>
          <w:rFonts w:ascii="Arial" w:hAnsi="Arial" w:cs="Arial"/>
          <w:b/>
          <w:bCs/>
          <w:color w:val="000000" w:themeColor="text1"/>
          <w:szCs w:val="21"/>
        </w:rPr>
      </w:pPr>
    </w:p>
    <w:p w14:paraId="56913017" w14:textId="77777777" w:rsidR="00A26227" w:rsidRPr="00957BBC" w:rsidRDefault="00A26227" w:rsidP="00A26227">
      <w:pPr>
        <w:spacing w:line="360" w:lineRule="auto"/>
        <w:rPr>
          <w:rFonts w:ascii="Arial" w:hAnsi="Arial" w:cs="Arial"/>
          <w:b/>
          <w:bCs/>
          <w:color w:val="000000" w:themeColor="text1"/>
          <w:szCs w:val="21"/>
        </w:rPr>
      </w:pPr>
      <w:r w:rsidRPr="00957BBC">
        <w:rPr>
          <w:rFonts w:ascii="Arial" w:hAnsi="Arial" w:cs="Arial"/>
          <w:b/>
          <w:bCs/>
          <w:color w:val="000000" w:themeColor="text1"/>
          <w:szCs w:val="21"/>
        </w:rPr>
        <w:t xml:space="preserve">Table </w:t>
      </w:r>
      <w:r w:rsidRPr="00957BBC">
        <w:rPr>
          <w:rFonts w:ascii="Arial" w:hAnsi="Arial" w:cs="Arial" w:hint="eastAsia"/>
          <w:b/>
          <w:bCs/>
          <w:color w:val="000000" w:themeColor="text1"/>
          <w:szCs w:val="21"/>
        </w:rPr>
        <w:t>1</w:t>
      </w:r>
      <w:r w:rsidRPr="00957BBC">
        <w:rPr>
          <w:rFonts w:ascii="Arial" w:hAnsi="Arial" w:cs="Arial"/>
          <w:b/>
          <w:bCs/>
          <w:color w:val="000000" w:themeColor="text1"/>
          <w:szCs w:val="21"/>
        </w:rPr>
        <w:t>. Cross-reactivity of the high-sensitivity BDNF ELISA with related neurotrophins.</w:t>
      </w:r>
    </w:p>
    <w:p w14:paraId="1AEECA49" w14:textId="77777777" w:rsidR="00A26227" w:rsidRPr="00AD597B" w:rsidRDefault="00A26227" w:rsidP="00A26227">
      <w:pPr>
        <w:spacing w:line="360" w:lineRule="auto"/>
        <w:rPr>
          <w:rFonts w:ascii="Arial" w:hAnsi="Arial" w:cs="Arial" w:hint="eastAsia"/>
          <w:color w:val="000000" w:themeColor="text1"/>
          <w:szCs w:val="21"/>
        </w:rPr>
      </w:pPr>
      <w:r w:rsidRPr="00957BBC">
        <w:rPr>
          <w:rFonts w:ascii="Arial" w:hAnsi="Arial" w:cs="Arial"/>
          <w:color w:val="000000" w:themeColor="text1"/>
          <w:szCs w:val="21"/>
        </w:rPr>
        <w:t xml:space="preserve">Recombinant neurotrophins including NGFβ, NT-3, NT-4, and proBDNF from both human and mouse were tested under identical assay conditions. Relative reactivity was calculated as a percentage of the signal obtained for mature BDNF. Values below the limit of detection (0.116 </w:t>
      </w:r>
      <w:proofErr w:type="spellStart"/>
      <w:r w:rsidRPr="00957BBC">
        <w:rPr>
          <w:rFonts w:ascii="Arial" w:hAnsi="Arial" w:cs="Arial"/>
          <w:color w:val="000000" w:themeColor="text1"/>
          <w:szCs w:val="21"/>
        </w:rPr>
        <w:t>pg</w:t>
      </w:r>
      <w:proofErr w:type="spellEnd"/>
      <w:r w:rsidRPr="00957BBC">
        <w:rPr>
          <w:rFonts w:ascii="Arial" w:hAnsi="Arial" w:cs="Arial"/>
          <w:color w:val="000000" w:themeColor="text1"/>
          <w:szCs w:val="21"/>
        </w:rPr>
        <w:t>/mL) are indicated as &lt;0.116. NGFβ, NT-3, and NT-4 showed no detectable signals, indicating negligible cross-reactivity. In contrast, proBDNF exhibited minimal reactivity (&lt;2%), demonstrating that the assay preferentially detects mature BDNF. All recombinant proteins were tested at comparable concentrations under identical assay conditions.</w:t>
      </w:r>
      <w:r w:rsidRPr="00957BBC">
        <w:rPr>
          <w:rFonts w:ascii="Arial" w:hAnsi="Arial" w:cs="Arial" w:hint="eastAsia"/>
          <w:color w:val="000000" w:themeColor="text1"/>
          <w:szCs w:val="21"/>
        </w:rPr>
        <w:t xml:space="preserve">　</w:t>
      </w:r>
      <w:r w:rsidRPr="00957BBC">
        <w:rPr>
          <w:rFonts w:ascii="Arial" w:hAnsi="Arial" w:cs="Arial"/>
          <w:color w:val="000000" w:themeColor="text1"/>
          <w:szCs w:val="21"/>
        </w:rPr>
        <w:t xml:space="preserve"> </w:t>
      </w:r>
    </w:p>
    <w:p w14:paraId="4FD6147C" w14:textId="77777777" w:rsidR="00C428C3" w:rsidRPr="00A26227" w:rsidRDefault="00C428C3"/>
    <w:sectPr w:rsidR="00C428C3" w:rsidRPr="00A26227" w:rsidSect="00A26227">
      <w:footerReference w:type="even" r:id="rId4"/>
      <w:footerReference w:type="default" r:id="rId5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明朝">
    <w:altName w:val="游ゴシック"/>
    <w:panose1 w:val="00000000000000000000"/>
    <w:charset w:val="80"/>
    <w:family w:val="roman"/>
    <w:notTrueType/>
    <w:pitch w:val="default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311994358"/>
      <w:docPartObj>
        <w:docPartGallery w:val="Page Numbers (Bottom of Page)"/>
        <w:docPartUnique/>
      </w:docPartObj>
    </w:sdtPr>
    <w:sdtContent>
      <w:p w14:paraId="55D30386" w14:textId="77777777" w:rsidR="00A26227" w:rsidRDefault="00A26227" w:rsidP="001E3E51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fldChar w:fldCharType="end"/>
        </w:r>
      </w:p>
    </w:sdtContent>
  </w:sdt>
  <w:p w14:paraId="1B3AFD94" w14:textId="77777777" w:rsidR="00A26227" w:rsidRDefault="00A2622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749696513"/>
      <w:docPartObj>
        <w:docPartGallery w:val="Page Numbers (Bottom of Page)"/>
        <w:docPartUnique/>
      </w:docPartObj>
    </w:sdtPr>
    <w:sdtContent>
      <w:p w14:paraId="58523AE3" w14:textId="77777777" w:rsidR="00A26227" w:rsidRDefault="00A26227" w:rsidP="001E3E51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65AA09B4" w14:textId="77777777" w:rsidR="00A26227" w:rsidRDefault="00A26227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27"/>
    <w:rsid w:val="000C7519"/>
    <w:rsid w:val="00106C87"/>
    <w:rsid w:val="002B4635"/>
    <w:rsid w:val="006004D1"/>
    <w:rsid w:val="007E3C43"/>
    <w:rsid w:val="00A26227"/>
    <w:rsid w:val="00B83E06"/>
    <w:rsid w:val="00C428C3"/>
    <w:rsid w:val="00F74949"/>
    <w:rsid w:val="00FE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3E4AF"/>
  <w15:chartTrackingRefBased/>
  <w15:docId w15:val="{7E2F53C9-E8B1-49C6-B515-B9EF95B7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明朝" w:hAnsi="Times New Roman" w:cstheme="minorBidi"/>
        <w:bCs/>
        <w:kern w:val="2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227"/>
    <w:pPr>
      <w:spacing w:line="240" w:lineRule="auto"/>
    </w:pPr>
    <w:rPr>
      <w:rFonts w:ascii="ＭＳ Ｐゴシック" w:eastAsia="ＭＳ Ｐゴシック" w:hAnsi="ＭＳ Ｐゴシック" w:cs="ＭＳ Ｐゴシック"/>
      <w:bCs w:val="0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6227"/>
    <w:pPr>
      <w:keepNext/>
      <w:keepLines/>
      <w:spacing w:before="280" w:after="80" w:line="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227"/>
    <w:pPr>
      <w:keepNext/>
      <w:keepLines/>
      <w:spacing w:before="160" w:after="80" w:line="0" w:lineRule="atLeast"/>
      <w:outlineLvl w:val="1"/>
    </w:pPr>
    <w:rPr>
      <w:rFonts w:asciiTheme="majorHAnsi" w:eastAsiaTheme="majorEastAsia" w:hAnsiTheme="majorHAnsi" w:cstheme="majorBidi"/>
      <w:bCs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227"/>
    <w:pPr>
      <w:keepNext/>
      <w:keepLines/>
      <w:spacing w:before="160" w:after="80" w:line="0" w:lineRule="atLeast"/>
      <w:outlineLvl w:val="2"/>
    </w:pPr>
    <w:rPr>
      <w:rFonts w:asciiTheme="majorHAnsi" w:eastAsiaTheme="majorEastAsia" w:hAnsiTheme="majorHAnsi" w:cstheme="majorBidi"/>
      <w:bCs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227"/>
    <w:pPr>
      <w:keepNext/>
      <w:keepLines/>
      <w:spacing w:before="80" w:after="40" w:line="0" w:lineRule="atLeast"/>
      <w:outlineLvl w:val="3"/>
    </w:pPr>
    <w:rPr>
      <w:rFonts w:asciiTheme="majorHAnsi" w:eastAsiaTheme="majorEastAsia" w:hAnsiTheme="majorHAnsi" w:cstheme="majorBidi"/>
      <w:bCs/>
      <w:color w:val="000000" w:themeColor="text1"/>
      <w:kern w:val="2"/>
      <w:sz w:val="20"/>
      <w:szCs w:val="2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227"/>
    <w:pPr>
      <w:keepNext/>
      <w:keepLines/>
      <w:spacing w:before="80" w:after="40" w:line="0" w:lineRule="atLeast"/>
      <w:ind w:leftChars="100" w:left="100"/>
      <w:outlineLvl w:val="4"/>
    </w:pPr>
    <w:rPr>
      <w:rFonts w:asciiTheme="majorHAnsi" w:eastAsiaTheme="majorEastAsia" w:hAnsiTheme="majorHAnsi" w:cstheme="majorBidi"/>
      <w:bCs/>
      <w:color w:val="000000" w:themeColor="text1"/>
      <w:kern w:val="2"/>
      <w:sz w:val="20"/>
      <w:szCs w:val="2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227"/>
    <w:pPr>
      <w:keepNext/>
      <w:keepLines/>
      <w:spacing w:before="80" w:after="40" w:line="0" w:lineRule="atLeast"/>
      <w:ind w:leftChars="200" w:left="200"/>
      <w:outlineLvl w:val="5"/>
    </w:pPr>
    <w:rPr>
      <w:rFonts w:asciiTheme="majorHAnsi" w:eastAsiaTheme="majorEastAsia" w:hAnsiTheme="majorHAnsi" w:cstheme="majorBidi"/>
      <w:bCs/>
      <w:color w:val="000000" w:themeColor="text1"/>
      <w:kern w:val="2"/>
      <w:sz w:val="20"/>
      <w:szCs w:val="2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227"/>
    <w:pPr>
      <w:keepNext/>
      <w:keepLines/>
      <w:spacing w:before="80" w:after="40" w:line="0" w:lineRule="atLeast"/>
      <w:ind w:leftChars="300" w:left="300"/>
      <w:outlineLvl w:val="6"/>
    </w:pPr>
    <w:rPr>
      <w:rFonts w:asciiTheme="majorHAnsi" w:eastAsiaTheme="majorEastAsia" w:hAnsiTheme="majorHAnsi" w:cstheme="majorBidi"/>
      <w:bCs/>
      <w:color w:val="000000" w:themeColor="text1"/>
      <w:kern w:val="2"/>
      <w:sz w:val="20"/>
      <w:szCs w:val="2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227"/>
    <w:pPr>
      <w:keepNext/>
      <w:keepLines/>
      <w:spacing w:before="80" w:after="40" w:line="0" w:lineRule="atLeast"/>
      <w:ind w:leftChars="400" w:left="400"/>
      <w:outlineLvl w:val="7"/>
    </w:pPr>
    <w:rPr>
      <w:rFonts w:asciiTheme="majorHAnsi" w:eastAsiaTheme="majorEastAsia" w:hAnsiTheme="majorHAnsi" w:cstheme="majorBidi"/>
      <w:bCs/>
      <w:color w:val="000000" w:themeColor="text1"/>
      <w:kern w:val="2"/>
      <w:sz w:val="20"/>
      <w:szCs w:val="2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227"/>
    <w:pPr>
      <w:keepNext/>
      <w:keepLines/>
      <w:spacing w:before="80" w:after="40" w:line="0" w:lineRule="atLeast"/>
      <w:ind w:leftChars="500" w:left="500"/>
      <w:outlineLvl w:val="8"/>
    </w:pPr>
    <w:rPr>
      <w:rFonts w:asciiTheme="majorHAnsi" w:eastAsiaTheme="majorEastAsia" w:hAnsiTheme="majorHAnsi" w:cstheme="majorBidi"/>
      <w:bCs/>
      <w:color w:val="000000" w:themeColor="text1"/>
      <w:kern w:val="2"/>
      <w:sz w:val="20"/>
      <w:szCs w:val="2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62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62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62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62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62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62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62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62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62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6227"/>
    <w:pPr>
      <w:spacing w:after="80"/>
      <w:contextualSpacing/>
      <w:jc w:val="center"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2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227"/>
    <w:pPr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bCs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26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227"/>
    <w:pPr>
      <w:spacing w:before="160" w:after="160" w:line="0" w:lineRule="atLeast"/>
      <w:jc w:val="center"/>
    </w:pPr>
    <w:rPr>
      <w:rFonts w:ascii="Times New Roman" w:eastAsia="ms 明朝" w:hAnsi="Times New Roman" w:cstheme="minorBidi"/>
      <w:bCs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26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227"/>
    <w:pPr>
      <w:spacing w:line="0" w:lineRule="atLeast"/>
      <w:ind w:left="720"/>
      <w:contextualSpacing/>
    </w:pPr>
    <w:rPr>
      <w:rFonts w:ascii="Times New Roman" w:eastAsia="ms 明朝" w:hAnsi="Times New Roman" w:cstheme="minorBidi"/>
      <w:bCs/>
      <w:kern w:val="2"/>
      <w:sz w:val="20"/>
      <w:szCs w:val="20"/>
      <w14:ligatures w14:val="standardContextual"/>
    </w:rPr>
  </w:style>
  <w:style w:type="character" w:styleId="21">
    <w:name w:val="Intense Emphasis"/>
    <w:basedOn w:val="a0"/>
    <w:uiPriority w:val="21"/>
    <w:qFormat/>
    <w:rsid w:val="00A262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6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="Times New Roman" w:eastAsia="ms 明朝" w:hAnsi="Times New Roman" w:cstheme="minorBidi"/>
      <w:bCs/>
      <w:i/>
      <w:iCs/>
      <w:color w:val="0F4761" w:themeColor="accent1" w:themeShade="BF"/>
      <w:kern w:val="2"/>
      <w:sz w:val="20"/>
      <w:szCs w:val="20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262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6227"/>
    <w:rPr>
      <w:b/>
      <w:bCs w:val="0"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A26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6227"/>
    <w:rPr>
      <w:rFonts w:ascii="ＭＳ Ｐゴシック" w:eastAsia="ＭＳ Ｐゴシック" w:hAnsi="ＭＳ Ｐゴシック" w:cs="ＭＳ Ｐゴシック"/>
      <w:bCs w:val="0"/>
      <w:kern w:val="0"/>
      <w:sz w:val="24"/>
      <w:szCs w:val="24"/>
      <w14:ligatures w14:val="none"/>
    </w:rPr>
  </w:style>
  <w:style w:type="character" w:styleId="ac">
    <w:name w:val="page number"/>
    <w:basedOn w:val="a0"/>
    <w:uiPriority w:val="99"/>
    <w:semiHidden/>
    <w:unhideWhenUsed/>
    <w:rsid w:val="00A26227"/>
  </w:style>
  <w:style w:type="character" w:styleId="ad">
    <w:name w:val="line number"/>
    <w:basedOn w:val="a0"/>
    <w:uiPriority w:val="99"/>
    <w:semiHidden/>
    <w:unhideWhenUsed/>
    <w:rsid w:val="00A2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 Yoshiki</dc:creator>
  <cp:keywords/>
  <dc:description/>
  <cp:lastModifiedBy>KURA Yoshiki</cp:lastModifiedBy>
  <cp:revision>1</cp:revision>
  <dcterms:created xsi:type="dcterms:W3CDTF">2026-04-29T18:52:00Z</dcterms:created>
  <dcterms:modified xsi:type="dcterms:W3CDTF">2026-04-29T18:52:00Z</dcterms:modified>
</cp:coreProperties>
</file>