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Supplementary Note</w:t>
      </w:r>
    </w:p>
    <w:p w:rsidR="00000000" w:rsidDel="00000000" w:rsidP="00000000" w:rsidRDefault="00000000" w:rsidRPr="00000000" w14:paraId="00000002">
      <w:pPr>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26"/>
          <w:szCs w:val="26"/>
          <w:rtl w:val="0"/>
        </w:rPr>
        <w:t xml:space="preserve">Divergent effects of HLA-DQA1:p.Gln198Glu on Crohn's disease and ulcerative colitis disease trajectories</w:t>
      </w:r>
      <w:r w:rsidDel="00000000" w:rsidR="00000000" w:rsidRPr="00000000">
        <w:rPr>
          <w:rtl w:val="0"/>
        </w:rPr>
      </w:r>
    </w:p>
    <w:p w:rsidR="00000000" w:rsidDel="00000000" w:rsidP="00000000" w:rsidRDefault="00000000" w:rsidRPr="00000000" w14:paraId="00000004">
      <w:pPr>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Supplementary Table 1 | </w:t>
      </w:r>
      <w:r w:rsidDel="00000000" w:rsidR="00000000" w:rsidRPr="00000000">
        <w:rPr>
          <w:rtl w:val="0"/>
        </w:rPr>
        <w:t xml:space="preserve">Association of HLA-DQA1:p.Gln198Glu with Crohn’s disease behaviour and ulcerative colitis disease severity in individual datasets and meta-analysis.</w:t>
      </w:r>
    </w:p>
    <w:tbl>
      <w:tblPr>
        <w:tblStyle w:val="Table1"/>
        <w:tblW w:w="136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965"/>
        <w:gridCol w:w="1695"/>
        <w:gridCol w:w="1860"/>
        <w:gridCol w:w="1860"/>
        <w:gridCol w:w="2430"/>
        <w:tblGridChange w:id="0">
          <w:tblGrid>
            <w:gridCol w:w="3825"/>
            <w:gridCol w:w="1965"/>
            <w:gridCol w:w="1695"/>
            <w:gridCol w:w="1860"/>
            <w:gridCol w:w="1860"/>
            <w:gridCol w:w="2430"/>
          </w:tblGrid>
        </w:tblGridChange>
      </w:tblGrid>
      <w:tr>
        <w:trPr>
          <w:cantSplit w:val="0"/>
          <w:tblHeader w:val="0"/>
        </w:trPr>
        <w:tc>
          <w:tcPr>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r>
          </w:p>
        </w:tc>
        <w:tc>
          <w:tcPr>
            <w:tcBorders>
              <w:top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bCs w:val="1"/>
              </w:rPr>
            </w:pPr>
            <w:r w:rsidDel="00000000" w:rsidR="00000000" w:rsidRPr="00000000">
              <w:rPr>
                <w:b w:val="1"/>
                <w:bCs w:val="1"/>
                <w:rtl w:val="0"/>
              </w:rPr>
              <w:t xml:space="preserve">Case/Control</w:t>
            </w:r>
          </w:p>
        </w:tc>
        <w:tc>
          <w:tcPr>
            <w:tcBorders>
              <w:top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bCs w:val="1"/>
              </w:rPr>
            </w:pPr>
            <w:r w:rsidDel="00000000" w:rsidR="00000000" w:rsidRPr="00000000">
              <w:rPr>
                <w:b w:val="1"/>
                <w:bCs w:val="1"/>
                <w:rtl w:val="0"/>
              </w:rPr>
              <w:t xml:space="preserve">OR</w:t>
            </w:r>
          </w:p>
        </w:tc>
        <w:tc>
          <w:tcPr>
            <w:tcBorders>
              <w:top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bCs w:val="1"/>
              </w:rPr>
            </w:pPr>
            <w:r w:rsidDel="00000000" w:rsidR="00000000" w:rsidRPr="00000000">
              <w:rPr>
                <w:b w:val="1"/>
                <w:bCs w:val="1"/>
                <w:rtl w:val="0"/>
              </w:rPr>
              <w:t xml:space="preserve">95% CI</w:t>
            </w:r>
          </w:p>
        </w:tc>
        <w:tc>
          <w:tcPr>
            <w:tcBorders>
              <w:top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b w:val="1"/>
                <w:bCs w:val="1"/>
              </w:rPr>
            </w:pPr>
            <w:r w:rsidDel="00000000" w:rsidR="00000000" w:rsidRPr="00000000">
              <w:rPr>
                <w:b w:val="1"/>
                <w:bCs w:val="1"/>
                <w:rtl w:val="0"/>
              </w:rPr>
              <w:t xml:space="preserve">P_value</w:t>
            </w:r>
          </w:p>
        </w:tc>
        <w:tc>
          <w:tcPr>
            <w:tcBorders>
              <w:top w:color="000000" w:space="0" w:sz="12"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bCs w:val="1"/>
              </w:rPr>
            </w:pPr>
            <w:r w:rsidDel="00000000" w:rsidR="00000000" w:rsidRPr="00000000">
              <w:rPr>
                <w:b w:val="1"/>
                <w:bCs w:val="1"/>
                <w:rtl w:val="0"/>
              </w:rPr>
              <w:t xml:space="preserve">P_het</w:t>
            </w:r>
          </w:p>
        </w:tc>
      </w:tr>
      <w:tr>
        <w:trPr>
          <w:cantSplit w:val="0"/>
          <w:trHeight w:val="610.95703125" w:hRule="atLeast"/>
          <w:tblHeader w:val="0"/>
        </w:trPr>
        <w:tc>
          <w:tcPr>
            <w:gridSpan w:val="6"/>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bCs w:val="1"/>
              </w:rPr>
            </w:pPr>
            <w:r w:rsidDel="00000000" w:rsidR="00000000" w:rsidRPr="00000000">
              <w:rPr>
                <w:b w:val="1"/>
                <w:bCs w:val="1"/>
                <w:rtl w:val="0"/>
              </w:rPr>
              <w:t xml:space="preserve">CD behaviour (B2/B3 v.s. B1), covariates: 4 PCs, sex, and disease location</w:t>
            </w:r>
          </w:p>
        </w:tc>
      </w:tr>
      <w:tr>
        <w:trPr>
          <w:cantSplit w:val="0"/>
          <w:trHeight w:val="610.95703125" w:hRule="atLeast"/>
          <w:tblHeader w:val="0"/>
        </w:trPr>
        <w:tc>
          <w:tcPr>
            <w:tcBorders>
              <w:top w:color="000000" w:space="0" w:sz="12" w:val="single"/>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right"/>
              <w:rPr>
                <w:b w:val="1"/>
                <w:bCs w:val="1"/>
              </w:rPr>
            </w:pPr>
            <w:r w:rsidDel="00000000" w:rsidR="00000000" w:rsidRPr="00000000">
              <w:rPr>
                <w:b w:val="1"/>
                <w:bCs w:val="1"/>
                <w:rtl w:val="0"/>
              </w:rPr>
              <w:t xml:space="preserve">IBDBR</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jc w:val="center"/>
              <w:rPr/>
            </w:pPr>
            <w:r w:rsidDel="00000000" w:rsidR="00000000" w:rsidRPr="00000000">
              <w:rPr>
                <w:rtl w:val="0"/>
              </w:rPr>
              <w:t xml:space="preserve">5,022/8,537</w:t>
            </w:r>
          </w:p>
        </w:tc>
        <w:tc>
          <w:tcPr>
            <w:tcMar>
              <w:top w:w="20.0" w:type="dxa"/>
              <w:left w:w="20.0" w:type="dxa"/>
              <w:bottom w:w="100.0" w:type="dxa"/>
              <w:right w:w="20.0" w:type="dxa"/>
            </w:tcMar>
            <w:vAlign w:val="bottom"/>
          </w:tcPr>
          <w:p w:rsidR="00000000" w:rsidDel="00000000" w:rsidP="00000000" w:rsidRDefault="00000000" w:rsidRPr="00000000" w14:paraId="00000014">
            <w:pPr>
              <w:spacing w:line="240" w:lineRule="auto"/>
              <w:jc w:val="center"/>
              <w:rPr/>
            </w:pPr>
            <w:r w:rsidDel="00000000" w:rsidR="00000000" w:rsidRPr="00000000">
              <w:rPr>
                <w:sz w:val="24"/>
                <w:szCs w:val="24"/>
                <w:rtl w:val="0"/>
              </w:rPr>
              <w:t xml:space="preserve">1.12</w:t>
            </w:r>
            <w:r w:rsidDel="00000000" w:rsidR="00000000" w:rsidRPr="00000000">
              <w:rPr>
                <w:rtl w:val="0"/>
              </w:rPr>
            </w:r>
          </w:p>
        </w:tc>
        <w:tc>
          <w:tcPr>
            <w:tcMar>
              <w:top w:w="20.0" w:type="dxa"/>
              <w:left w:w="20.0" w:type="dxa"/>
              <w:bottom w:w="100.0" w:type="dxa"/>
              <w:right w:w="20.0" w:type="dxa"/>
            </w:tcMar>
            <w:vAlign w:val="bottom"/>
          </w:tcPr>
          <w:p w:rsidR="00000000" w:rsidDel="00000000" w:rsidP="00000000" w:rsidRDefault="00000000" w:rsidRPr="00000000" w14:paraId="00000015">
            <w:pPr>
              <w:spacing w:line="240" w:lineRule="auto"/>
              <w:jc w:val="center"/>
              <w:rPr>
                <w:sz w:val="24"/>
                <w:szCs w:val="24"/>
              </w:rPr>
            </w:pPr>
            <w:r w:rsidDel="00000000" w:rsidR="00000000" w:rsidRPr="00000000">
              <w:rPr>
                <w:sz w:val="24"/>
                <w:szCs w:val="24"/>
                <w:rtl w:val="0"/>
              </w:rPr>
              <w:t xml:space="preserve">1.06-1.18</w:t>
            </w:r>
          </w:p>
        </w:tc>
        <w:tc>
          <w:tcPr>
            <w:tcMar>
              <w:top w:w="20.0" w:type="dxa"/>
              <w:left w:w="20.0" w:type="dxa"/>
              <w:bottom w:w="100.0" w:type="dxa"/>
              <w:right w:w="20.0" w:type="dxa"/>
            </w:tcMar>
            <w:vAlign w:val="bottom"/>
          </w:tcPr>
          <w:p w:rsidR="00000000" w:rsidDel="00000000" w:rsidP="00000000" w:rsidRDefault="00000000" w:rsidRPr="00000000" w14:paraId="00000016">
            <w:pPr>
              <w:spacing w:line="240" w:lineRule="auto"/>
              <w:jc w:val="center"/>
              <w:rPr>
                <w:sz w:val="24"/>
                <w:szCs w:val="24"/>
                <w:vertAlign w:val="superscript"/>
              </w:rPr>
            </w:pPr>
            <w:r w:rsidDel="00000000" w:rsidR="00000000" w:rsidRPr="00000000">
              <w:rPr>
                <w:sz w:val="24"/>
                <w:szCs w:val="24"/>
                <w:rtl w:val="0"/>
              </w:rPr>
              <w:t xml:space="preserve">2.38x10</w:t>
            </w:r>
            <w:r w:rsidDel="00000000" w:rsidR="00000000" w:rsidRPr="00000000">
              <w:rPr>
                <w:sz w:val="24"/>
                <w:szCs w:val="24"/>
                <w:vertAlign w:val="superscript"/>
                <w:rtl w:val="0"/>
              </w:rPr>
              <w:t xml:space="preserve">-5</w:t>
            </w:r>
          </w:p>
        </w:tc>
        <w:tc>
          <w:tcPr>
            <w:vMerge w:val="restart"/>
            <w:tcBorders>
              <w:top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line="240" w:lineRule="auto"/>
              <w:jc w:val="center"/>
              <w:rPr/>
            </w:pPr>
            <w:r w:rsidDel="00000000" w:rsidR="00000000" w:rsidRPr="00000000">
              <w:rPr>
                <w:rtl w:val="0"/>
              </w:rPr>
              <w:t xml:space="preserve">NA</w:t>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right"/>
              <w:rPr>
                <w:b w:val="1"/>
                <w:bCs w:val="1"/>
              </w:rPr>
            </w:pPr>
            <w:r w:rsidDel="00000000" w:rsidR="00000000" w:rsidRPr="00000000">
              <w:rPr>
                <w:b w:val="1"/>
                <w:bCs w:val="1"/>
                <w:rtl w:val="0"/>
              </w:rPr>
              <w:t xml:space="preserve">UKIBDGC - dataset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spacing w:line="240" w:lineRule="auto"/>
              <w:jc w:val="center"/>
              <w:rPr/>
            </w:pPr>
            <w:r w:rsidDel="00000000" w:rsidR="00000000" w:rsidRPr="00000000">
              <w:rPr>
                <w:rtl w:val="0"/>
              </w:rPr>
              <w:t xml:space="preserve">748/537</w:t>
            </w:r>
          </w:p>
        </w:tc>
        <w:tc>
          <w:tcPr>
            <w:tcMar>
              <w:top w:w="20.0" w:type="dxa"/>
              <w:left w:w="20.0" w:type="dxa"/>
              <w:bottom w:w="100.0" w:type="dxa"/>
              <w:right w:w="20.0" w:type="dxa"/>
            </w:tcMar>
            <w:vAlign w:val="bottom"/>
          </w:tcPr>
          <w:p w:rsidR="00000000" w:rsidDel="00000000" w:rsidP="00000000" w:rsidRDefault="00000000" w:rsidRPr="00000000" w14:paraId="0000001A">
            <w:pPr>
              <w:spacing w:line="240" w:lineRule="auto"/>
              <w:jc w:val="center"/>
              <w:rPr/>
            </w:pPr>
            <w:r w:rsidDel="00000000" w:rsidR="00000000" w:rsidRPr="00000000">
              <w:rPr>
                <w:sz w:val="24"/>
                <w:szCs w:val="24"/>
                <w:rtl w:val="0"/>
              </w:rPr>
              <w:t xml:space="preserve">1.29</w:t>
            </w:r>
            <w:r w:rsidDel="00000000" w:rsidR="00000000" w:rsidRPr="00000000">
              <w:rPr>
                <w:rtl w:val="0"/>
              </w:rPr>
            </w:r>
          </w:p>
        </w:tc>
        <w:tc>
          <w:tcPr>
            <w:tcMar>
              <w:top w:w="20.0" w:type="dxa"/>
              <w:left w:w="20.0" w:type="dxa"/>
              <w:bottom w:w="100.0" w:type="dxa"/>
              <w:right w:w="20.0" w:type="dxa"/>
            </w:tcMar>
            <w:vAlign w:val="bottom"/>
          </w:tcPr>
          <w:p w:rsidR="00000000" w:rsidDel="00000000" w:rsidP="00000000" w:rsidRDefault="00000000" w:rsidRPr="00000000" w14:paraId="0000001B">
            <w:pPr>
              <w:spacing w:line="240" w:lineRule="auto"/>
              <w:jc w:val="center"/>
              <w:rPr>
                <w:sz w:val="24"/>
                <w:szCs w:val="24"/>
              </w:rPr>
            </w:pPr>
            <w:r w:rsidDel="00000000" w:rsidR="00000000" w:rsidRPr="00000000">
              <w:rPr>
                <w:sz w:val="24"/>
                <w:szCs w:val="24"/>
                <w:rtl w:val="0"/>
              </w:rPr>
              <w:t xml:space="preserve">1.07-1.57</w:t>
            </w:r>
          </w:p>
        </w:tc>
        <w:tc>
          <w:tcPr>
            <w:tcMar>
              <w:top w:w="20.0" w:type="dxa"/>
              <w:left w:w="20.0" w:type="dxa"/>
              <w:bottom w:w="100.0" w:type="dxa"/>
              <w:right w:w="20.0" w:type="dxa"/>
            </w:tcMar>
            <w:vAlign w:val="bottom"/>
          </w:tcPr>
          <w:p w:rsidR="00000000" w:rsidDel="00000000" w:rsidP="00000000" w:rsidRDefault="00000000" w:rsidRPr="00000000" w14:paraId="0000001C">
            <w:pPr>
              <w:spacing w:line="240" w:lineRule="auto"/>
              <w:jc w:val="center"/>
              <w:rPr>
                <w:sz w:val="24"/>
                <w:szCs w:val="24"/>
                <w:vertAlign w:val="superscript"/>
              </w:rPr>
            </w:pPr>
            <w:r w:rsidDel="00000000" w:rsidR="00000000" w:rsidRPr="00000000">
              <w:rPr>
                <w:sz w:val="24"/>
                <w:szCs w:val="24"/>
                <w:rtl w:val="0"/>
              </w:rPr>
              <w:t xml:space="preserve">8.90x10</w:t>
            </w:r>
            <w:r w:rsidDel="00000000" w:rsidR="00000000" w:rsidRPr="00000000">
              <w:rPr>
                <w:sz w:val="24"/>
                <w:szCs w:val="24"/>
                <w:vertAlign w:val="superscript"/>
                <w:rtl w:val="0"/>
              </w:rPr>
              <w:t xml:space="preserve">-3</w:t>
            </w:r>
          </w:p>
        </w:tc>
        <w:tc>
          <w:tcPr>
            <w:vMerge w:val="continue"/>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jc w:val="center"/>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right"/>
              <w:rPr>
                <w:b w:val="1"/>
                <w:bCs w:val="1"/>
              </w:rPr>
            </w:pPr>
            <w:r w:rsidDel="00000000" w:rsidR="00000000" w:rsidRPr="00000000">
              <w:rPr>
                <w:b w:val="1"/>
                <w:bCs w:val="1"/>
                <w:rtl w:val="0"/>
              </w:rPr>
              <w:t xml:space="preserve">UKIBDGC - dataset 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jc w:val="center"/>
              <w:rPr/>
            </w:pPr>
            <w:r w:rsidDel="00000000" w:rsidR="00000000" w:rsidRPr="00000000">
              <w:rPr>
                <w:rtl w:val="0"/>
              </w:rPr>
              <w:t xml:space="preserve">1,499/2,615</w:t>
            </w:r>
          </w:p>
        </w:tc>
        <w:tc>
          <w:tcPr>
            <w:tcMar>
              <w:top w:w="20.0" w:type="dxa"/>
              <w:left w:w="20.0" w:type="dxa"/>
              <w:bottom w:w="100.0" w:type="dxa"/>
              <w:right w:w="20.0" w:type="dxa"/>
            </w:tcMar>
            <w:vAlign w:val="bottom"/>
          </w:tcPr>
          <w:p w:rsidR="00000000" w:rsidDel="00000000" w:rsidP="00000000" w:rsidRDefault="00000000" w:rsidRPr="00000000" w14:paraId="00000020">
            <w:pPr>
              <w:spacing w:line="240" w:lineRule="auto"/>
              <w:jc w:val="center"/>
              <w:rPr/>
            </w:pPr>
            <w:r w:rsidDel="00000000" w:rsidR="00000000" w:rsidRPr="00000000">
              <w:rPr>
                <w:sz w:val="24"/>
                <w:szCs w:val="24"/>
                <w:rtl w:val="0"/>
              </w:rPr>
              <w:t xml:space="preserve">1.23</w:t>
            </w:r>
            <w:r w:rsidDel="00000000" w:rsidR="00000000" w:rsidRPr="00000000">
              <w:rPr>
                <w:rtl w:val="0"/>
              </w:rPr>
            </w:r>
          </w:p>
        </w:tc>
        <w:tc>
          <w:tcPr>
            <w:tcMar>
              <w:top w:w="20.0" w:type="dxa"/>
              <w:left w:w="20.0" w:type="dxa"/>
              <w:bottom w:w="100.0" w:type="dxa"/>
              <w:right w:w="20.0" w:type="dxa"/>
            </w:tcMar>
            <w:vAlign w:val="bottom"/>
          </w:tcPr>
          <w:p w:rsidR="00000000" w:rsidDel="00000000" w:rsidP="00000000" w:rsidRDefault="00000000" w:rsidRPr="00000000" w14:paraId="00000021">
            <w:pPr>
              <w:spacing w:line="240" w:lineRule="auto"/>
              <w:jc w:val="center"/>
              <w:rPr>
                <w:sz w:val="24"/>
                <w:szCs w:val="24"/>
              </w:rPr>
            </w:pPr>
            <w:r w:rsidDel="00000000" w:rsidR="00000000" w:rsidRPr="00000000">
              <w:rPr>
                <w:sz w:val="24"/>
                <w:szCs w:val="24"/>
                <w:rtl w:val="0"/>
              </w:rPr>
              <w:t xml:space="preserve">1.11-1.36</w:t>
            </w:r>
          </w:p>
        </w:tc>
        <w:tc>
          <w:tcPr>
            <w:tcMar>
              <w:top w:w="20.0" w:type="dxa"/>
              <w:left w:w="20.0" w:type="dxa"/>
              <w:bottom w:w="100.0" w:type="dxa"/>
              <w:right w:w="20.0" w:type="dxa"/>
            </w:tcMar>
            <w:vAlign w:val="bottom"/>
          </w:tcPr>
          <w:p w:rsidR="00000000" w:rsidDel="00000000" w:rsidP="00000000" w:rsidRDefault="00000000" w:rsidRPr="00000000" w14:paraId="00000022">
            <w:pPr>
              <w:spacing w:line="240" w:lineRule="auto"/>
              <w:jc w:val="center"/>
              <w:rPr>
                <w:sz w:val="24"/>
                <w:szCs w:val="24"/>
                <w:vertAlign w:val="superscript"/>
              </w:rPr>
            </w:pPr>
            <w:r w:rsidDel="00000000" w:rsidR="00000000" w:rsidRPr="00000000">
              <w:rPr>
                <w:sz w:val="24"/>
                <w:szCs w:val="24"/>
                <w:rtl w:val="0"/>
              </w:rPr>
              <w:t xml:space="preserve">1.16x10</w:t>
            </w:r>
            <w:r w:rsidDel="00000000" w:rsidR="00000000" w:rsidRPr="00000000">
              <w:rPr>
                <w:sz w:val="24"/>
                <w:szCs w:val="24"/>
                <w:vertAlign w:val="superscript"/>
                <w:rtl w:val="0"/>
              </w:rPr>
              <w:t xml:space="preserve">-4</w:t>
            </w:r>
          </w:p>
        </w:tc>
        <w:tc>
          <w:tcPr>
            <w:vMerge w:val="continue"/>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right"/>
              <w:rPr>
                <w:b w:val="1"/>
                <w:bCs w:val="1"/>
              </w:rPr>
            </w:pPr>
            <w:r w:rsidDel="00000000" w:rsidR="00000000" w:rsidRPr="00000000">
              <w:rPr>
                <w:b w:val="1"/>
                <w:bCs w:val="1"/>
                <w:rtl w:val="0"/>
              </w:rPr>
              <w:t xml:space="preserve">Meta-analysis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jc w:val="center"/>
              <w:rPr/>
            </w:pPr>
            <w:r w:rsidDel="00000000" w:rsidR="00000000" w:rsidRPr="00000000">
              <w:rPr>
                <w:rtl w:val="0"/>
              </w:rPr>
              <w:t xml:space="preserve">7,269/11,689</w:t>
            </w:r>
          </w:p>
        </w:tc>
        <w:tc>
          <w:tcPr>
            <w:tcMar>
              <w:top w:w="20.0" w:type="dxa"/>
              <w:left w:w="20.0" w:type="dxa"/>
              <w:bottom w:w="100.0" w:type="dxa"/>
              <w:right w:w="20.0" w:type="dxa"/>
            </w:tcMar>
            <w:vAlign w:val="bottom"/>
          </w:tcPr>
          <w:p w:rsidR="00000000" w:rsidDel="00000000" w:rsidP="00000000" w:rsidRDefault="00000000" w:rsidRPr="00000000" w14:paraId="00000026">
            <w:pPr>
              <w:spacing w:line="240" w:lineRule="auto"/>
              <w:jc w:val="center"/>
              <w:rPr/>
            </w:pPr>
            <w:r w:rsidDel="00000000" w:rsidR="00000000" w:rsidRPr="00000000">
              <w:rPr>
                <w:sz w:val="24"/>
                <w:szCs w:val="24"/>
                <w:rtl w:val="0"/>
              </w:rPr>
              <w:t xml:space="preserve">1.15</w:t>
            </w:r>
            <w:r w:rsidDel="00000000" w:rsidR="00000000" w:rsidRPr="00000000">
              <w:rPr>
                <w:rtl w:val="0"/>
              </w:rPr>
            </w:r>
          </w:p>
        </w:tc>
        <w:tc>
          <w:tcPr>
            <w:tcMar>
              <w:top w:w="20.0" w:type="dxa"/>
              <w:left w:w="20.0" w:type="dxa"/>
              <w:bottom w:w="100.0" w:type="dxa"/>
              <w:right w:w="20.0" w:type="dxa"/>
            </w:tcMar>
            <w:vAlign w:val="bottom"/>
          </w:tcPr>
          <w:p w:rsidR="00000000" w:rsidDel="00000000" w:rsidP="00000000" w:rsidRDefault="00000000" w:rsidRPr="00000000" w14:paraId="00000027">
            <w:pPr>
              <w:spacing w:line="240" w:lineRule="auto"/>
              <w:jc w:val="center"/>
              <w:rPr>
                <w:sz w:val="24"/>
                <w:szCs w:val="24"/>
              </w:rPr>
            </w:pPr>
            <w:r w:rsidDel="00000000" w:rsidR="00000000" w:rsidRPr="00000000">
              <w:rPr>
                <w:sz w:val="24"/>
                <w:szCs w:val="24"/>
                <w:rtl w:val="0"/>
              </w:rPr>
              <w:t xml:space="preserve">1.10-1.20</w:t>
            </w:r>
          </w:p>
        </w:tc>
        <w:tc>
          <w:tcPr>
            <w:tcMar>
              <w:top w:w="20.0" w:type="dxa"/>
              <w:left w:w="20.0" w:type="dxa"/>
              <w:bottom w:w="100.0" w:type="dxa"/>
              <w:right w:w="20.0" w:type="dxa"/>
            </w:tcMar>
            <w:vAlign w:val="bottom"/>
          </w:tcPr>
          <w:p w:rsidR="00000000" w:rsidDel="00000000" w:rsidP="00000000" w:rsidRDefault="00000000" w:rsidRPr="00000000" w14:paraId="00000028">
            <w:pPr>
              <w:spacing w:line="240" w:lineRule="auto"/>
              <w:jc w:val="center"/>
              <w:rPr>
                <w:sz w:val="24"/>
                <w:szCs w:val="24"/>
                <w:vertAlign w:val="superscript"/>
              </w:rPr>
            </w:pPr>
            <w:r w:rsidDel="00000000" w:rsidR="00000000" w:rsidRPr="00000000">
              <w:rPr>
                <w:sz w:val="24"/>
                <w:szCs w:val="24"/>
                <w:rtl w:val="0"/>
              </w:rPr>
              <w:t xml:space="preserve">2.41x10</w:t>
            </w:r>
            <w:r w:rsidDel="00000000" w:rsidR="00000000" w:rsidRPr="00000000">
              <w:rPr>
                <w:sz w:val="24"/>
                <w:szCs w:val="24"/>
                <w:vertAlign w:val="superscript"/>
                <w:rtl w:val="0"/>
              </w:rPr>
              <w:t xml:space="preserve">-9</w:t>
            </w:r>
          </w:p>
        </w:tc>
        <w:tc>
          <w:tcPr>
            <w:tcBorders>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29">
            <w:pPr>
              <w:spacing w:line="240" w:lineRule="auto"/>
              <w:jc w:val="center"/>
              <w:rPr>
                <w:vertAlign w:val="superscript"/>
              </w:rPr>
            </w:pPr>
            <w:r w:rsidDel="00000000" w:rsidR="00000000" w:rsidRPr="00000000">
              <w:rPr>
                <w:rtl w:val="0"/>
              </w:rPr>
              <w:t xml:space="preserve">1.39x10</w:t>
            </w:r>
            <w:r w:rsidDel="00000000" w:rsidR="00000000" w:rsidRPr="00000000">
              <w:rPr>
                <w:vertAlign w:val="superscript"/>
                <w:rtl w:val="0"/>
              </w:rPr>
              <w:t xml:space="preserve">-1</w:t>
            </w:r>
          </w:p>
        </w:tc>
      </w:tr>
      <w:tr>
        <w:trPr>
          <w:cantSplit w:val="0"/>
          <w:trHeight w:val="420" w:hRule="atLeast"/>
          <w:tblHeader w:val="0"/>
        </w:trPr>
        <w:tc>
          <w:tcPr>
            <w:gridSpan w:val="6"/>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rPr>
                <w:b w:val="1"/>
                <w:bCs w:val="1"/>
              </w:rPr>
            </w:pPr>
            <w:r w:rsidDel="00000000" w:rsidR="00000000" w:rsidRPr="00000000">
              <w:rPr>
                <w:b w:val="1"/>
                <w:bCs w:val="1"/>
                <w:rtl w:val="0"/>
              </w:rPr>
              <w:t xml:space="preserve">UC severity (severe v.s. mild), covariates: 4 PCs and sex</w:t>
            </w:r>
          </w:p>
        </w:tc>
      </w:tr>
      <w:tr>
        <w:trPr>
          <w:cantSplit w:val="0"/>
          <w:trHeight w:val="420" w:hRule="atLeast"/>
          <w:tblHeader w:val="0"/>
        </w:trPr>
        <w:tc>
          <w:tcPr>
            <w:tcBorders>
              <w:top w:color="000000" w:space="0" w:sz="12" w:val="single"/>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right"/>
              <w:rPr>
                <w:b w:val="1"/>
                <w:bCs w:val="1"/>
              </w:rPr>
            </w:pPr>
            <w:r w:rsidDel="00000000" w:rsidR="00000000" w:rsidRPr="00000000">
              <w:rPr>
                <w:b w:val="1"/>
                <w:bCs w:val="1"/>
                <w:rtl w:val="0"/>
              </w:rPr>
              <w:t xml:space="preserve">IBDBR</w:t>
            </w:r>
          </w:p>
        </w:tc>
        <w:tc>
          <w:tcPr>
            <w:tcBorders>
              <w:top w:color="000000" w:space="0" w:sz="12" w:val="single"/>
            </w:tcBorders>
            <w:tcMar>
              <w:top w:w="20.0" w:type="dxa"/>
              <w:left w:w="20.0" w:type="dxa"/>
              <w:bottom w:w="100.0" w:type="dxa"/>
              <w:right w:w="20.0" w:type="dxa"/>
            </w:tcMar>
            <w:vAlign w:val="center"/>
          </w:tcPr>
          <w:p w:rsidR="00000000" w:rsidDel="00000000" w:rsidP="00000000" w:rsidRDefault="00000000" w:rsidRPr="00000000" w14:paraId="00000031">
            <w:pPr>
              <w:widowControl w:val="0"/>
              <w:spacing w:line="240" w:lineRule="auto"/>
              <w:jc w:val="center"/>
              <w:rPr>
                <w:sz w:val="24"/>
                <w:szCs w:val="24"/>
              </w:rPr>
            </w:pPr>
            <w:r w:rsidDel="00000000" w:rsidR="00000000" w:rsidRPr="00000000">
              <w:rPr>
                <w:sz w:val="24"/>
                <w:szCs w:val="24"/>
                <w:rtl w:val="0"/>
              </w:rPr>
              <w:t xml:space="preserve">7,604/3,475</w:t>
            </w:r>
          </w:p>
        </w:tc>
        <w:tc>
          <w:tcPr>
            <w:tcMar>
              <w:top w:w="20.0" w:type="dxa"/>
              <w:left w:w="20.0" w:type="dxa"/>
              <w:bottom w:w="100.0" w:type="dxa"/>
              <w:right w:w="20.0" w:type="dxa"/>
            </w:tcMar>
            <w:vAlign w:val="center"/>
          </w:tcPr>
          <w:p w:rsidR="00000000" w:rsidDel="00000000" w:rsidP="00000000" w:rsidRDefault="00000000" w:rsidRPr="00000000" w14:paraId="00000032">
            <w:pPr>
              <w:widowControl w:val="0"/>
              <w:spacing w:line="240" w:lineRule="auto"/>
              <w:jc w:val="center"/>
              <w:rPr>
                <w:sz w:val="24"/>
                <w:szCs w:val="24"/>
              </w:rPr>
            </w:pPr>
            <w:r w:rsidDel="00000000" w:rsidR="00000000" w:rsidRPr="00000000">
              <w:rPr>
                <w:sz w:val="24"/>
                <w:szCs w:val="24"/>
                <w:rtl w:val="0"/>
              </w:rPr>
              <w:t xml:space="preserve">0.84</w:t>
            </w:r>
          </w:p>
        </w:tc>
        <w:tc>
          <w:tcPr>
            <w:tcMar>
              <w:top w:w="20.0" w:type="dxa"/>
              <w:left w:w="20.0" w:type="dxa"/>
              <w:bottom w:w="100.0" w:type="dxa"/>
              <w:right w:w="20.0" w:type="dxa"/>
            </w:tcMar>
            <w:vAlign w:val="center"/>
          </w:tcPr>
          <w:p w:rsidR="00000000" w:rsidDel="00000000" w:rsidP="00000000" w:rsidRDefault="00000000" w:rsidRPr="00000000" w14:paraId="00000033">
            <w:pPr>
              <w:widowControl w:val="0"/>
              <w:spacing w:line="240" w:lineRule="auto"/>
              <w:jc w:val="center"/>
              <w:rPr>
                <w:sz w:val="24"/>
                <w:szCs w:val="24"/>
              </w:rPr>
            </w:pPr>
            <w:r w:rsidDel="00000000" w:rsidR="00000000" w:rsidRPr="00000000">
              <w:rPr>
                <w:sz w:val="24"/>
                <w:szCs w:val="24"/>
                <w:rtl w:val="0"/>
              </w:rPr>
              <w:t xml:space="preserve">0.79-0.89</w:t>
            </w:r>
          </w:p>
        </w:tc>
        <w:tc>
          <w:tcPr>
            <w:tcMar>
              <w:top w:w="20.0" w:type="dxa"/>
              <w:left w:w="20.0" w:type="dxa"/>
              <w:bottom w:w="100.0" w:type="dxa"/>
              <w:right w:w="20.0" w:type="dxa"/>
            </w:tcMar>
            <w:vAlign w:val="center"/>
          </w:tcPr>
          <w:p w:rsidR="00000000" w:rsidDel="00000000" w:rsidP="00000000" w:rsidRDefault="00000000" w:rsidRPr="00000000" w14:paraId="00000034">
            <w:pPr>
              <w:widowControl w:val="0"/>
              <w:spacing w:line="240" w:lineRule="auto"/>
              <w:jc w:val="center"/>
              <w:rPr>
                <w:sz w:val="24"/>
                <w:szCs w:val="24"/>
                <w:vertAlign w:val="superscript"/>
              </w:rPr>
            </w:pPr>
            <w:r w:rsidDel="00000000" w:rsidR="00000000" w:rsidRPr="00000000">
              <w:rPr>
                <w:sz w:val="24"/>
                <w:szCs w:val="24"/>
                <w:rtl w:val="0"/>
              </w:rPr>
              <w:t xml:space="preserve">2.64x10</w:t>
            </w:r>
            <w:r w:rsidDel="00000000" w:rsidR="00000000" w:rsidRPr="00000000">
              <w:rPr>
                <w:sz w:val="24"/>
                <w:szCs w:val="24"/>
                <w:vertAlign w:val="superscript"/>
                <w:rtl w:val="0"/>
              </w:rPr>
              <w:t xml:space="preserve">-8</w:t>
            </w:r>
          </w:p>
        </w:tc>
        <w:tc>
          <w:tcPr>
            <w:vMerge w:val="restart"/>
            <w:tcBorders>
              <w:top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sz w:val="24"/>
                <w:szCs w:val="24"/>
              </w:rPr>
            </w:pPr>
            <w:r w:rsidDel="00000000" w:rsidR="00000000" w:rsidRPr="00000000">
              <w:rPr>
                <w:sz w:val="24"/>
                <w:szCs w:val="24"/>
                <w:rtl w:val="0"/>
              </w:rPr>
              <w:t xml:space="preserve">NA</w:t>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right"/>
              <w:rPr>
                <w:b w:val="1"/>
                <w:bCs w:val="1"/>
              </w:rPr>
            </w:pPr>
            <w:r w:rsidDel="00000000" w:rsidR="00000000" w:rsidRPr="00000000">
              <w:rPr>
                <w:b w:val="1"/>
                <w:bCs w:val="1"/>
                <w:rtl w:val="0"/>
              </w:rPr>
              <w:t xml:space="preserve">UKIBDGC - dataset 2</w:t>
            </w:r>
          </w:p>
        </w:tc>
        <w:tc>
          <w:tcPr>
            <w:tcMar>
              <w:top w:w="20.0" w:type="dxa"/>
              <w:left w:w="20.0" w:type="dxa"/>
              <w:bottom w:w="100.0" w:type="dxa"/>
              <w:right w:w="20.0" w:type="dxa"/>
            </w:tcMar>
            <w:vAlign w:val="center"/>
          </w:tcPr>
          <w:p w:rsidR="00000000" w:rsidDel="00000000" w:rsidP="00000000" w:rsidRDefault="00000000" w:rsidRPr="00000000" w14:paraId="00000037">
            <w:pPr>
              <w:widowControl w:val="0"/>
              <w:spacing w:line="240" w:lineRule="auto"/>
              <w:jc w:val="center"/>
              <w:rPr>
                <w:sz w:val="24"/>
                <w:szCs w:val="24"/>
              </w:rPr>
            </w:pPr>
            <w:r w:rsidDel="00000000" w:rsidR="00000000" w:rsidRPr="00000000">
              <w:rPr>
                <w:sz w:val="24"/>
                <w:szCs w:val="24"/>
                <w:rtl w:val="0"/>
              </w:rPr>
              <w:t xml:space="preserve">282/347</w:t>
            </w:r>
          </w:p>
        </w:tc>
        <w:tc>
          <w:tcPr>
            <w:tcMar>
              <w:top w:w="20.0" w:type="dxa"/>
              <w:left w:w="20.0" w:type="dxa"/>
              <w:bottom w:w="100.0" w:type="dxa"/>
              <w:right w:w="20.0" w:type="dxa"/>
            </w:tcMar>
            <w:vAlign w:val="center"/>
          </w:tcPr>
          <w:p w:rsidR="00000000" w:rsidDel="00000000" w:rsidP="00000000" w:rsidRDefault="00000000" w:rsidRPr="00000000" w14:paraId="00000038">
            <w:pPr>
              <w:widowControl w:val="0"/>
              <w:spacing w:line="240" w:lineRule="auto"/>
              <w:jc w:val="center"/>
              <w:rPr>
                <w:sz w:val="24"/>
                <w:szCs w:val="24"/>
              </w:rPr>
            </w:pPr>
            <w:r w:rsidDel="00000000" w:rsidR="00000000" w:rsidRPr="00000000">
              <w:rPr>
                <w:sz w:val="24"/>
                <w:szCs w:val="24"/>
                <w:rtl w:val="0"/>
              </w:rPr>
              <w:t xml:space="preserve">0.50</w:t>
            </w:r>
          </w:p>
        </w:tc>
        <w:tc>
          <w:tcPr>
            <w:tcMar>
              <w:top w:w="20.0" w:type="dxa"/>
              <w:left w:w="20.0" w:type="dxa"/>
              <w:bottom w:w="100.0" w:type="dxa"/>
              <w:right w:w="20.0" w:type="dxa"/>
            </w:tcMar>
            <w:vAlign w:val="center"/>
          </w:tcPr>
          <w:p w:rsidR="00000000" w:rsidDel="00000000" w:rsidP="00000000" w:rsidRDefault="00000000" w:rsidRPr="00000000" w14:paraId="00000039">
            <w:pPr>
              <w:widowControl w:val="0"/>
              <w:spacing w:line="240" w:lineRule="auto"/>
              <w:jc w:val="center"/>
              <w:rPr>
                <w:sz w:val="24"/>
                <w:szCs w:val="24"/>
              </w:rPr>
            </w:pPr>
            <w:r w:rsidDel="00000000" w:rsidR="00000000" w:rsidRPr="00000000">
              <w:rPr>
                <w:sz w:val="24"/>
                <w:szCs w:val="24"/>
                <w:rtl w:val="0"/>
              </w:rPr>
              <w:t xml:space="preserve">0.37-0.67</w:t>
            </w:r>
          </w:p>
        </w:tc>
        <w:tc>
          <w:tcPr>
            <w:tcMar>
              <w:top w:w="20.0" w:type="dxa"/>
              <w:left w:w="20.0" w:type="dxa"/>
              <w:bottom w:w="100.0" w:type="dxa"/>
              <w:right w:w="20.0" w:type="dxa"/>
            </w:tcMar>
            <w:vAlign w:val="center"/>
          </w:tcPr>
          <w:p w:rsidR="00000000" w:rsidDel="00000000" w:rsidP="00000000" w:rsidRDefault="00000000" w:rsidRPr="00000000" w14:paraId="0000003A">
            <w:pPr>
              <w:widowControl w:val="0"/>
              <w:spacing w:line="240" w:lineRule="auto"/>
              <w:jc w:val="center"/>
              <w:rPr>
                <w:sz w:val="24"/>
                <w:szCs w:val="24"/>
                <w:vertAlign w:val="superscript"/>
              </w:rPr>
            </w:pPr>
            <w:r w:rsidDel="00000000" w:rsidR="00000000" w:rsidRPr="00000000">
              <w:rPr>
                <w:sz w:val="24"/>
                <w:szCs w:val="24"/>
                <w:rtl w:val="0"/>
              </w:rPr>
              <w:t xml:space="preserve">5.44x10</w:t>
            </w:r>
            <w:r w:rsidDel="00000000" w:rsidR="00000000" w:rsidRPr="00000000">
              <w:rPr>
                <w:sz w:val="24"/>
                <w:szCs w:val="24"/>
                <w:vertAlign w:val="superscript"/>
                <w:rtl w:val="0"/>
              </w:rPr>
              <w:t xml:space="preserve">-6</w:t>
            </w:r>
          </w:p>
        </w:tc>
        <w:tc>
          <w:tcPr>
            <w:vMerge w:val="continue"/>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right"/>
              <w:rPr>
                <w:b w:val="1"/>
                <w:bCs w:val="1"/>
              </w:rPr>
            </w:pPr>
            <w:r w:rsidDel="00000000" w:rsidR="00000000" w:rsidRPr="00000000">
              <w:rPr>
                <w:b w:val="1"/>
                <w:bCs w:val="1"/>
                <w:rtl w:val="0"/>
              </w:rPr>
              <w:t xml:space="preserve">UKIBDGC - dataset 3</w:t>
            </w:r>
          </w:p>
        </w:tc>
        <w:tc>
          <w:tcPr>
            <w:tcMar>
              <w:top w:w="20.0" w:type="dxa"/>
              <w:left w:w="20.0" w:type="dxa"/>
              <w:bottom w:w="100.0" w:type="dxa"/>
              <w:right w:w="20.0" w:type="dxa"/>
            </w:tcMar>
            <w:vAlign w:val="center"/>
          </w:tcPr>
          <w:p w:rsidR="00000000" w:rsidDel="00000000" w:rsidP="00000000" w:rsidRDefault="00000000" w:rsidRPr="00000000" w14:paraId="0000003D">
            <w:pPr>
              <w:widowControl w:val="0"/>
              <w:spacing w:line="240" w:lineRule="auto"/>
              <w:jc w:val="center"/>
              <w:rPr>
                <w:sz w:val="24"/>
                <w:szCs w:val="24"/>
              </w:rPr>
            </w:pPr>
            <w:r w:rsidDel="00000000" w:rsidR="00000000" w:rsidRPr="00000000">
              <w:rPr>
                <w:sz w:val="24"/>
                <w:szCs w:val="24"/>
                <w:rtl w:val="0"/>
              </w:rPr>
              <w:t xml:space="preserve">443/570</w:t>
            </w:r>
          </w:p>
        </w:tc>
        <w:tc>
          <w:tcPr>
            <w:tcMar>
              <w:top w:w="20.0" w:type="dxa"/>
              <w:left w:w="20.0" w:type="dxa"/>
              <w:bottom w:w="100.0" w:type="dxa"/>
              <w:right w:w="20.0" w:type="dxa"/>
            </w:tcMar>
            <w:vAlign w:val="center"/>
          </w:tcPr>
          <w:p w:rsidR="00000000" w:rsidDel="00000000" w:rsidP="00000000" w:rsidRDefault="00000000" w:rsidRPr="00000000" w14:paraId="0000003E">
            <w:pPr>
              <w:widowControl w:val="0"/>
              <w:spacing w:line="240" w:lineRule="auto"/>
              <w:jc w:val="center"/>
              <w:rPr>
                <w:sz w:val="24"/>
                <w:szCs w:val="24"/>
              </w:rPr>
            </w:pPr>
            <w:r w:rsidDel="00000000" w:rsidR="00000000" w:rsidRPr="00000000">
              <w:rPr>
                <w:sz w:val="24"/>
                <w:szCs w:val="24"/>
                <w:rtl w:val="0"/>
              </w:rPr>
              <w:t xml:space="preserve">0.76</w:t>
            </w:r>
          </w:p>
        </w:tc>
        <w:tc>
          <w:tcPr>
            <w:tcMar>
              <w:top w:w="20.0" w:type="dxa"/>
              <w:left w:w="20.0" w:type="dxa"/>
              <w:bottom w:w="100.0" w:type="dxa"/>
              <w:right w:w="20.0" w:type="dxa"/>
            </w:tcMar>
            <w:vAlign w:val="center"/>
          </w:tcPr>
          <w:p w:rsidR="00000000" w:rsidDel="00000000" w:rsidP="00000000" w:rsidRDefault="00000000" w:rsidRPr="00000000" w14:paraId="0000003F">
            <w:pPr>
              <w:widowControl w:val="0"/>
              <w:spacing w:line="240" w:lineRule="auto"/>
              <w:jc w:val="center"/>
              <w:rPr>
                <w:sz w:val="24"/>
                <w:szCs w:val="24"/>
              </w:rPr>
            </w:pPr>
            <w:r w:rsidDel="00000000" w:rsidR="00000000" w:rsidRPr="00000000">
              <w:rPr>
                <w:sz w:val="24"/>
                <w:szCs w:val="24"/>
                <w:rtl w:val="0"/>
              </w:rPr>
              <w:t xml:space="preserve">0.61-0.94</w:t>
            </w:r>
          </w:p>
        </w:tc>
        <w:tc>
          <w:tcPr>
            <w:tcMar>
              <w:top w:w="20.0" w:type="dxa"/>
              <w:left w:w="20.0" w:type="dxa"/>
              <w:bottom w:w="100.0" w:type="dxa"/>
              <w:right w:w="20.0" w:type="dxa"/>
            </w:tcMar>
            <w:vAlign w:val="center"/>
          </w:tcPr>
          <w:p w:rsidR="00000000" w:rsidDel="00000000" w:rsidP="00000000" w:rsidRDefault="00000000" w:rsidRPr="00000000" w14:paraId="00000040">
            <w:pPr>
              <w:widowControl w:val="0"/>
              <w:spacing w:line="240" w:lineRule="auto"/>
              <w:jc w:val="center"/>
              <w:rPr>
                <w:sz w:val="24"/>
                <w:szCs w:val="24"/>
                <w:vertAlign w:val="superscript"/>
              </w:rPr>
            </w:pPr>
            <w:r w:rsidDel="00000000" w:rsidR="00000000" w:rsidRPr="00000000">
              <w:rPr>
                <w:sz w:val="24"/>
                <w:szCs w:val="24"/>
                <w:rtl w:val="0"/>
              </w:rPr>
              <w:t xml:space="preserve">1.17x10</w:t>
            </w:r>
            <w:r w:rsidDel="00000000" w:rsidR="00000000" w:rsidRPr="00000000">
              <w:rPr>
                <w:sz w:val="24"/>
                <w:szCs w:val="24"/>
                <w:vertAlign w:val="superscript"/>
                <w:rtl w:val="0"/>
              </w:rPr>
              <w:t xml:space="preserve">-2</w:t>
            </w:r>
          </w:p>
        </w:tc>
        <w:tc>
          <w:tcPr>
            <w:vMerge w:val="continue"/>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right"/>
              <w:rPr>
                <w:b w:val="1"/>
                <w:bCs w:val="1"/>
              </w:rPr>
            </w:pPr>
            <w:r w:rsidDel="00000000" w:rsidR="00000000" w:rsidRPr="00000000">
              <w:rPr>
                <w:b w:val="1"/>
                <w:bCs w:val="1"/>
                <w:rtl w:val="0"/>
              </w:rPr>
              <w:t xml:space="preserve">Meta-analysis</w:t>
            </w:r>
          </w:p>
        </w:tc>
        <w:tc>
          <w:tcPr>
            <w:tcMar>
              <w:top w:w="20.0" w:type="dxa"/>
              <w:left w:w="20.0" w:type="dxa"/>
              <w:bottom w:w="100.0" w:type="dxa"/>
              <w:right w:w="20.0" w:type="dxa"/>
            </w:tcMar>
            <w:vAlign w:val="center"/>
          </w:tcPr>
          <w:p w:rsidR="00000000" w:rsidDel="00000000" w:rsidP="00000000" w:rsidRDefault="00000000" w:rsidRPr="00000000" w14:paraId="00000043">
            <w:pPr>
              <w:widowControl w:val="0"/>
              <w:spacing w:line="240" w:lineRule="auto"/>
              <w:jc w:val="center"/>
              <w:rPr>
                <w:sz w:val="24"/>
                <w:szCs w:val="24"/>
              </w:rPr>
            </w:pPr>
            <w:r w:rsidDel="00000000" w:rsidR="00000000" w:rsidRPr="00000000">
              <w:rPr>
                <w:sz w:val="24"/>
                <w:szCs w:val="24"/>
                <w:rtl w:val="0"/>
              </w:rPr>
              <w:t xml:space="preserve">8,329/4,392</w:t>
            </w:r>
          </w:p>
        </w:tc>
        <w:tc>
          <w:tcPr>
            <w:tcMar>
              <w:top w:w="20.0" w:type="dxa"/>
              <w:left w:w="20.0" w:type="dxa"/>
              <w:bottom w:w="100.0" w:type="dxa"/>
              <w:right w:w="20.0" w:type="dxa"/>
            </w:tcMar>
            <w:vAlign w:val="center"/>
          </w:tcPr>
          <w:p w:rsidR="00000000" w:rsidDel="00000000" w:rsidP="00000000" w:rsidRDefault="00000000" w:rsidRPr="00000000" w14:paraId="00000044">
            <w:pPr>
              <w:widowControl w:val="0"/>
              <w:spacing w:line="240" w:lineRule="auto"/>
              <w:jc w:val="center"/>
              <w:rPr>
                <w:sz w:val="24"/>
                <w:szCs w:val="24"/>
              </w:rPr>
            </w:pPr>
            <w:r w:rsidDel="00000000" w:rsidR="00000000" w:rsidRPr="00000000">
              <w:rPr>
                <w:sz w:val="24"/>
                <w:szCs w:val="24"/>
                <w:rtl w:val="0"/>
              </w:rPr>
              <w:t xml:space="preserve">0.81</w:t>
            </w:r>
          </w:p>
        </w:tc>
        <w:tc>
          <w:tcPr>
            <w:tcMar>
              <w:top w:w="20.0" w:type="dxa"/>
              <w:left w:w="20.0" w:type="dxa"/>
              <w:bottom w:w="100.0" w:type="dxa"/>
              <w:right w:w="20.0" w:type="dxa"/>
            </w:tcMar>
            <w:vAlign w:val="center"/>
          </w:tcPr>
          <w:p w:rsidR="00000000" w:rsidDel="00000000" w:rsidP="00000000" w:rsidRDefault="00000000" w:rsidRPr="00000000" w14:paraId="00000045">
            <w:pPr>
              <w:widowControl w:val="0"/>
              <w:spacing w:line="240" w:lineRule="auto"/>
              <w:jc w:val="center"/>
              <w:rPr>
                <w:sz w:val="24"/>
                <w:szCs w:val="24"/>
              </w:rPr>
            </w:pPr>
            <w:r w:rsidDel="00000000" w:rsidR="00000000" w:rsidRPr="00000000">
              <w:rPr>
                <w:sz w:val="24"/>
                <w:szCs w:val="24"/>
                <w:rtl w:val="0"/>
              </w:rPr>
              <w:t xml:space="preserve">0.77-0.86</w:t>
            </w:r>
          </w:p>
        </w:tc>
        <w:tc>
          <w:tcPr>
            <w:tcMar>
              <w:top w:w="20.0" w:type="dxa"/>
              <w:left w:w="20.0" w:type="dxa"/>
              <w:bottom w:w="100.0" w:type="dxa"/>
              <w:right w:w="20.0" w:type="dxa"/>
            </w:tcMar>
            <w:vAlign w:val="center"/>
          </w:tcPr>
          <w:p w:rsidR="00000000" w:rsidDel="00000000" w:rsidP="00000000" w:rsidRDefault="00000000" w:rsidRPr="00000000" w14:paraId="00000046">
            <w:pPr>
              <w:widowControl w:val="0"/>
              <w:spacing w:line="240" w:lineRule="auto"/>
              <w:jc w:val="center"/>
              <w:rPr>
                <w:sz w:val="24"/>
                <w:szCs w:val="24"/>
                <w:vertAlign w:val="superscript"/>
              </w:rPr>
            </w:pPr>
            <w:r w:rsidDel="00000000" w:rsidR="00000000" w:rsidRPr="00000000">
              <w:rPr>
                <w:sz w:val="24"/>
                <w:szCs w:val="24"/>
                <w:rtl w:val="0"/>
              </w:rPr>
              <w:t xml:space="preserve">8.98x10</w:t>
            </w:r>
            <w:r w:rsidDel="00000000" w:rsidR="00000000" w:rsidRPr="00000000">
              <w:rPr>
                <w:sz w:val="24"/>
                <w:szCs w:val="24"/>
                <w:vertAlign w:val="superscript"/>
                <w:rtl w:val="0"/>
              </w:rPr>
              <w:t xml:space="preserve">-12</w:t>
            </w:r>
          </w:p>
        </w:tc>
        <w:tc>
          <w:tcPr>
            <w:tcBorders>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47">
            <w:pPr>
              <w:widowControl w:val="0"/>
              <w:spacing w:line="240" w:lineRule="auto"/>
              <w:jc w:val="center"/>
              <w:rPr>
                <w:sz w:val="24"/>
                <w:szCs w:val="24"/>
                <w:vertAlign w:val="superscript"/>
              </w:rPr>
            </w:pPr>
            <w:r w:rsidDel="00000000" w:rsidR="00000000" w:rsidRPr="00000000">
              <w:rPr>
                <w:sz w:val="24"/>
                <w:szCs w:val="24"/>
                <w:rtl w:val="0"/>
              </w:rPr>
              <w:t xml:space="preserve">3.28x10</w:t>
            </w:r>
            <w:r w:rsidDel="00000000" w:rsidR="00000000" w:rsidRPr="00000000">
              <w:rPr>
                <w:sz w:val="24"/>
                <w:szCs w:val="24"/>
                <w:vertAlign w:val="superscript"/>
                <w:rtl w:val="0"/>
              </w:rPr>
              <w:t xml:space="preserve">-3</w:t>
            </w:r>
          </w:p>
        </w:tc>
      </w:tr>
      <w:tr>
        <w:trPr>
          <w:cantSplit w:val="0"/>
          <w:trHeight w:val="420" w:hRule="atLeast"/>
          <w:tblHeader w:val="0"/>
        </w:trPr>
        <w:tc>
          <w:tcPr>
            <w:tcBorders>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right"/>
              <w:rPr>
                <w:b w:val="1"/>
                <w:bCs w:val="1"/>
              </w:rPr>
            </w:pPr>
            <w:r w:rsidDel="00000000" w:rsidR="00000000" w:rsidRPr="00000000">
              <w:rPr>
                <w:b w:val="1"/>
                <w:bCs w:val="1"/>
                <w:rtl w:val="0"/>
              </w:rPr>
              <w:t xml:space="preserve">Meta-analysis (colectomy v.s. no colectomy)</w:t>
            </w:r>
          </w:p>
        </w:tc>
        <w:tc>
          <w:tcPr>
            <w:tcBorders>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sz w:val="24"/>
                <w:szCs w:val="24"/>
              </w:rPr>
            </w:pPr>
            <w:r w:rsidDel="00000000" w:rsidR="00000000" w:rsidRPr="00000000">
              <w:rPr>
                <w:sz w:val="24"/>
                <w:szCs w:val="24"/>
                <w:rtl w:val="0"/>
              </w:rPr>
              <w:t xml:space="preserve">1,286/11,060</w:t>
            </w:r>
          </w:p>
        </w:tc>
        <w:tc>
          <w:tcPr>
            <w:tcBorders>
              <w:bottom w:color="000000" w:space="0" w:sz="12" w:val="single"/>
            </w:tcBorders>
            <w:tcMar>
              <w:top w:w="20.0" w:type="dxa"/>
              <w:left w:w="20.0" w:type="dxa"/>
              <w:bottom w:w="100.0" w:type="dxa"/>
              <w:right w:w="20.0" w:type="dxa"/>
            </w:tcMar>
            <w:vAlign w:val="center"/>
          </w:tcPr>
          <w:p w:rsidR="00000000" w:rsidDel="00000000" w:rsidP="00000000" w:rsidRDefault="00000000" w:rsidRPr="00000000" w14:paraId="0000004A">
            <w:pPr>
              <w:widowControl w:val="0"/>
              <w:spacing w:line="240" w:lineRule="auto"/>
              <w:jc w:val="center"/>
              <w:rPr>
                <w:sz w:val="24"/>
                <w:szCs w:val="24"/>
              </w:rPr>
            </w:pPr>
            <w:r w:rsidDel="00000000" w:rsidR="00000000" w:rsidRPr="00000000">
              <w:rPr>
                <w:sz w:val="24"/>
                <w:szCs w:val="24"/>
                <w:rtl w:val="0"/>
              </w:rPr>
              <w:t xml:space="preserve">0.69</w:t>
            </w:r>
          </w:p>
        </w:tc>
        <w:tc>
          <w:tcPr>
            <w:tcBorders>
              <w:bottom w:color="000000" w:space="0" w:sz="12" w:val="single"/>
            </w:tcBorders>
            <w:tcMar>
              <w:top w:w="20.0" w:type="dxa"/>
              <w:left w:w="20.0" w:type="dxa"/>
              <w:bottom w:w="100.0" w:type="dxa"/>
              <w:right w:w="20.0" w:type="dxa"/>
            </w:tcMar>
            <w:vAlign w:val="center"/>
          </w:tcPr>
          <w:p w:rsidR="00000000" w:rsidDel="00000000" w:rsidP="00000000" w:rsidRDefault="00000000" w:rsidRPr="00000000" w14:paraId="0000004B">
            <w:pPr>
              <w:widowControl w:val="0"/>
              <w:spacing w:line="240" w:lineRule="auto"/>
              <w:jc w:val="center"/>
              <w:rPr>
                <w:sz w:val="24"/>
                <w:szCs w:val="24"/>
              </w:rPr>
            </w:pPr>
            <w:r w:rsidDel="00000000" w:rsidR="00000000" w:rsidRPr="00000000">
              <w:rPr>
                <w:sz w:val="24"/>
                <w:szCs w:val="24"/>
                <w:rtl w:val="0"/>
              </w:rPr>
              <w:t xml:space="preserve">0.62-0.76</w:t>
            </w:r>
          </w:p>
        </w:tc>
        <w:tc>
          <w:tcPr>
            <w:tcBorders>
              <w:bottom w:color="000000" w:space="0" w:sz="12" w:val="single"/>
            </w:tcBorders>
            <w:tcMar>
              <w:top w:w="20.0" w:type="dxa"/>
              <w:left w:w="20.0" w:type="dxa"/>
              <w:bottom w:w="100.0" w:type="dxa"/>
              <w:right w:w="20.0" w:type="dxa"/>
            </w:tcMar>
            <w:vAlign w:val="center"/>
          </w:tcPr>
          <w:p w:rsidR="00000000" w:rsidDel="00000000" w:rsidP="00000000" w:rsidRDefault="00000000" w:rsidRPr="00000000" w14:paraId="0000004C">
            <w:pPr>
              <w:widowControl w:val="0"/>
              <w:spacing w:line="240" w:lineRule="auto"/>
              <w:jc w:val="center"/>
              <w:rPr>
                <w:sz w:val="24"/>
                <w:szCs w:val="24"/>
                <w:vertAlign w:val="superscript"/>
              </w:rPr>
            </w:pPr>
            <w:r w:rsidDel="00000000" w:rsidR="00000000" w:rsidRPr="00000000">
              <w:rPr>
                <w:sz w:val="24"/>
                <w:szCs w:val="24"/>
                <w:rtl w:val="0"/>
              </w:rPr>
              <w:t xml:space="preserve">6.74x10</w:t>
            </w:r>
            <w:r w:rsidDel="00000000" w:rsidR="00000000" w:rsidRPr="00000000">
              <w:rPr>
                <w:sz w:val="24"/>
                <w:szCs w:val="24"/>
                <w:vertAlign w:val="superscript"/>
                <w:rtl w:val="0"/>
              </w:rPr>
              <w:t xml:space="preserve">-12</w:t>
            </w:r>
          </w:p>
        </w:tc>
        <w:tc>
          <w:tcPr>
            <w:tcBorders>
              <w:bottom w:color="000000" w:space="0" w:sz="12" w:val="single"/>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4D">
            <w:pPr>
              <w:widowControl w:val="0"/>
              <w:spacing w:line="240" w:lineRule="auto"/>
              <w:jc w:val="center"/>
              <w:rPr>
                <w:sz w:val="24"/>
                <w:szCs w:val="24"/>
                <w:vertAlign w:val="superscript"/>
              </w:rPr>
            </w:pPr>
            <w:r w:rsidDel="00000000" w:rsidR="00000000" w:rsidRPr="00000000">
              <w:rPr>
                <w:sz w:val="24"/>
                <w:szCs w:val="24"/>
                <w:rtl w:val="0"/>
              </w:rPr>
              <w:t xml:space="preserve">1.33x10</w:t>
            </w:r>
            <w:r w:rsidDel="00000000" w:rsidR="00000000" w:rsidRPr="00000000">
              <w:rPr>
                <w:sz w:val="24"/>
                <w:szCs w:val="24"/>
                <w:vertAlign w:val="superscript"/>
                <w:rtl w:val="0"/>
              </w:rPr>
              <w:t xml:space="preserve">-1</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ectPr>
          <w:type w:val="nextPage"/>
          <w:pgSz w:h="11909" w:w="16834" w:orient="landscape"/>
          <w:pgMar w:bottom="1440" w:top="1440" w:left="1440" w:right="1440" w:header="720" w:footer="720"/>
        </w:sectPr>
      </w:pPr>
      <w:r w:rsidDel="00000000" w:rsidR="00000000" w:rsidRPr="00000000">
        <w:rPr>
          <w:rtl w:val="0"/>
        </w:rPr>
        <w:t xml:space="preserve">The UK IBDGC cohort was genotyped across three independent batches; each genotyping array batch was therefore analysed separately prior to meta-analysis.</w:t>
      </w:r>
    </w:p>
    <w:p w:rsidR="00000000" w:rsidDel="00000000" w:rsidP="00000000" w:rsidRDefault="00000000" w:rsidRPr="00000000" w14:paraId="00000050">
      <w:pPr>
        <w:rPr/>
      </w:pPr>
      <w:r w:rsidDel="00000000" w:rsidR="00000000" w:rsidRPr="00000000">
        <w:rPr/>
        <w:drawing>
          <wp:inline distB="114300" distT="114300" distL="114300" distR="114300">
            <wp:extent cx="5731200" cy="2286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Supplementary Figure 1 |</w:t>
      </w:r>
      <w:r w:rsidDel="00000000" w:rsidR="00000000" w:rsidRPr="00000000">
        <w:rPr>
          <w:rtl w:val="0"/>
        </w:rPr>
        <w:t xml:space="preserve"> Association of DQA1:p.Gln198Glu with surgical requirement in CD patients with complicated behaviour (stricturing or penetrating). Small bowel surgery was assessed in patients with ileal involvement, whereas colonic surgery was assessed in patients with colonic-only disease.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drawing>
          <wp:inline distB="114300" distT="114300" distL="114300" distR="114300">
            <wp:extent cx="5731200" cy="1828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jc w:val="both"/>
        <w:rPr/>
      </w:pPr>
      <w:r w:rsidDel="00000000" w:rsidR="00000000" w:rsidRPr="00000000">
        <w:rPr>
          <w:b w:val="1"/>
          <w:bCs w:val="1"/>
          <w:rtl w:val="0"/>
        </w:rPr>
        <w:t xml:space="preserve">Supplementary Figure 2 |</w:t>
      </w:r>
      <w:r w:rsidDel="00000000" w:rsidR="00000000" w:rsidRPr="00000000">
        <w:rPr>
          <w:rtl w:val="0"/>
        </w:rPr>
        <w:t xml:space="preserve"> Effect of </w:t>
      </w:r>
      <w:r w:rsidDel="00000000" w:rsidR="00000000" w:rsidRPr="00000000">
        <w:rPr>
          <w:i w:val="1"/>
          <w:iCs w:val="1"/>
          <w:rtl w:val="0"/>
        </w:rPr>
        <w:t xml:space="preserve">DQA1:p.Gln198Glu</w:t>
      </w:r>
      <w:r w:rsidDel="00000000" w:rsidR="00000000" w:rsidRPr="00000000">
        <w:rPr>
          <w:rtl w:val="0"/>
        </w:rPr>
        <w:t xml:space="preserve"> on disease behaviour in IBD. </w:t>
      </w:r>
      <w:r w:rsidDel="00000000" w:rsidR="00000000" w:rsidRPr="00000000">
        <w:rPr>
          <w:b w:val="1"/>
          <w:bCs w:val="1"/>
          <w:rtl w:val="0"/>
        </w:rPr>
        <w:t xml:space="preserve">a,</w:t>
      </w:r>
      <w:r w:rsidDel="00000000" w:rsidR="00000000" w:rsidRPr="00000000">
        <w:rPr>
          <w:rtl w:val="0"/>
        </w:rPr>
        <w:t xml:space="preserve"> Causal diagram illustrating the potential collider bias introduced by the study design (selection bias) when evaluating </w:t>
      </w:r>
      <w:r w:rsidDel="00000000" w:rsidR="00000000" w:rsidRPr="00000000">
        <w:rPr>
          <w:rtl w:val="0"/>
        </w:rPr>
        <w:t xml:space="preserve">separately</w:t>
      </w:r>
      <w:r w:rsidDel="00000000" w:rsidR="00000000" w:rsidRPr="00000000">
        <w:rPr>
          <w:rtl w:val="0"/>
        </w:rPr>
        <w:t xml:space="preserve"> the effect on CD and UC. </w:t>
      </w:r>
      <w:r w:rsidDel="00000000" w:rsidR="00000000" w:rsidRPr="00000000">
        <w:rPr>
          <w:b w:val="1"/>
          <w:bCs w:val="1"/>
          <w:rtl w:val="0"/>
        </w:rPr>
        <w:t xml:space="preserve">b,</w:t>
      </w:r>
      <w:r w:rsidDel="00000000" w:rsidR="00000000" w:rsidRPr="00000000">
        <w:rPr>
          <w:rtl w:val="0"/>
        </w:rPr>
        <w:t xml:space="preserve"> Effect estimates for </w:t>
      </w:r>
      <w:r w:rsidDel="00000000" w:rsidR="00000000" w:rsidRPr="00000000">
        <w:rPr>
          <w:i w:val="1"/>
          <w:iCs w:val="1"/>
          <w:rtl w:val="0"/>
        </w:rPr>
        <w:t xml:space="preserve">DQA1:p.Gln198Glu</w:t>
      </w:r>
      <w:r w:rsidDel="00000000" w:rsidR="00000000" w:rsidRPr="00000000">
        <w:rPr>
          <w:rtl w:val="0"/>
        </w:rPr>
        <w:t xml:space="preserve"> on disease behaviour across IBD from multinomial regression, with UC used as the reference group.</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5C">
      <w:pPr>
        <w:jc w:val="both"/>
        <w:rPr/>
      </w:pPr>
      <w:r w:rsidDel="00000000" w:rsidR="00000000" w:rsidRPr="00000000">
        <w:rPr/>
        <w:drawing>
          <wp:inline distB="114300" distT="114300" distL="114300" distR="114300">
            <wp:extent cx="5731200" cy="19050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both"/>
        <w:rPr/>
      </w:pPr>
      <w:r w:rsidDel="00000000" w:rsidR="00000000" w:rsidRPr="00000000">
        <w:rPr>
          <w:b w:val="1"/>
          <w:bCs w:val="1"/>
          <w:rtl w:val="0"/>
        </w:rPr>
        <w:t xml:space="preserve">Supplementary Figure 3 |</w:t>
      </w:r>
      <w:r w:rsidDel="00000000" w:rsidR="00000000" w:rsidRPr="00000000">
        <w:rPr>
          <w:rtl w:val="0"/>
        </w:rPr>
        <w:t xml:space="preserve"> Effect of smoking at diagnosis on UC severity and complicated CD behaviour.</w:t>
      </w:r>
    </w:p>
    <w:p w:rsidR="00000000" w:rsidDel="00000000" w:rsidP="00000000" w:rsidRDefault="00000000" w:rsidRPr="00000000" w14:paraId="0000005E">
      <w:pPr>
        <w:jc w:val="both"/>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