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FE51" w14:textId="77777777" w:rsidR="00376617" w:rsidRPr="00376617" w:rsidRDefault="00376617" w:rsidP="00376617">
      <w:pPr>
        <w:rPr>
          <w:b/>
          <w:bCs/>
          <w:lang w:val="en-US"/>
        </w:rPr>
      </w:pPr>
      <w:r w:rsidRPr="00376617">
        <w:rPr>
          <w:b/>
          <w:bCs/>
          <w:lang w:val="en-US"/>
        </w:rPr>
        <w:t>Supplementary materials</w:t>
      </w:r>
    </w:p>
    <w:p w14:paraId="10253063" w14:textId="77777777" w:rsidR="00376617" w:rsidRPr="00376617" w:rsidRDefault="00376617" w:rsidP="00376617">
      <w:pPr>
        <w:rPr>
          <w:lang w:val="en-US"/>
        </w:rPr>
      </w:pPr>
    </w:p>
    <w:p w14:paraId="7DBDF9F6" w14:textId="77777777" w:rsidR="00376617" w:rsidRPr="00376617" w:rsidRDefault="00376617" w:rsidP="00376617">
      <w:pPr>
        <w:rPr>
          <w:b/>
          <w:bCs/>
          <w:lang w:val="en-US"/>
        </w:rPr>
      </w:pPr>
      <w:r w:rsidRPr="00376617">
        <w:rPr>
          <w:b/>
          <w:bCs/>
          <w:lang w:val="en-US"/>
        </w:rPr>
        <w:t>Supplementary Figure S1. Ablation Experiment</w:t>
      </w:r>
    </w:p>
    <w:p w14:paraId="7C2B54D0" w14:textId="77777777" w:rsidR="00376617" w:rsidRPr="00376617" w:rsidRDefault="00376617" w:rsidP="00376617">
      <w:pPr>
        <w:rPr>
          <w:lang w:val="en-US"/>
        </w:rPr>
      </w:pPr>
    </w:p>
    <w:p w14:paraId="2561B8E8" w14:textId="77777777" w:rsidR="00376617" w:rsidRPr="00376617" w:rsidRDefault="00376617" w:rsidP="00376617">
      <w:pPr>
        <w:rPr>
          <w:lang w:val="en-US"/>
        </w:rPr>
      </w:pPr>
      <w:r w:rsidRPr="00376617">
        <w:rPr>
          <w:lang w:val="en-US"/>
        </w:rPr>
        <w:t xml:space="preserve">To verify the necessity of each key component, we conducted ablation experiments on the HUP full queue (n=54) and compared three configurations: (A) using only MAE reconstruction loss, with reconstruction error as the anomaly score; (B) Using </w:t>
      </w:r>
      <w:proofErr w:type="spellStart"/>
      <w:r w:rsidRPr="00376617">
        <w:rPr>
          <w:lang w:val="en-US"/>
        </w:rPr>
        <w:t>MAE+subject</w:t>
      </w:r>
      <w:proofErr w:type="spellEnd"/>
      <w:r w:rsidRPr="00376617">
        <w:rPr>
          <w:lang w:val="en-US"/>
        </w:rPr>
        <w:t xml:space="preserve"> comparison loss and reconstruction error as anomaly score; (C) Using </w:t>
      </w:r>
      <w:proofErr w:type="spellStart"/>
      <w:r w:rsidRPr="00376617">
        <w:rPr>
          <w:lang w:val="en-US"/>
        </w:rPr>
        <w:t>MAE+subject</w:t>
      </w:r>
      <w:proofErr w:type="spellEnd"/>
      <w:r w:rsidRPr="00376617">
        <w:rPr>
          <w:lang w:val="en-US"/>
        </w:rPr>
        <w:t xml:space="preserve"> comparison loss and </w:t>
      </w:r>
      <w:proofErr w:type="spellStart"/>
      <w:r w:rsidRPr="00376617">
        <w:rPr>
          <w:lang w:val="en-US"/>
        </w:rPr>
        <w:t>Mahalanobis</w:t>
      </w:r>
      <w:proofErr w:type="spellEnd"/>
      <w:r w:rsidRPr="00376617">
        <w:rPr>
          <w:lang w:val="en-US"/>
        </w:rPr>
        <w:t xml:space="preserve"> distance as anomaly score (method proposed in this paper).</w:t>
      </w:r>
    </w:p>
    <w:p w14:paraId="30FF742C" w14:textId="77777777" w:rsidR="00376617" w:rsidRPr="00376617" w:rsidRDefault="00376617" w:rsidP="00376617">
      <w:pPr>
        <w:rPr>
          <w:lang w:val="en-US"/>
        </w:rPr>
      </w:pPr>
    </w:p>
    <w:p w14:paraId="5318984C" w14:textId="5FAC5B6D" w:rsidR="00376617" w:rsidRPr="00376617" w:rsidRDefault="00376617" w:rsidP="00376617">
      <w:pPr>
        <w:rPr>
          <w:lang w:val="en-US"/>
        </w:rPr>
      </w:pPr>
      <w:r w:rsidRPr="00376617">
        <w:rPr>
          <w:lang w:val="en-US"/>
        </w:rPr>
        <w:drawing>
          <wp:inline distT="0" distB="0" distL="0" distR="0" wp14:anchorId="32D1CFF1" wp14:editId="2955E7DA">
            <wp:extent cx="5731510" cy="4445635"/>
            <wp:effectExtent l="0" t="0" r="2540" b="0"/>
            <wp:docPr id="174894920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76D0E" w14:textId="77777777" w:rsidR="00376617" w:rsidRPr="00376617" w:rsidRDefault="00376617" w:rsidP="00376617">
      <w:pPr>
        <w:rPr>
          <w:lang w:val="en-US"/>
        </w:rPr>
      </w:pPr>
    </w:p>
    <w:p w14:paraId="593F9CEF" w14:textId="77777777" w:rsidR="00376617" w:rsidRPr="00376617" w:rsidRDefault="00376617" w:rsidP="00376617">
      <w:pPr>
        <w:rPr>
          <w:lang w:val="en-US"/>
        </w:rPr>
      </w:pPr>
      <w:r w:rsidRPr="00376617">
        <w:rPr>
          <w:lang w:val="en-US"/>
        </w:rPr>
        <w:t xml:space="preserve">Supplementary Figure S1. Ablation Experiment. Three configurations of global AUROC on the HUP dataset (n=54). A=MAE </w:t>
      </w:r>
      <w:proofErr w:type="spellStart"/>
      <w:r w:rsidRPr="00376617">
        <w:rPr>
          <w:lang w:val="en-US"/>
        </w:rPr>
        <w:t>only+reconstruction</w:t>
      </w:r>
      <w:proofErr w:type="spellEnd"/>
      <w:r w:rsidRPr="00376617">
        <w:rPr>
          <w:lang w:val="en-US"/>
        </w:rPr>
        <w:t xml:space="preserve"> error (0.501); B=</w:t>
      </w:r>
      <w:proofErr w:type="spellStart"/>
      <w:r w:rsidRPr="00376617">
        <w:rPr>
          <w:lang w:val="en-US"/>
        </w:rPr>
        <w:t>MAE+Contrastive+reconstruction</w:t>
      </w:r>
      <w:proofErr w:type="spellEnd"/>
      <w:r w:rsidRPr="00376617">
        <w:rPr>
          <w:lang w:val="en-US"/>
        </w:rPr>
        <w:t xml:space="preserve"> error (0.631 ± 0.190); C=</w:t>
      </w:r>
      <w:proofErr w:type="spellStart"/>
      <w:r w:rsidRPr="00376617">
        <w:rPr>
          <w:lang w:val="en-US"/>
        </w:rPr>
        <w:t>MAE+Contrastive+Mahalanobis</w:t>
      </w:r>
      <w:proofErr w:type="spellEnd"/>
      <w:r w:rsidRPr="00376617">
        <w:rPr>
          <w:lang w:val="en-US"/>
        </w:rPr>
        <w:t xml:space="preserve"> distance (0.963 ± 0.055, in this article). The error bar </w:t>
      </w:r>
      <w:r w:rsidRPr="00376617">
        <w:rPr>
          <w:lang w:val="en-US"/>
        </w:rPr>
        <w:lastRenderedPageBreak/>
        <w:t xml:space="preserve">is the mean ± standard deviation (A has no standard deviation, as the results for each subject were not saved in early experiments). The orange curved arrows indicate the improvement of each </w:t>
      </w:r>
      <w:proofErr w:type="gramStart"/>
      <w:r w:rsidRPr="00376617">
        <w:rPr>
          <w:lang w:val="en-US"/>
        </w:rPr>
        <w:t>step:+</w:t>
      </w:r>
      <w:proofErr w:type="gramEnd"/>
      <w:r w:rsidRPr="00376617">
        <w:rPr>
          <w:lang w:val="en-US"/>
        </w:rPr>
        <w:t>0.130 (compared learning contribution) and+0.332 (</w:t>
      </w:r>
      <w:proofErr w:type="spellStart"/>
      <w:r w:rsidRPr="00376617">
        <w:rPr>
          <w:lang w:val="en-US"/>
        </w:rPr>
        <w:t>Mahalanobis</w:t>
      </w:r>
      <w:proofErr w:type="spellEnd"/>
      <w:r w:rsidRPr="00376617">
        <w:rPr>
          <w:lang w:val="en-US"/>
        </w:rPr>
        <w:t xml:space="preserve"> distance contribution).</w:t>
      </w:r>
    </w:p>
    <w:p w14:paraId="7874578F" w14:textId="77777777" w:rsidR="00376617" w:rsidRPr="00376617" w:rsidRDefault="00376617" w:rsidP="00376617">
      <w:pPr>
        <w:rPr>
          <w:lang w:val="en-US"/>
        </w:rPr>
      </w:pPr>
    </w:p>
    <w:p w14:paraId="225007E1" w14:textId="77777777" w:rsidR="00376617" w:rsidRPr="00376617" w:rsidRDefault="00376617" w:rsidP="00376617">
      <w:pPr>
        <w:rPr>
          <w:lang w:val="en-US"/>
        </w:rPr>
      </w:pPr>
      <w:r w:rsidRPr="00376617">
        <w:rPr>
          <w:lang w:val="en-US"/>
        </w:rPr>
        <w:t xml:space="preserve">The ablation results clearly revealed the independent contributions of two key components: (1) the subject contrastive loss increased the global AUROC from 0.501 to 0.631 (+0.130), indicating that contrastive learning improved the discriminability of the feature space; (2) Using </w:t>
      </w:r>
      <w:proofErr w:type="spellStart"/>
      <w:r w:rsidRPr="00376617">
        <w:rPr>
          <w:lang w:val="en-US"/>
        </w:rPr>
        <w:t>Mahalanobis</w:t>
      </w:r>
      <w:proofErr w:type="spellEnd"/>
      <w:r w:rsidRPr="00376617">
        <w:rPr>
          <w:lang w:val="en-US"/>
        </w:rPr>
        <w:t xml:space="preserve"> distance instead of reconstruction error as the anomaly score further increases the AUROC from 0.631 to 0.963 (+0.332), which is the main driving factor for performance improvement. This indicates that individualized multivariate statistical modeling is far superior to univariate reconstruction error threshold methods.</w:t>
      </w:r>
    </w:p>
    <w:p w14:paraId="734B112F" w14:textId="77777777" w:rsidR="00376617" w:rsidRPr="00376617" w:rsidRDefault="00376617" w:rsidP="00376617">
      <w:pPr>
        <w:rPr>
          <w:lang w:val="en-US"/>
        </w:rPr>
      </w:pPr>
    </w:p>
    <w:p w14:paraId="21DF3F19" w14:textId="77777777" w:rsidR="00376617" w:rsidRPr="00376617" w:rsidRDefault="00376617" w:rsidP="00376617">
      <w:pPr>
        <w:rPr>
          <w:b/>
          <w:bCs/>
          <w:lang w:val="en-US"/>
        </w:rPr>
      </w:pPr>
      <w:r w:rsidRPr="00376617">
        <w:rPr>
          <w:b/>
          <w:bCs/>
          <w:lang w:val="en-US"/>
        </w:rPr>
        <w:t>Supplementary Figure S2. Representative Attack Detection Sequence Diagram</w:t>
      </w:r>
    </w:p>
    <w:p w14:paraId="0C8461D9" w14:textId="77777777" w:rsidR="00376617" w:rsidRPr="00376617" w:rsidRDefault="00376617" w:rsidP="00376617">
      <w:pPr>
        <w:rPr>
          <w:lang w:val="en-US"/>
        </w:rPr>
      </w:pPr>
    </w:p>
    <w:p w14:paraId="4DAA8B69" w14:textId="77777777" w:rsidR="00376617" w:rsidRPr="00376617" w:rsidRDefault="00376617" w:rsidP="00376617">
      <w:pPr>
        <w:rPr>
          <w:lang w:val="en-US"/>
        </w:rPr>
      </w:pPr>
      <w:r w:rsidRPr="00376617">
        <w:rPr>
          <w:lang w:val="en-US"/>
        </w:rPr>
        <w:t xml:space="preserve">To visually demonstrate the working mechanism of the method, Figure S2 shows the </w:t>
      </w:r>
      <w:proofErr w:type="spellStart"/>
      <w:r w:rsidRPr="00376617">
        <w:rPr>
          <w:lang w:val="en-US"/>
        </w:rPr>
        <w:t>Mahalanobis</w:t>
      </w:r>
      <w:proofErr w:type="spellEnd"/>
      <w:r w:rsidRPr="00376617">
        <w:rPr>
          <w:lang w:val="en-US"/>
        </w:rPr>
        <w:t xml:space="preserve"> distance anomaly time series curves of three representative subjects (HUP106, HUP094, HUP114) in the seizure detection scenario.</w:t>
      </w:r>
    </w:p>
    <w:p w14:paraId="22B32339" w14:textId="77777777" w:rsidR="00376617" w:rsidRPr="00376617" w:rsidRDefault="00376617" w:rsidP="00376617">
      <w:pPr>
        <w:rPr>
          <w:lang w:val="en-US"/>
        </w:rPr>
      </w:pPr>
    </w:p>
    <w:p w14:paraId="4D5B00A5" w14:textId="080B1232" w:rsidR="00376617" w:rsidRPr="00376617" w:rsidRDefault="00376617" w:rsidP="00376617">
      <w:pPr>
        <w:rPr>
          <w:lang w:val="en-US"/>
        </w:rPr>
      </w:pPr>
      <w:r w:rsidRPr="00376617">
        <w:rPr>
          <w:lang w:val="en-US"/>
        </w:rPr>
        <w:lastRenderedPageBreak/>
        <w:drawing>
          <wp:inline distT="0" distB="0" distL="0" distR="0" wp14:anchorId="3623309C" wp14:editId="650555D0">
            <wp:extent cx="5731510" cy="5519420"/>
            <wp:effectExtent l="0" t="0" r="2540" b="5080"/>
            <wp:docPr id="2031068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1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4A9F6" w14:textId="77777777" w:rsidR="00376617" w:rsidRPr="00376617" w:rsidRDefault="00376617" w:rsidP="00376617">
      <w:pPr>
        <w:rPr>
          <w:lang w:val="en-US"/>
        </w:rPr>
      </w:pPr>
    </w:p>
    <w:p w14:paraId="7A690B0B" w14:textId="77777777" w:rsidR="00376617" w:rsidRPr="00376617" w:rsidRDefault="00376617" w:rsidP="00376617">
      <w:pPr>
        <w:rPr>
          <w:lang w:val="en-US"/>
        </w:rPr>
      </w:pPr>
      <w:r w:rsidRPr="00376617">
        <w:rPr>
          <w:lang w:val="en-US"/>
        </w:rPr>
        <w:t xml:space="preserve">Supplementary Figure S2. Representative seizure detection timing diagram (HUP106, HUP094, HUP114). The horizontal axis represents time (minutes), and the vertical axis represents </w:t>
      </w:r>
      <w:proofErr w:type="spellStart"/>
      <w:r w:rsidRPr="00376617">
        <w:rPr>
          <w:lang w:val="en-US"/>
        </w:rPr>
        <w:t>Mahalanobis</w:t>
      </w:r>
      <w:proofErr w:type="spellEnd"/>
      <w:r w:rsidRPr="00376617">
        <w:rPr>
          <w:lang w:val="en-US"/>
        </w:rPr>
        <w:t xml:space="preserve"> distance anomaly score (z-score, relative to the subject's baseline interval). The orange background represents the seizure period </w:t>
      </w:r>
      <w:proofErr w:type="gramStart"/>
      <w:r w:rsidRPr="00376617">
        <w:rPr>
          <w:lang w:val="en-US"/>
        </w:rPr>
        <w:t>area,</w:t>
      </w:r>
      <w:proofErr w:type="gramEnd"/>
      <w:r w:rsidRPr="00376617">
        <w:rPr>
          <w:lang w:val="en-US"/>
        </w:rPr>
        <w:t xml:space="preserve"> the yellow background represents the pre seizure area (marked by events. </w:t>
      </w:r>
      <w:proofErr w:type="spellStart"/>
      <w:r w:rsidRPr="00376617">
        <w:rPr>
          <w:lang w:val="en-US"/>
        </w:rPr>
        <w:t>tsv</w:t>
      </w:r>
      <w:proofErr w:type="spellEnd"/>
      <w:r w:rsidRPr="00376617">
        <w:rPr>
          <w:lang w:val="en-US"/>
        </w:rPr>
        <w:t>), the orange vertical line and "SZ ↑" mark the onset time, and the gray dashed line marks the 0 and 2 σ reference lines. The individual AUROC of the three subjects were 1.000, 0.9998, and 0.9996, respectively.</w:t>
      </w:r>
    </w:p>
    <w:p w14:paraId="2AD9AC8B" w14:textId="77777777" w:rsidR="00376617" w:rsidRPr="00376617" w:rsidRDefault="00376617" w:rsidP="00376617">
      <w:pPr>
        <w:rPr>
          <w:lang w:val="en-US"/>
        </w:rPr>
      </w:pPr>
    </w:p>
    <w:p w14:paraId="7BBD1A99" w14:textId="77777777" w:rsidR="00376617" w:rsidRPr="00376617" w:rsidRDefault="00376617" w:rsidP="00376617">
      <w:pPr>
        <w:rPr>
          <w:lang w:val="en-US"/>
        </w:rPr>
      </w:pPr>
      <w:r w:rsidRPr="00376617">
        <w:rPr>
          <w:lang w:val="en-US"/>
        </w:rPr>
        <w:t xml:space="preserve">From the figure, a typical detection pattern can be seen: abnormal scores during the interval between attacks fluctuate steadily at a low level close to 0; At the onset of the attack (marked with SZ ↑), the score rapidly increases and remains at a high level </w:t>
      </w:r>
      <w:r w:rsidRPr="00376617">
        <w:rPr>
          <w:lang w:val="en-US"/>
        </w:rPr>
        <w:lastRenderedPageBreak/>
        <w:t>(during the attack period), and then gradually decreases after the end of the attack. In HUP106 and HUP114, there is a warning upward trend (pre ictal increase) in the pre attack period, which is consistent with the statistical result of AUROC 0.845 in the pre attack period.</w:t>
      </w:r>
    </w:p>
    <w:p w14:paraId="20B25213" w14:textId="77777777" w:rsidR="00376617" w:rsidRPr="00376617" w:rsidRDefault="00376617" w:rsidP="00376617">
      <w:pPr>
        <w:rPr>
          <w:lang w:val="en-US"/>
        </w:rPr>
      </w:pPr>
    </w:p>
    <w:p w14:paraId="74036B5B" w14:textId="77777777" w:rsidR="00376617" w:rsidRPr="00376617" w:rsidRDefault="00376617" w:rsidP="00376617">
      <w:pPr>
        <w:rPr>
          <w:b/>
          <w:bCs/>
          <w:lang w:val="en-US"/>
        </w:rPr>
      </w:pPr>
      <w:r w:rsidRPr="00376617">
        <w:rPr>
          <w:b/>
          <w:bCs/>
          <w:lang w:val="en-US"/>
        </w:rPr>
        <w:t>Supplementary Figure S3. SWEC-ETHZ Failure Case Analysis</w:t>
      </w:r>
    </w:p>
    <w:p w14:paraId="423A74B3" w14:textId="77777777" w:rsidR="00376617" w:rsidRPr="00376617" w:rsidRDefault="00376617" w:rsidP="00376617">
      <w:pPr>
        <w:rPr>
          <w:lang w:val="en-US"/>
        </w:rPr>
      </w:pPr>
    </w:p>
    <w:p w14:paraId="579BCD92" w14:textId="77777777" w:rsidR="00376617" w:rsidRPr="00376617" w:rsidRDefault="00376617" w:rsidP="00376617">
      <w:pPr>
        <w:rPr>
          <w:lang w:val="en-US"/>
        </w:rPr>
      </w:pPr>
      <w:r w:rsidRPr="00376617">
        <w:rPr>
          <w:lang w:val="en-US"/>
        </w:rPr>
        <w:t>Mechanism analysis was conducted on 7 SWEC-ETHZ subjects with AUROC below 0.80 to explore the influencing factors of performance decline.</w:t>
      </w:r>
    </w:p>
    <w:p w14:paraId="0F2A2C04" w14:textId="77777777" w:rsidR="00376617" w:rsidRPr="00376617" w:rsidRDefault="00376617" w:rsidP="00376617">
      <w:pPr>
        <w:rPr>
          <w:lang w:val="en-US"/>
        </w:rPr>
      </w:pPr>
    </w:p>
    <w:p w14:paraId="5FE73DFD" w14:textId="24E2476E" w:rsidR="00376617" w:rsidRPr="00376617" w:rsidRDefault="00376617" w:rsidP="00376617">
      <w:pPr>
        <w:rPr>
          <w:lang w:val="en-US"/>
        </w:rPr>
      </w:pPr>
      <w:r w:rsidRPr="00376617">
        <w:rPr>
          <w:lang w:val="en-US"/>
        </w:rPr>
        <w:drawing>
          <wp:inline distT="0" distB="0" distL="0" distR="0" wp14:anchorId="7F0CA543" wp14:editId="7EAD9A4C">
            <wp:extent cx="5731510" cy="2735580"/>
            <wp:effectExtent l="0" t="0" r="2540" b="7620"/>
            <wp:docPr id="5394383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1F704" w14:textId="77777777" w:rsidR="00376617" w:rsidRPr="00376617" w:rsidRDefault="00376617" w:rsidP="00376617">
      <w:pPr>
        <w:rPr>
          <w:lang w:val="en-US"/>
        </w:rPr>
      </w:pPr>
    </w:p>
    <w:p w14:paraId="0EAE21B5" w14:textId="77777777" w:rsidR="00376617" w:rsidRPr="00376617" w:rsidRDefault="00376617" w:rsidP="00376617">
      <w:pPr>
        <w:rPr>
          <w:lang w:val="en-US"/>
        </w:rPr>
      </w:pPr>
      <w:r w:rsidRPr="00376617">
        <w:rPr>
          <w:lang w:val="en-US"/>
        </w:rPr>
        <w:t>Supplementary Figure S3. Analysis of SWEC-ETHZ External Verification Failure Cases. A, The relationship between the total number of seizures and AUROC (Spearman ρ=-0.69, p=0.002); B, The relationship between seizure frequency (times/day) and AUROC (Spearman ρ=-0.60, p=0.009). The blue dots represent subjects with AUROC ≥ 0.80, and the orange dots represent subjects with AUROC&lt;0.80. Failure cases are labeled with IDs. The gray dashed line represents the reference line for AUROC=0.80.</w:t>
      </w:r>
    </w:p>
    <w:p w14:paraId="494FDAA5" w14:textId="77777777" w:rsidR="00376617" w:rsidRPr="00376617" w:rsidRDefault="00376617" w:rsidP="00376617">
      <w:pPr>
        <w:rPr>
          <w:lang w:val="en-US"/>
        </w:rPr>
      </w:pPr>
    </w:p>
    <w:p w14:paraId="1783C722" w14:textId="77777777" w:rsidR="00376617" w:rsidRPr="00376617" w:rsidRDefault="00376617" w:rsidP="00376617">
      <w:pPr>
        <w:rPr>
          <w:lang w:val="en-US"/>
        </w:rPr>
      </w:pPr>
      <w:r w:rsidRPr="00376617">
        <w:rPr>
          <w:lang w:val="en-US"/>
        </w:rPr>
        <w:t xml:space="preserve">Analysis shows that a high frequency of attacks (up to 70 times, ID08) and a high frequency of attacks (up to about 16 times/day, ID09) are significantly associated with a decrease in AUROC. Mechanism speculation: </w:t>
      </w:r>
      <w:proofErr w:type="gramStart"/>
      <w:r w:rsidRPr="00376617">
        <w:rPr>
          <w:lang w:val="en-US"/>
        </w:rPr>
        <w:t>A large number of</w:t>
      </w:r>
      <w:proofErr w:type="gramEnd"/>
      <w:r w:rsidRPr="00376617">
        <w:rPr>
          <w:lang w:val="en-US"/>
        </w:rPr>
        <w:t xml:space="preserve"> subclinical episodes or discharges during the interictal period were mixed in the data of patients with high-frequency attacks, resulting in contamination of the </w:t>
      </w:r>
      <w:proofErr w:type="spellStart"/>
      <w:r w:rsidRPr="00376617">
        <w:rPr>
          <w:lang w:val="en-US"/>
        </w:rPr>
        <w:t>Mahalanobis</w:t>
      </w:r>
      <w:proofErr w:type="spellEnd"/>
      <w:r w:rsidRPr="00376617">
        <w:rPr>
          <w:lang w:val="en-US"/>
        </w:rPr>
        <w:t xml:space="preserve"> distance reference </w:t>
      </w:r>
      <w:r w:rsidRPr="00376617">
        <w:rPr>
          <w:lang w:val="en-US"/>
        </w:rPr>
        <w:lastRenderedPageBreak/>
        <w:t>distribution estimated from interictal data, thereby reducing the distinguishability between episodes and intervals. Note that ID08 (70 episodes but AUROC=0.745) and ID09 (27 episodes but AUROC=0.562) both belong to this type of high-frequency failure case. This limitation suggests the need to develop more robust reference distribution estimation methods for patients with high-frequency attacks.</w:t>
      </w:r>
    </w:p>
    <w:p w14:paraId="54D41ED7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7"/>
    <w:rsid w:val="00376617"/>
    <w:rsid w:val="00767E38"/>
    <w:rsid w:val="00866F7D"/>
    <w:rsid w:val="00EE5CC4"/>
    <w:rsid w:val="00FB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F59A5"/>
  <w15:chartTrackingRefBased/>
  <w15:docId w15:val="{F3F801D2-51EE-4C70-AC3A-81E8D461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6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2026-05-04T12:20:00Z</dcterms:created>
  <dcterms:modified xsi:type="dcterms:W3CDTF">2026-05-04T12:20:00Z</dcterms:modified>
</cp:coreProperties>
</file>