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2281" w14:textId="77777777" w:rsidR="003148DE" w:rsidRPr="00A42808" w:rsidRDefault="003148DE" w:rsidP="003148DE">
      <w:pPr>
        <w:tabs>
          <w:tab w:val="left" w:pos="6496"/>
        </w:tabs>
        <w:rPr>
          <w:rFonts w:ascii="Times New Roman" w:eastAsia="Times New Roman" w:hAnsi="Times New Roman" w:cs="Times New Roman"/>
          <w:b/>
          <w:bCs/>
          <w:sz w:val="24"/>
          <w:szCs w:val="24"/>
        </w:rPr>
      </w:pPr>
      <w:r w:rsidRPr="00A42808">
        <w:rPr>
          <w:rFonts w:ascii="Times New Roman" w:eastAsia="Times New Roman" w:hAnsi="Times New Roman" w:cs="Times New Roman"/>
          <w:b/>
          <w:bCs/>
          <w:sz w:val="24"/>
          <w:szCs w:val="24"/>
        </w:rPr>
        <w:t>Supplemental Figure Legends</w:t>
      </w:r>
    </w:p>
    <w:p w14:paraId="5CD8845B" w14:textId="77777777" w:rsidR="003148DE" w:rsidRDefault="003148DE" w:rsidP="003148DE">
      <w:pPr>
        <w:tabs>
          <w:tab w:val="left" w:pos="6496"/>
        </w:tabs>
        <w:rPr>
          <w:rFonts w:ascii="Times New Roman" w:eastAsia="Times New Roman" w:hAnsi="Times New Roman" w:cs="Times New Roman"/>
          <w:b/>
          <w:bCs/>
          <w:sz w:val="24"/>
          <w:szCs w:val="24"/>
        </w:rPr>
      </w:pPr>
    </w:p>
    <w:p w14:paraId="795A7A8F" w14:textId="77777777" w:rsidR="003148DE" w:rsidRDefault="003148DE" w:rsidP="003148DE">
      <w:pPr>
        <w:tabs>
          <w:tab w:val="left" w:pos="6496"/>
        </w:tabs>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S1.</w:t>
      </w:r>
      <w:r>
        <w:rPr>
          <w:rFonts w:ascii="Times New Roman" w:eastAsia="Times New Roman" w:hAnsi="Times New Roman" w:cs="Times New Roman"/>
          <w:sz w:val="24"/>
          <w:szCs w:val="24"/>
        </w:rPr>
        <w:t xml:space="preserve"> Subgenome partitioning of the allotetraploid </w:t>
      </w:r>
      <w:r>
        <w:rPr>
          <w:rFonts w:ascii="Times New Roman" w:eastAsia="Times New Roman" w:hAnsi="Times New Roman" w:cs="Times New Roman"/>
          <w:i/>
          <w:iCs/>
          <w:sz w:val="24"/>
          <w:szCs w:val="24"/>
        </w:rPr>
        <w:t>T. repens</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Shared presence of BUSCO genes between chromosomes, indicating chromosomal homology. (</w:t>
      </w:r>
      <w:r>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SubPhaser hierarchical clustering of differential k-mer profiles across chromosomes, separating homologous chromosome sets into 2 subgenome groups (orange = SG1; blue = SG2).</w:t>
      </w:r>
    </w:p>
    <w:p w14:paraId="1F1CC88C" w14:textId="77777777" w:rsidR="003148DE" w:rsidRDefault="003148DE" w:rsidP="003148DE">
      <w:pPr>
        <w:tabs>
          <w:tab w:val="left" w:pos="6496"/>
        </w:tabs>
        <w:jc w:val="both"/>
        <w:rPr>
          <w:rFonts w:ascii="Times New Roman" w:eastAsia="Times New Roman" w:hAnsi="Times New Roman" w:cs="Times New Roman"/>
        </w:rPr>
      </w:pPr>
    </w:p>
    <w:p w14:paraId="2E465B6F" w14:textId="77777777" w:rsidR="003148DE" w:rsidRDefault="003148DE" w:rsidP="003148DE">
      <w:pPr>
        <w:tabs>
          <w:tab w:val="left" w:pos="6496"/>
        </w:tabs>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Figure S2. Relationship between genome size and TE content across </w:t>
      </w:r>
      <w:r>
        <w:rPr>
          <w:rFonts w:ascii="Times New Roman" w:eastAsia="Times New Roman" w:hAnsi="Times New Roman" w:cs="Times New Roman"/>
          <w:b/>
          <w:bCs/>
          <w:i/>
          <w:iCs/>
          <w:sz w:val="24"/>
          <w:szCs w:val="24"/>
        </w:rPr>
        <w:t>Trifolium</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a-b</w:t>
      </w:r>
      <w:r>
        <w:rPr>
          <w:rFonts w:ascii="Times New Roman" w:eastAsia="Times New Roman" w:hAnsi="Times New Roman" w:cs="Times New Roman"/>
          <w:sz w:val="24"/>
          <w:szCs w:val="24"/>
        </w:rPr>
        <w:t>) Total repeat fraction, as the percentage of masked bases, against assembly size, using (a) all whole-genome assemblies or (b) diploid assemblies only. (</w:t>
      </w:r>
      <w:r>
        <w:rPr>
          <w:rFonts w:ascii="Times New Roman" w:eastAsia="Times New Roman" w:hAnsi="Times New Roman" w:cs="Times New Roman"/>
          <w:b/>
          <w:bCs/>
          <w:sz w:val="24"/>
          <w:szCs w:val="24"/>
        </w:rPr>
        <w:t>c-d</w:t>
      </w:r>
      <w:r>
        <w:rPr>
          <w:rFonts w:ascii="Times New Roman" w:eastAsia="Times New Roman" w:hAnsi="Times New Roman" w:cs="Times New Roman"/>
          <w:sz w:val="24"/>
          <w:szCs w:val="24"/>
        </w:rPr>
        <w:t>) TE family diversity, as the number of distinct TE families, against assembly size, using (c) all whole-genome assemblies or (d) diploid assemblies only. Hollow points were included for context, including points for subgenome values, but were excluded from the corresponding linear regression.The coefficient of determination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and associated p-value indicate the strength and significance of the correlation, respectively.</w:t>
      </w:r>
    </w:p>
    <w:p w14:paraId="5C2E6A1E" w14:textId="77777777" w:rsidR="003148DE" w:rsidRDefault="003148DE" w:rsidP="003148DE">
      <w:pPr>
        <w:tabs>
          <w:tab w:val="left" w:pos="6496"/>
        </w:tabs>
        <w:jc w:val="both"/>
        <w:rPr>
          <w:rFonts w:ascii="Times New Roman" w:eastAsia="Times New Roman" w:hAnsi="Times New Roman" w:cs="Times New Roman"/>
          <w:sz w:val="24"/>
          <w:szCs w:val="24"/>
        </w:rPr>
      </w:pPr>
    </w:p>
    <w:p w14:paraId="7BA9F4F6" w14:textId="77777777" w:rsidR="003148DE" w:rsidRDefault="003148DE" w:rsidP="003148DE">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Figure S3. Relative contribution of TE classes to total TE load across </w:t>
      </w:r>
      <w:r>
        <w:rPr>
          <w:rFonts w:ascii="Times New Roman" w:eastAsia="Times New Roman" w:hAnsi="Times New Roman" w:cs="Times New Roman"/>
          <w:b/>
          <w:bCs/>
          <w:i/>
          <w:iCs/>
          <w:sz w:val="24"/>
          <w:szCs w:val="24"/>
        </w:rPr>
        <w:t>Trifolium</w:t>
      </w:r>
      <w:r>
        <w:rPr>
          <w:rFonts w:ascii="Times New Roman" w:eastAsia="Times New Roman" w:hAnsi="Times New Roman" w:cs="Times New Roman"/>
          <w:b/>
          <w:bCs/>
          <w:sz w:val="24"/>
          <w:szCs w:val="24"/>
        </w:rPr>
        <w:t xml:space="preserve"> species. </w:t>
      </w:r>
    </w:p>
    <w:p w14:paraId="42276911" w14:textId="77777777" w:rsidR="003148DE" w:rsidRDefault="003148DE" w:rsidP="003148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Values expressed as percentages of the total TE content per genome, showing the proportional contribution of each class to the total repetitive fraction.</w:t>
      </w:r>
    </w:p>
    <w:p w14:paraId="7CF699FF" w14:textId="77777777" w:rsidR="003148DE" w:rsidRDefault="003148DE" w:rsidP="003148DE">
      <w:pPr>
        <w:tabs>
          <w:tab w:val="left" w:pos="6496"/>
        </w:tabs>
        <w:jc w:val="both"/>
        <w:rPr>
          <w:rFonts w:ascii="Times New Roman" w:eastAsia="Times New Roman" w:hAnsi="Times New Roman" w:cs="Times New Roman"/>
        </w:rPr>
      </w:pPr>
    </w:p>
    <w:p w14:paraId="1B7ED043" w14:textId="77777777" w:rsidR="003148DE" w:rsidRDefault="003148DE" w:rsidP="003148DE">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Figure S4. Clade-level paired-LTR identity across </w:t>
      </w:r>
      <w:r>
        <w:rPr>
          <w:rFonts w:ascii="Times New Roman" w:eastAsia="Times New Roman" w:hAnsi="Times New Roman" w:cs="Times New Roman"/>
          <w:b/>
          <w:bCs/>
          <w:i/>
          <w:iCs/>
          <w:sz w:val="24"/>
          <w:szCs w:val="24"/>
        </w:rPr>
        <w:t>Trifolium</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Violin plots show family-level median paired-LTR identity for Ty1-Copia and Ty3-Gypsy clades in each diploid species.</w:t>
      </w:r>
    </w:p>
    <w:p w14:paraId="6B08614B" w14:textId="77777777" w:rsidR="003148DE" w:rsidRDefault="003148DE" w:rsidP="003148DE">
      <w:pPr>
        <w:jc w:val="both"/>
        <w:rPr>
          <w:rFonts w:ascii="Times New Roman" w:eastAsia="Times New Roman" w:hAnsi="Times New Roman" w:cs="Times New Roman"/>
          <w:sz w:val="24"/>
          <w:szCs w:val="24"/>
        </w:rPr>
      </w:pPr>
    </w:p>
    <w:p w14:paraId="3B897AF9" w14:textId="77777777" w:rsidR="003148DE" w:rsidRPr="009F2096" w:rsidRDefault="003148DE" w:rsidP="003148DE">
      <w:pPr>
        <w:jc w:val="both"/>
        <w:rPr>
          <w:rFonts w:ascii="Times New Roman" w:eastAsia="Times New Roman" w:hAnsi="Times New Roman" w:cs="Times New Roman"/>
          <w:b/>
          <w:bCs/>
          <w:sz w:val="24"/>
          <w:szCs w:val="24"/>
        </w:rPr>
      </w:pPr>
      <w:r w:rsidRPr="009F2096">
        <w:rPr>
          <w:rFonts w:ascii="Times New Roman" w:eastAsia="Times New Roman" w:hAnsi="Times New Roman" w:cs="Times New Roman"/>
          <w:b/>
          <w:bCs/>
          <w:sz w:val="24"/>
          <w:szCs w:val="24"/>
        </w:rPr>
        <w:t>Supplemental Table Legends</w:t>
      </w:r>
    </w:p>
    <w:p w14:paraId="243F7EB2" w14:textId="77777777" w:rsidR="003148DE" w:rsidRPr="009F2096" w:rsidRDefault="003148DE" w:rsidP="003148DE">
      <w:pPr>
        <w:jc w:val="both"/>
        <w:rPr>
          <w:rFonts w:ascii="Times New Roman" w:eastAsia="Times New Roman" w:hAnsi="Times New Roman" w:cs="Times New Roman"/>
          <w:b/>
          <w:bCs/>
          <w:sz w:val="24"/>
          <w:szCs w:val="24"/>
        </w:rPr>
      </w:pPr>
    </w:p>
    <w:p w14:paraId="32EC3D25" w14:textId="77777777" w:rsidR="003148DE" w:rsidRPr="009F2096" w:rsidRDefault="003148DE" w:rsidP="003148DE">
      <w:pPr>
        <w:tabs>
          <w:tab w:val="left" w:pos="6496"/>
        </w:tabs>
        <w:jc w:val="both"/>
        <w:rPr>
          <w:rFonts w:ascii="Times New Roman" w:hAnsi="Times New Roman" w:cs="Times New Roman"/>
          <w:color w:val="000000"/>
          <w:sz w:val="24"/>
          <w:szCs w:val="24"/>
        </w:rPr>
      </w:pPr>
      <w:r w:rsidRPr="009F2096">
        <w:rPr>
          <w:rFonts w:ascii="Times New Roman" w:hAnsi="Times New Roman" w:cs="Times New Roman"/>
          <w:b/>
          <w:bCs/>
          <w:color w:val="000000"/>
          <w:sz w:val="24"/>
          <w:szCs w:val="24"/>
        </w:rPr>
        <w:t>Supplemental Table 1.</w:t>
      </w:r>
      <w:r w:rsidRPr="009F2096">
        <w:rPr>
          <w:rFonts w:ascii="Times New Roman" w:hAnsi="Times New Roman" w:cs="Times New Roman"/>
          <w:color w:val="000000"/>
          <w:sz w:val="24"/>
          <w:szCs w:val="24"/>
        </w:rPr>
        <w:t xml:space="preserve"> </w:t>
      </w:r>
      <w:r w:rsidRPr="009F2096">
        <w:rPr>
          <w:rFonts w:ascii="Times New Roman" w:hAnsi="Times New Roman" w:cs="Times New Roman"/>
          <w:b/>
          <w:bCs/>
          <w:color w:val="000000"/>
          <w:sz w:val="24"/>
          <w:szCs w:val="24"/>
        </w:rPr>
        <w:t xml:space="preserve">Overall TE annotation summary breakdown per class with number of elements, bp and % masked and number of distinct families. </w:t>
      </w:r>
      <w:r w:rsidRPr="009F2096">
        <w:rPr>
          <w:rFonts w:ascii="Times New Roman" w:hAnsi="Times New Roman" w:cs="Times New Roman"/>
          <w:color w:val="000000"/>
          <w:sz w:val="24"/>
          <w:szCs w:val="24"/>
        </w:rPr>
        <w:t>Number of annotated TEs, total masked sequence in base pairs, percentage of the assembly masked, and number of distinct TE families are shown for each TE class in each assembly. “All” gives the summed total across all classes.</w:t>
      </w:r>
    </w:p>
    <w:p w14:paraId="2BF27D0C" w14:textId="77777777" w:rsidR="003148DE" w:rsidRPr="009F2096" w:rsidRDefault="003148DE" w:rsidP="003148DE">
      <w:pPr>
        <w:tabs>
          <w:tab w:val="left" w:pos="6496"/>
        </w:tabs>
        <w:jc w:val="both"/>
        <w:rPr>
          <w:rFonts w:ascii="Times New Roman" w:hAnsi="Times New Roman" w:cs="Times New Roman"/>
          <w:color w:val="000000"/>
          <w:sz w:val="24"/>
          <w:szCs w:val="24"/>
        </w:rPr>
      </w:pPr>
    </w:p>
    <w:p w14:paraId="10B40F94" w14:textId="77777777" w:rsidR="003148DE" w:rsidRPr="009F2096" w:rsidRDefault="003148DE" w:rsidP="003148DE">
      <w:pPr>
        <w:tabs>
          <w:tab w:val="left" w:pos="6496"/>
        </w:tabs>
        <w:jc w:val="both"/>
        <w:rPr>
          <w:rFonts w:ascii="Times New Roman" w:hAnsi="Times New Roman" w:cs="Times New Roman"/>
          <w:color w:val="000000"/>
          <w:sz w:val="24"/>
          <w:szCs w:val="24"/>
        </w:rPr>
      </w:pPr>
      <w:r w:rsidRPr="009F2096">
        <w:rPr>
          <w:rFonts w:ascii="Times New Roman" w:hAnsi="Times New Roman" w:cs="Times New Roman"/>
          <w:b/>
          <w:bCs/>
          <w:color w:val="000000"/>
          <w:sz w:val="24"/>
          <w:szCs w:val="24"/>
        </w:rPr>
        <w:t xml:space="preserve">Supplemental Table 2. TE-class composition of subgenome divergence in TE family size in </w:t>
      </w:r>
      <w:r w:rsidRPr="009F2096">
        <w:rPr>
          <w:rFonts w:ascii="Times New Roman" w:hAnsi="Times New Roman" w:cs="Times New Roman"/>
          <w:b/>
          <w:bCs/>
          <w:i/>
          <w:iCs/>
          <w:color w:val="000000"/>
          <w:sz w:val="24"/>
          <w:szCs w:val="24"/>
        </w:rPr>
        <w:t>T. dubium</w:t>
      </w:r>
      <w:r w:rsidRPr="009F2096">
        <w:rPr>
          <w:rFonts w:ascii="Times New Roman" w:hAnsi="Times New Roman" w:cs="Times New Roman"/>
          <w:b/>
          <w:bCs/>
          <w:color w:val="000000"/>
          <w:sz w:val="24"/>
          <w:szCs w:val="24"/>
        </w:rPr>
        <w:t xml:space="preserve"> and </w:t>
      </w:r>
      <w:r w:rsidRPr="009F2096">
        <w:rPr>
          <w:rFonts w:ascii="Times New Roman" w:hAnsi="Times New Roman" w:cs="Times New Roman"/>
          <w:b/>
          <w:bCs/>
          <w:i/>
          <w:iCs/>
          <w:color w:val="000000"/>
          <w:sz w:val="24"/>
          <w:szCs w:val="24"/>
        </w:rPr>
        <w:t>T. repens</w:t>
      </w:r>
      <w:r w:rsidRPr="009F2096">
        <w:rPr>
          <w:rFonts w:ascii="Times New Roman" w:hAnsi="Times New Roman" w:cs="Times New Roman"/>
          <w:b/>
          <w:bCs/>
          <w:color w:val="000000"/>
          <w:sz w:val="24"/>
          <w:szCs w:val="24"/>
        </w:rPr>
        <w:t xml:space="preserve">. </w:t>
      </w:r>
      <w:r w:rsidRPr="009F2096">
        <w:rPr>
          <w:rFonts w:ascii="Times New Roman" w:hAnsi="Times New Roman" w:cs="Times New Roman"/>
          <w:color w:val="000000"/>
          <w:sz w:val="24"/>
          <w:szCs w:val="24"/>
        </w:rPr>
        <w:t>Subgenome differences in TE family size were calculated for families present in each both subgenomes, with absolute divergence calculated as the summed |SG1 - SG2| difference in bp masked. SG1 and SG2-extra contributions indicate the direction of excess masked sequence within each TE class.</w:t>
      </w:r>
    </w:p>
    <w:p w14:paraId="66C6488D" w14:textId="77777777" w:rsidR="003148DE" w:rsidRPr="009F2096" w:rsidRDefault="003148DE" w:rsidP="003148DE">
      <w:pPr>
        <w:tabs>
          <w:tab w:val="left" w:pos="6496"/>
        </w:tabs>
        <w:jc w:val="both"/>
        <w:rPr>
          <w:rFonts w:ascii="Times New Roman" w:hAnsi="Times New Roman" w:cs="Times New Roman"/>
          <w:color w:val="000000"/>
          <w:sz w:val="24"/>
          <w:szCs w:val="24"/>
        </w:rPr>
      </w:pPr>
    </w:p>
    <w:p w14:paraId="5FDA345E" w14:textId="77777777" w:rsidR="003148DE" w:rsidRPr="009F2096" w:rsidRDefault="003148DE" w:rsidP="003148DE">
      <w:pPr>
        <w:tabs>
          <w:tab w:val="left" w:pos="6496"/>
        </w:tabs>
        <w:jc w:val="both"/>
        <w:rPr>
          <w:rFonts w:ascii="Times New Roman" w:hAnsi="Times New Roman" w:cs="Times New Roman"/>
          <w:color w:val="000000"/>
          <w:sz w:val="24"/>
          <w:szCs w:val="24"/>
        </w:rPr>
      </w:pPr>
      <w:r w:rsidRPr="009F2096">
        <w:rPr>
          <w:rFonts w:ascii="Times New Roman" w:hAnsi="Times New Roman" w:cs="Times New Roman"/>
          <w:b/>
          <w:bCs/>
          <w:color w:val="000000"/>
          <w:sz w:val="24"/>
          <w:szCs w:val="24"/>
        </w:rPr>
        <w:t xml:space="preserve">Supplemental Table 3. Paired-LTR identity summary statistics for structurally intact LTR-RTs. </w:t>
      </w:r>
      <w:r w:rsidRPr="009F2096">
        <w:rPr>
          <w:rFonts w:ascii="Times New Roman" w:hAnsi="Times New Roman" w:cs="Times New Roman"/>
          <w:color w:val="000000"/>
          <w:sz w:val="24"/>
          <w:szCs w:val="24"/>
        </w:rPr>
        <w:t>For each species or subgenome, paired percentage identity between the 5’ and 3’ LTRs of structurally intact Ty1-Copia and Ty3-Gypsy elements is summarised by the number of elements, median, mean and interquartile range.</w:t>
      </w:r>
    </w:p>
    <w:p w14:paraId="5117F09C" w14:textId="77777777" w:rsidR="003148DE" w:rsidRPr="009F2096" w:rsidRDefault="003148DE" w:rsidP="003148DE">
      <w:pPr>
        <w:tabs>
          <w:tab w:val="left" w:pos="6496"/>
        </w:tabs>
        <w:jc w:val="both"/>
        <w:rPr>
          <w:rFonts w:ascii="Times New Roman" w:hAnsi="Times New Roman" w:cs="Times New Roman"/>
          <w:color w:val="000000"/>
          <w:sz w:val="24"/>
          <w:szCs w:val="24"/>
        </w:rPr>
      </w:pPr>
    </w:p>
    <w:p w14:paraId="1E76712F" w14:textId="77777777" w:rsidR="003148DE" w:rsidRPr="009F2096" w:rsidRDefault="003148DE" w:rsidP="003148DE">
      <w:pPr>
        <w:tabs>
          <w:tab w:val="left" w:pos="6496"/>
        </w:tabs>
        <w:jc w:val="both"/>
        <w:rPr>
          <w:rFonts w:ascii="Times New Roman" w:hAnsi="Times New Roman" w:cs="Times New Roman"/>
          <w:color w:val="000000"/>
          <w:sz w:val="24"/>
          <w:szCs w:val="24"/>
        </w:rPr>
      </w:pPr>
      <w:r w:rsidRPr="009F2096">
        <w:rPr>
          <w:rFonts w:ascii="Times New Roman" w:hAnsi="Times New Roman" w:cs="Times New Roman"/>
          <w:b/>
          <w:bCs/>
          <w:color w:val="000000"/>
          <w:sz w:val="24"/>
          <w:szCs w:val="24"/>
        </w:rPr>
        <w:t xml:space="preserve">Supplemental Table 4. Assembly contiguity statistics. </w:t>
      </w:r>
      <w:r w:rsidRPr="009F2096">
        <w:rPr>
          <w:rFonts w:ascii="Times New Roman" w:hAnsi="Times New Roman" w:cs="Times New Roman"/>
          <w:color w:val="000000"/>
          <w:sz w:val="24"/>
          <w:szCs w:val="24"/>
        </w:rPr>
        <w:t>Assembly size, scaffold-level contiguity, contig-level contiguity, and gap counts are shown for each genome assembly, as computed by gfastats.</w:t>
      </w:r>
    </w:p>
    <w:p w14:paraId="40E0C9C0" w14:textId="77777777" w:rsidR="003148DE" w:rsidRPr="009F2096" w:rsidRDefault="003148DE" w:rsidP="003148DE">
      <w:pPr>
        <w:tabs>
          <w:tab w:val="left" w:pos="6496"/>
        </w:tabs>
        <w:jc w:val="both"/>
        <w:rPr>
          <w:rFonts w:ascii="Times New Roman" w:hAnsi="Times New Roman" w:cs="Times New Roman"/>
          <w:color w:val="000000"/>
          <w:sz w:val="24"/>
          <w:szCs w:val="24"/>
        </w:rPr>
      </w:pPr>
    </w:p>
    <w:p w14:paraId="0AA8B500" w14:textId="77777777" w:rsidR="003148DE" w:rsidRPr="009F2096" w:rsidRDefault="003148DE" w:rsidP="003148DE">
      <w:pPr>
        <w:tabs>
          <w:tab w:val="left" w:pos="6496"/>
        </w:tabs>
        <w:jc w:val="both"/>
        <w:rPr>
          <w:rFonts w:ascii="Times New Roman" w:hAnsi="Times New Roman" w:cs="Times New Roman"/>
          <w:color w:val="000000"/>
          <w:sz w:val="24"/>
          <w:szCs w:val="24"/>
        </w:rPr>
      </w:pPr>
      <w:r w:rsidRPr="009F2096">
        <w:rPr>
          <w:rFonts w:ascii="Times New Roman" w:hAnsi="Times New Roman" w:cs="Times New Roman"/>
          <w:b/>
          <w:bCs/>
          <w:color w:val="000000"/>
          <w:sz w:val="24"/>
          <w:szCs w:val="24"/>
        </w:rPr>
        <w:t xml:space="preserve">Supplemental Table 5. BUSCO completeness and repeat continuity per assembly and subgenome. </w:t>
      </w:r>
      <w:r w:rsidRPr="009F2096">
        <w:rPr>
          <w:rFonts w:ascii="Times New Roman" w:hAnsi="Times New Roman" w:cs="Times New Roman"/>
          <w:color w:val="000000"/>
          <w:sz w:val="24"/>
          <w:szCs w:val="24"/>
        </w:rPr>
        <w:t>BUSCO was run in genome mode, with the fabales_odb12 lineage, using both miniprot and AUGUSTUS for gene prediction. LTR Assembly Index (LAI) scores were obtained with LTR_retriever. For allotetraploid species, values are shown separately for each subgenome (SG1 and SG2), based on chromosomal scaffold assignments from SubPhaser. Combined SG1+SG2 BUSCO results correspond to that for the entire assembly.</w:t>
      </w:r>
    </w:p>
    <w:p w14:paraId="05348A35" w14:textId="77777777" w:rsidR="003148DE" w:rsidRPr="009F2096" w:rsidRDefault="003148DE" w:rsidP="003148DE">
      <w:pPr>
        <w:tabs>
          <w:tab w:val="left" w:pos="6496"/>
        </w:tabs>
        <w:jc w:val="both"/>
        <w:rPr>
          <w:rFonts w:ascii="Times New Roman" w:hAnsi="Times New Roman" w:cs="Times New Roman"/>
          <w:color w:val="000000"/>
          <w:sz w:val="24"/>
          <w:szCs w:val="24"/>
        </w:rPr>
      </w:pPr>
    </w:p>
    <w:p w14:paraId="4BA6D87D" w14:textId="77777777" w:rsidR="003148DE" w:rsidRPr="009F2096" w:rsidRDefault="003148DE" w:rsidP="003148DE">
      <w:pPr>
        <w:tabs>
          <w:tab w:val="left" w:pos="6496"/>
        </w:tabs>
        <w:jc w:val="both"/>
        <w:rPr>
          <w:rFonts w:ascii="Times New Roman" w:hAnsi="Times New Roman" w:cs="Times New Roman"/>
          <w:color w:val="000000"/>
          <w:sz w:val="24"/>
          <w:szCs w:val="24"/>
        </w:rPr>
      </w:pPr>
      <w:r w:rsidRPr="009F2096">
        <w:rPr>
          <w:rFonts w:ascii="Times New Roman" w:hAnsi="Times New Roman" w:cs="Times New Roman"/>
          <w:b/>
          <w:bCs/>
          <w:color w:val="000000"/>
          <w:sz w:val="24"/>
          <w:szCs w:val="24"/>
        </w:rPr>
        <w:t xml:space="preserve">Supplemental Table 6. Software and versions used in this study. </w:t>
      </w:r>
      <w:r w:rsidRPr="009F2096">
        <w:rPr>
          <w:rFonts w:ascii="Times New Roman" w:hAnsi="Times New Roman" w:cs="Times New Roman"/>
          <w:color w:val="000000"/>
          <w:sz w:val="24"/>
          <w:szCs w:val="24"/>
        </w:rPr>
        <w:t>Software was run using either Biocontainer images with Singularity, or as conda-installed packages, depending on availability and compatibility. Where no containerised or conda distributions were available, software was installed directly from the source repository.</w:t>
      </w:r>
    </w:p>
    <w:p w14:paraId="5ACC06F4" w14:textId="77777777" w:rsidR="003148DE" w:rsidRPr="009F2096" w:rsidRDefault="003148DE" w:rsidP="003148DE">
      <w:pPr>
        <w:tabs>
          <w:tab w:val="left" w:pos="6496"/>
        </w:tabs>
        <w:jc w:val="both"/>
        <w:rPr>
          <w:rFonts w:ascii="Times New Roman" w:eastAsia="Times New Roman" w:hAnsi="Times New Roman" w:cs="Times New Roman"/>
          <w:sz w:val="24"/>
          <w:szCs w:val="24"/>
        </w:rPr>
      </w:pPr>
    </w:p>
    <w:p w14:paraId="6033ACC9" w14:textId="77777777" w:rsidR="00E023F9" w:rsidRDefault="00E023F9"/>
    <w:sectPr w:rsidR="00E023F9" w:rsidSect="003148DE">
      <w:pgSz w:w="12240" w:h="15840"/>
      <w:pgMar w:top="1224" w:right="1224" w:bottom="1224" w:left="122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DE"/>
    <w:rsid w:val="000C4033"/>
    <w:rsid w:val="00173ED8"/>
    <w:rsid w:val="003148DE"/>
    <w:rsid w:val="003C051F"/>
    <w:rsid w:val="004B42CB"/>
    <w:rsid w:val="005F2B46"/>
    <w:rsid w:val="006E1731"/>
    <w:rsid w:val="00866D74"/>
    <w:rsid w:val="00882A73"/>
    <w:rsid w:val="0095305D"/>
    <w:rsid w:val="00B260B7"/>
    <w:rsid w:val="00B85331"/>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B4A7"/>
  <w15:chartTrackingRefBased/>
  <w15:docId w15:val="{20EB98B7-2353-485F-8C2E-D2EEFA25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DE"/>
    <w:pPr>
      <w:spacing w:after="0"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3148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3148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3148D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3148D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eastAsia="en-US"/>
      <w14:ligatures w14:val="standardContextual"/>
    </w:rPr>
  </w:style>
  <w:style w:type="paragraph" w:styleId="Heading5">
    <w:name w:val="heading 5"/>
    <w:basedOn w:val="Normal"/>
    <w:next w:val="Normal"/>
    <w:link w:val="Heading5Char"/>
    <w:uiPriority w:val="9"/>
    <w:semiHidden/>
    <w:unhideWhenUsed/>
    <w:qFormat/>
    <w:rsid w:val="003148D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eastAsia="en-US"/>
      <w14:ligatures w14:val="standardContextual"/>
    </w:rPr>
  </w:style>
  <w:style w:type="paragraph" w:styleId="Heading6">
    <w:name w:val="heading 6"/>
    <w:basedOn w:val="Normal"/>
    <w:next w:val="Normal"/>
    <w:link w:val="Heading6Char"/>
    <w:uiPriority w:val="9"/>
    <w:semiHidden/>
    <w:unhideWhenUsed/>
    <w:qFormat/>
    <w:rsid w:val="003148D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eastAsia="en-US"/>
      <w14:ligatures w14:val="standardContextual"/>
    </w:rPr>
  </w:style>
  <w:style w:type="paragraph" w:styleId="Heading7">
    <w:name w:val="heading 7"/>
    <w:basedOn w:val="Normal"/>
    <w:next w:val="Normal"/>
    <w:link w:val="Heading7Char"/>
    <w:uiPriority w:val="9"/>
    <w:semiHidden/>
    <w:unhideWhenUsed/>
    <w:qFormat/>
    <w:rsid w:val="003148D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eastAsia="en-US"/>
      <w14:ligatures w14:val="standardContextual"/>
    </w:rPr>
  </w:style>
  <w:style w:type="paragraph" w:styleId="Heading8">
    <w:name w:val="heading 8"/>
    <w:basedOn w:val="Normal"/>
    <w:next w:val="Normal"/>
    <w:link w:val="Heading8Char"/>
    <w:uiPriority w:val="9"/>
    <w:semiHidden/>
    <w:unhideWhenUsed/>
    <w:qFormat/>
    <w:rsid w:val="003148D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eastAsia="en-US"/>
      <w14:ligatures w14:val="standardContextual"/>
    </w:rPr>
  </w:style>
  <w:style w:type="paragraph" w:styleId="Heading9">
    <w:name w:val="heading 9"/>
    <w:basedOn w:val="Normal"/>
    <w:next w:val="Normal"/>
    <w:link w:val="Heading9Char"/>
    <w:uiPriority w:val="9"/>
    <w:semiHidden/>
    <w:unhideWhenUsed/>
    <w:qFormat/>
    <w:rsid w:val="003148D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8DE"/>
    <w:rPr>
      <w:rFonts w:eastAsiaTheme="majorEastAsia" w:cstheme="majorBidi"/>
      <w:color w:val="272727" w:themeColor="text1" w:themeTint="D8"/>
    </w:rPr>
  </w:style>
  <w:style w:type="paragraph" w:styleId="Title">
    <w:name w:val="Title"/>
    <w:basedOn w:val="Normal"/>
    <w:next w:val="Normal"/>
    <w:link w:val="TitleChar"/>
    <w:uiPriority w:val="10"/>
    <w:qFormat/>
    <w:rsid w:val="003148DE"/>
    <w:pPr>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314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8D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314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8D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eastAsia="en-US"/>
      <w14:ligatures w14:val="standardContextual"/>
    </w:rPr>
  </w:style>
  <w:style w:type="character" w:customStyle="1" w:styleId="QuoteChar">
    <w:name w:val="Quote Char"/>
    <w:basedOn w:val="DefaultParagraphFont"/>
    <w:link w:val="Quote"/>
    <w:uiPriority w:val="29"/>
    <w:rsid w:val="003148DE"/>
    <w:rPr>
      <w:i/>
      <w:iCs/>
      <w:color w:val="404040" w:themeColor="text1" w:themeTint="BF"/>
    </w:rPr>
  </w:style>
  <w:style w:type="paragraph" w:styleId="ListParagraph">
    <w:name w:val="List Paragraph"/>
    <w:basedOn w:val="Normal"/>
    <w:uiPriority w:val="34"/>
    <w:qFormat/>
    <w:rsid w:val="003148DE"/>
    <w:pPr>
      <w:spacing w:after="160" w:line="278" w:lineRule="auto"/>
      <w:ind w:left="720"/>
      <w:contextualSpacing/>
    </w:pPr>
    <w:rPr>
      <w:rFonts w:asciiTheme="minorHAnsi" w:eastAsiaTheme="minorHAnsi" w:hAnsiTheme="minorHAnsi" w:cstheme="minorBidi"/>
      <w:kern w:val="2"/>
      <w:sz w:val="24"/>
      <w:szCs w:val="24"/>
      <w:lang w:val="en-IN" w:eastAsia="en-US"/>
      <w14:ligatures w14:val="standardContextual"/>
    </w:rPr>
  </w:style>
  <w:style w:type="character" w:styleId="IntenseEmphasis">
    <w:name w:val="Intense Emphasis"/>
    <w:basedOn w:val="DefaultParagraphFont"/>
    <w:uiPriority w:val="21"/>
    <w:qFormat/>
    <w:rsid w:val="003148DE"/>
    <w:rPr>
      <w:i/>
      <w:iCs/>
      <w:color w:val="0F4761" w:themeColor="accent1" w:themeShade="BF"/>
    </w:rPr>
  </w:style>
  <w:style w:type="paragraph" w:styleId="IntenseQuote">
    <w:name w:val="Intense Quote"/>
    <w:basedOn w:val="Normal"/>
    <w:next w:val="Normal"/>
    <w:link w:val="IntenseQuoteChar"/>
    <w:uiPriority w:val="30"/>
    <w:qFormat/>
    <w:rsid w:val="003148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N" w:eastAsia="en-US"/>
      <w14:ligatures w14:val="standardContextual"/>
    </w:rPr>
  </w:style>
  <w:style w:type="character" w:customStyle="1" w:styleId="IntenseQuoteChar">
    <w:name w:val="Intense Quote Char"/>
    <w:basedOn w:val="DefaultParagraphFont"/>
    <w:link w:val="IntenseQuote"/>
    <w:uiPriority w:val="30"/>
    <w:rsid w:val="003148DE"/>
    <w:rPr>
      <w:i/>
      <w:iCs/>
      <w:color w:val="0F4761" w:themeColor="accent1" w:themeShade="BF"/>
    </w:rPr>
  </w:style>
  <w:style w:type="character" w:styleId="IntenseReference">
    <w:name w:val="Intense Reference"/>
    <w:basedOn w:val="DefaultParagraphFont"/>
    <w:uiPriority w:val="32"/>
    <w:qFormat/>
    <w:rsid w:val="003148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2026-05-12T11:40:00Z</dcterms:created>
  <dcterms:modified xsi:type="dcterms:W3CDTF">2026-05-12T11:40:00Z</dcterms:modified>
</cp:coreProperties>
</file>