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987FF" w14:textId="77777777" w:rsidR="007E44ED" w:rsidRDefault="007E44ED" w:rsidP="007E44ED">
      <w:pPr>
        <w:spacing w:afterLines="250" w:after="600" w:line="480" w:lineRule="auto"/>
        <w:contextualSpacing/>
        <w:jc w:val="center"/>
        <w:rPr>
          <w:rFonts w:ascii="Times New Roman" w:hAnsi="Times New Roman" w:cs="Times New Roman"/>
          <w:b/>
          <w:bCs/>
          <w:sz w:val="24"/>
        </w:rPr>
      </w:pPr>
      <w:bookmarkStart w:id="0" w:name="OLE_LINK30"/>
      <w:r>
        <w:rPr>
          <w:rFonts w:ascii="Times New Roman" w:hAnsi="Times New Roman" w:cs="Times New Roman" w:hint="eastAsia"/>
          <w:b/>
          <w:bCs/>
          <w:sz w:val="24"/>
        </w:rPr>
        <w:t xml:space="preserve">Appendix A. </w:t>
      </w:r>
      <w:r w:rsidRPr="00012420">
        <w:rPr>
          <w:rFonts w:ascii="Times New Roman" w:hAnsi="Times New Roman" w:cs="Times New Roman"/>
          <w:b/>
          <w:bCs/>
          <w:sz w:val="24"/>
        </w:rPr>
        <w:t>The comparison and the T-test between the mean value before and after cleaning the missing value</w:t>
      </w:r>
    </w:p>
    <w:bookmarkEnd w:id="0"/>
    <w:p w14:paraId="0313357B" w14:textId="77777777" w:rsidR="007E44ED" w:rsidRDefault="007E44ED" w:rsidP="007E44ED">
      <w:pPr>
        <w:spacing w:afterLines="250" w:after="600" w:line="480" w:lineRule="auto"/>
        <w:contextualSpacing/>
        <w:jc w:val="center"/>
        <w:rPr>
          <w:rFonts w:ascii="Times New Roman" w:hAnsi="Times New Roman" w:cs="Times New Roman"/>
          <w:b/>
          <w:bCs/>
          <w:sz w:val="24"/>
        </w:rPr>
      </w:pPr>
      <w:r w:rsidRPr="00012420">
        <w:rPr>
          <w:rFonts w:ascii="Times New Roman" w:hAnsi="Times New Roman" w:cs="Times New Roman"/>
          <w:b/>
          <w:bCs/>
          <w:sz w:val="24"/>
        </w:rPr>
        <w:t xml:space="preserve">Table A1.  </w:t>
      </w:r>
      <w:r w:rsidRPr="00012420">
        <w:rPr>
          <w:rFonts w:ascii="Times New Roman" w:hAnsi="Times New Roman" w:cs="Times New Roman"/>
          <w:sz w:val="24"/>
        </w:rPr>
        <w:t>The comparison and the T-test from 2016 to 2022</w:t>
      </w:r>
    </w:p>
    <w:tbl>
      <w:tblPr>
        <w:tblStyle w:val="PlainTable5"/>
        <w:tblW w:w="0" w:type="auto"/>
        <w:tblLook w:val="04A0" w:firstRow="1" w:lastRow="0" w:firstColumn="1" w:lastColumn="0" w:noHBand="0" w:noVBand="1"/>
      </w:tblPr>
      <w:tblGrid>
        <w:gridCol w:w="1667"/>
        <w:gridCol w:w="1816"/>
        <w:gridCol w:w="1816"/>
        <w:gridCol w:w="1816"/>
        <w:gridCol w:w="1816"/>
      </w:tblGrid>
      <w:tr w:rsidR="007E44ED" w:rsidRPr="00012420" w14:paraId="57D700F8" w14:textId="77777777" w:rsidTr="00C15D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7" w:type="dxa"/>
          </w:tcPr>
          <w:p w14:paraId="12F75C45"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Variable</w:t>
            </w:r>
          </w:p>
        </w:tc>
        <w:tc>
          <w:tcPr>
            <w:tcW w:w="1663" w:type="dxa"/>
          </w:tcPr>
          <w:p w14:paraId="369B7978" w14:textId="77777777" w:rsidR="007E44ED" w:rsidRPr="00012420" w:rsidRDefault="007E44ED" w:rsidP="00C15D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2016</w:t>
            </w:r>
          </w:p>
        </w:tc>
        <w:tc>
          <w:tcPr>
            <w:tcW w:w="1663" w:type="dxa"/>
          </w:tcPr>
          <w:p w14:paraId="058FB622" w14:textId="77777777" w:rsidR="007E44ED" w:rsidRPr="00012420" w:rsidRDefault="007E44ED" w:rsidP="00C15D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2018</w:t>
            </w:r>
          </w:p>
        </w:tc>
        <w:tc>
          <w:tcPr>
            <w:tcW w:w="1663" w:type="dxa"/>
          </w:tcPr>
          <w:p w14:paraId="754AD90A" w14:textId="77777777" w:rsidR="007E44ED" w:rsidRPr="00012420" w:rsidRDefault="007E44ED" w:rsidP="00C15D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2020</w:t>
            </w:r>
          </w:p>
        </w:tc>
        <w:tc>
          <w:tcPr>
            <w:tcW w:w="1640" w:type="dxa"/>
          </w:tcPr>
          <w:p w14:paraId="537558A8" w14:textId="77777777" w:rsidR="007E44ED" w:rsidRPr="00012420" w:rsidRDefault="007E44ED" w:rsidP="00C15D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2022</w:t>
            </w:r>
          </w:p>
        </w:tc>
      </w:tr>
      <w:tr w:rsidR="007E44ED" w:rsidRPr="00012420" w14:paraId="0653708E"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dxa"/>
          </w:tcPr>
          <w:p w14:paraId="6E4CFF0F" w14:textId="77777777" w:rsidR="007E44ED" w:rsidRPr="00012420" w:rsidRDefault="007E44ED" w:rsidP="00C15D76">
            <w:pPr>
              <w:rPr>
                <w:rFonts w:ascii="Times New Roman" w:hAnsi="Times New Roman" w:cs="Times New Roman"/>
                <w:sz w:val="24"/>
                <w:szCs w:val="24"/>
              </w:rPr>
            </w:pPr>
          </w:p>
        </w:tc>
        <w:tc>
          <w:tcPr>
            <w:tcW w:w="1663" w:type="dxa"/>
          </w:tcPr>
          <w:p w14:paraId="1AE1E1E8"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Clean(All)</w:t>
            </w:r>
          </w:p>
        </w:tc>
        <w:tc>
          <w:tcPr>
            <w:tcW w:w="1663" w:type="dxa"/>
          </w:tcPr>
          <w:p w14:paraId="66A433B5"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Clean(All)</w:t>
            </w:r>
          </w:p>
        </w:tc>
        <w:tc>
          <w:tcPr>
            <w:tcW w:w="1663" w:type="dxa"/>
          </w:tcPr>
          <w:p w14:paraId="446089F6"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Clean(All)</w:t>
            </w:r>
          </w:p>
        </w:tc>
        <w:tc>
          <w:tcPr>
            <w:tcW w:w="1640" w:type="dxa"/>
          </w:tcPr>
          <w:p w14:paraId="469968BA"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Clean(All)</w:t>
            </w:r>
          </w:p>
        </w:tc>
      </w:tr>
      <w:tr w:rsidR="007E44ED" w:rsidRPr="00012420" w14:paraId="5D7018BF" w14:textId="77777777" w:rsidTr="00C15D76">
        <w:tc>
          <w:tcPr>
            <w:cnfStyle w:val="001000000000" w:firstRow="0" w:lastRow="0" w:firstColumn="1" w:lastColumn="0" w:oddVBand="0" w:evenVBand="0" w:oddHBand="0" w:evenHBand="0" w:firstRowFirstColumn="0" w:firstRowLastColumn="0" w:lastRowFirstColumn="0" w:lastRowLastColumn="0"/>
            <w:tcW w:w="1667" w:type="dxa"/>
          </w:tcPr>
          <w:p w14:paraId="4A11A7EA"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Mental health</w:t>
            </w:r>
          </w:p>
        </w:tc>
        <w:tc>
          <w:tcPr>
            <w:tcW w:w="1663" w:type="dxa"/>
          </w:tcPr>
          <w:p w14:paraId="22639BEB"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11.81(11.71)</w:t>
            </w:r>
          </w:p>
        </w:tc>
        <w:tc>
          <w:tcPr>
            <w:tcW w:w="1663" w:type="dxa"/>
          </w:tcPr>
          <w:p w14:paraId="62614D07"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11.77(11.72)</w:t>
            </w:r>
          </w:p>
        </w:tc>
        <w:tc>
          <w:tcPr>
            <w:tcW w:w="1663" w:type="dxa"/>
          </w:tcPr>
          <w:p w14:paraId="49D4EA65"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11.18(11.21)</w:t>
            </w:r>
          </w:p>
        </w:tc>
        <w:tc>
          <w:tcPr>
            <w:tcW w:w="1640" w:type="dxa"/>
          </w:tcPr>
          <w:p w14:paraId="08311144"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10.67(10.78)</w:t>
            </w:r>
          </w:p>
        </w:tc>
      </w:tr>
      <w:tr w:rsidR="007E44ED" w:rsidRPr="00012420" w14:paraId="7DCFE556"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dxa"/>
          </w:tcPr>
          <w:p w14:paraId="30723652"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HW duration</w:t>
            </w:r>
          </w:p>
        </w:tc>
        <w:tc>
          <w:tcPr>
            <w:tcW w:w="1663" w:type="dxa"/>
          </w:tcPr>
          <w:p w14:paraId="289AC6F3"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9.59(8.59)***</w:t>
            </w:r>
          </w:p>
        </w:tc>
        <w:tc>
          <w:tcPr>
            <w:tcW w:w="1663" w:type="dxa"/>
          </w:tcPr>
          <w:p w14:paraId="54CF25FA"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9.97(8.77)***</w:t>
            </w:r>
          </w:p>
        </w:tc>
        <w:tc>
          <w:tcPr>
            <w:tcW w:w="1663" w:type="dxa"/>
          </w:tcPr>
          <w:p w14:paraId="29F0CF86"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9.63(8.48)***</w:t>
            </w:r>
          </w:p>
        </w:tc>
        <w:tc>
          <w:tcPr>
            <w:tcW w:w="1640" w:type="dxa"/>
          </w:tcPr>
          <w:p w14:paraId="16560A25"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9.78(8.51)***</w:t>
            </w:r>
          </w:p>
        </w:tc>
      </w:tr>
      <w:tr w:rsidR="007E44ED" w:rsidRPr="00012420" w14:paraId="5E5F0FAD" w14:textId="77777777" w:rsidTr="00C15D76">
        <w:tc>
          <w:tcPr>
            <w:cnfStyle w:val="001000000000" w:firstRow="0" w:lastRow="0" w:firstColumn="1" w:lastColumn="0" w:oddVBand="0" w:evenVBand="0" w:oddHBand="0" w:evenHBand="0" w:firstRowFirstColumn="0" w:firstRowLastColumn="0" w:lastRowFirstColumn="0" w:lastRowLastColumn="0"/>
            <w:tcW w:w="1667" w:type="dxa"/>
          </w:tcPr>
          <w:p w14:paraId="2B9E016A"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Age</w:t>
            </w:r>
          </w:p>
        </w:tc>
        <w:tc>
          <w:tcPr>
            <w:tcW w:w="1663" w:type="dxa"/>
          </w:tcPr>
          <w:p w14:paraId="67A90C02"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41.09(43.03)***</w:t>
            </w:r>
          </w:p>
        </w:tc>
        <w:tc>
          <w:tcPr>
            <w:tcW w:w="1663" w:type="dxa"/>
          </w:tcPr>
          <w:p w14:paraId="5B3E9406"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41.34(43.05)***</w:t>
            </w:r>
          </w:p>
        </w:tc>
        <w:tc>
          <w:tcPr>
            <w:tcW w:w="1663" w:type="dxa"/>
          </w:tcPr>
          <w:p w14:paraId="0AC18838"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41.03(42.29)***</w:t>
            </w:r>
          </w:p>
        </w:tc>
        <w:tc>
          <w:tcPr>
            <w:tcW w:w="1640" w:type="dxa"/>
          </w:tcPr>
          <w:p w14:paraId="3D937E3F"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40.48(41.59)***</w:t>
            </w:r>
          </w:p>
        </w:tc>
      </w:tr>
      <w:tr w:rsidR="007E44ED" w:rsidRPr="00012420" w14:paraId="00AE34FC"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dxa"/>
          </w:tcPr>
          <w:p w14:paraId="7FE9430D"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Personal income</w:t>
            </w:r>
          </w:p>
        </w:tc>
        <w:tc>
          <w:tcPr>
            <w:tcW w:w="1663" w:type="dxa"/>
          </w:tcPr>
          <w:p w14:paraId="32BE3672"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228.89(246.38)</w:t>
            </w:r>
          </w:p>
          <w:p w14:paraId="463B7C78"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w:t>
            </w:r>
          </w:p>
        </w:tc>
        <w:tc>
          <w:tcPr>
            <w:tcW w:w="1663" w:type="dxa"/>
          </w:tcPr>
          <w:p w14:paraId="7322E540"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222.00(234.52)</w:t>
            </w:r>
          </w:p>
        </w:tc>
        <w:tc>
          <w:tcPr>
            <w:tcW w:w="1663" w:type="dxa"/>
          </w:tcPr>
          <w:p w14:paraId="1CC1CA67"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214.51(222.10)</w:t>
            </w:r>
          </w:p>
        </w:tc>
        <w:tc>
          <w:tcPr>
            <w:tcW w:w="1640" w:type="dxa"/>
          </w:tcPr>
          <w:p w14:paraId="517E9886"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216.95(217.44)</w:t>
            </w:r>
          </w:p>
        </w:tc>
      </w:tr>
      <w:tr w:rsidR="007E44ED" w:rsidRPr="00012420" w14:paraId="7E7AA810" w14:textId="77777777" w:rsidTr="00C15D76">
        <w:tc>
          <w:tcPr>
            <w:cnfStyle w:val="001000000000" w:firstRow="0" w:lastRow="0" w:firstColumn="1" w:lastColumn="0" w:oddVBand="0" w:evenVBand="0" w:oddHBand="0" w:evenHBand="0" w:firstRowFirstColumn="0" w:firstRowLastColumn="0" w:lastRowFirstColumn="0" w:lastRowLastColumn="0"/>
            <w:tcW w:w="1667" w:type="dxa"/>
          </w:tcPr>
          <w:p w14:paraId="36335507"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Satisfaction</w:t>
            </w:r>
          </w:p>
        </w:tc>
        <w:tc>
          <w:tcPr>
            <w:tcW w:w="1663" w:type="dxa"/>
          </w:tcPr>
          <w:p w14:paraId="6A51D132"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5.36(5.407)**</w:t>
            </w:r>
          </w:p>
        </w:tc>
        <w:tc>
          <w:tcPr>
            <w:tcW w:w="1663" w:type="dxa"/>
          </w:tcPr>
          <w:p w14:paraId="5FD366CB"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5.40(5.43)</w:t>
            </w:r>
          </w:p>
        </w:tc>
        <w:tc>
          <w:tcPr>
            <w:tcW w:w="1663" w:type="dxa"/>
          </w:tcPr>
          <w:p w14:paraId="4C1B6EB5"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5.34(5.35)</w:t>
            </w:r>
          </w:p>
        </w:tc>
        <w:tc>
          <w:tcPr>
            <w:tcW w:w="1640" w:type="dxa"/>
          </w:tcPr>
          <w:p w14:paraId="53730459"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5.31(5.31)</w:t>
            </w:r>
          </w:p>
        </w:tc>
      </w:tr>
      <w:tr w:rsidR="007E44ED" w:rsidRPr="00012420" w14:paraId="70125B17"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dxa"/>
          </w:tcPr>
          <w:p w14:paraId="428E76EE"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Autonomy</w:t>
            </w:r>
          </w:p>
        </w:tc>
        <w:tc>
          <w:tcPr>
            <w:tcW w:w="1663" w:type="dxa"/>
          </w:tcPr>
          <w:p w14:paraId="6E7571E2"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3" w:type="dxa"/>
          </w:tcPr>
          <w:p w14:paraId="2A9EDABF"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63" w:type="dxa"/>
          </w:tcPr>
          <w:p w14:paraId="2B3A9DBE"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640" w:type="dxa"/>
          </w:tcPr>
          <w:p w14:paraId="02C23906"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7E44ED" w:rsidRPr="00012420" w14:paraId="03C4EDF2" w14:textId="77777777" w:rsidTr="00C15D76">
        <w:tc>
          <w:tcPr>
            <w:cnfStyle w:val="001000000000" w:firstRow="0" w:lastRow="0" w:firstColumn="1" w:lastColumn="0" w:oddVBand="0" w:evenVBand="0" w:oddHBand="0" w:evenHBand="0" w:firstRowFirstColumn="0" w:firstRowLastColumn="0" w:lastRowFirstColumn="0" w:lastRowLastColumn="0"/>
            <w:tcW w:w="1667" w:type="dxa"/>
          </w:tcPr>
          <w:p w14:paraId="0B3D7F3E"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Job tasks</w:t>
            </w:r>
          </w:p>
        </w:tc>
        <w:tc>
          <w:tcPr>
            <w:tcW w:w="1663" w:type="dxa"/>
          </w:tcPr>
          <w:p w14:paraId="514717B5"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3.12(2.96)***</w:t>
            </w:r>
          </w:p>
        </w:tc>
        <w:tc>
          <w:tcPr>
            <w:tcW w:w="1663" w:type="dxa"/>
          </w:tcPr>
          <w:p w14:paraId="2F655EB6"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3.09(2.94)***</w:t>
            </w:r>
          </w:p>
        </w:tc>
        <w:tc>
          <w:tcPr>
            <w:tcW w:w="1663" w:type="dxa"/>
          </w:tcPr>
          <w:p w14:paraId="5EEF2B6E"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3.08(2.95)***</w:t>
            </w:r>
          </w:p>
        </w:tc>
        <w:tc>
          <w:tcPr>
            <w:tcW w:w="1640" w:type="dxa"/>
          </w:tcPr>
          <w:p w14:paraId="18620776"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3.10(2.97)***</w:t>
            </w:r>
          </w:p>
        </w:tc>
      </w:tr>
      <w:tr w:rsidR="007E44ED" w:rsidRPr="00012420" w14:paraId="5243B713"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dxa"/>
          </w:tcPr>
          <w:p w14:paraId="34E9199B"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Work hours</w:t>
            </w:r>
          </w:p>
        </w:tc>
        <w:tc>
          <w:tcPr>
            <w:tcW w:w="1663" w:type="dxa"/>
          </w:tcPr>
          <w:p w14:paraId="6D882E17"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3.20(3.07)***</w:t>
            </w:r>
          </w:p>
        </w:tc>
        <w:tc>
          <w:tcPr>
            <w:tcW w:w="1663" w:type="dxa"/>
          </w:tcPr>
          <w:p w14:paraId="1C5D1FF2"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3.16(3.03)***</w:t>
            </w:r>
          </w:p>
        </w:tc>
        <w:tc>
          <w:tcPr>
            <w:tcW w:w="1663" w:type="dxa"/>
          </w:tcPr>
          <w:p w14:paraId="3B9F367E"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3.11(3.01)***</w:t>
            </w:r>
          </w:p>
        </w:tc>
        <w:tc>
          <w:tcPr>
            <w:tcW w:w="1640" w:type="dxa"/>
          </w:tcPr>
          <w:p w14:paraId="65FA66B9"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3.13(3.04)***</w:t>
            </w:r>
          </w:p>
        </w:tc>
      </w:tr>
      <w:tr w:rsidR="007E44ED" w:rsidRPr="00012420" w14:paraId="3C582FD4" w14:textId="77777777" w:rsidTr="00C15D76">
        <w:tc>
          <w:tcPr>
            <w:cnfStyle w:val="001000000000" w:firstRow="0" w:lastRow="0" w:firstColumn="1" w:lastColumn="0" w:oddVBand="0" w:evenVBand="0" w:oddHBand="0" w:evenHBand="0" w:firstRowFirstColumn="0" w:firstRowLastColumn="0" w:lastRowFirstColumn="0" w:lastRowLastColumn="0"/>
            <w:tcW w:w="1667" w:type="dxa"/>
          </w:tcPr>
          <w:p w14:paraId="0AD33503"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Task order</w:t>
            </w:r>
          </w:p>
        </w:tc>
        <w:tc>
          <w:tcPr>
            <w:tcW w:w="1663" w:type="dxa"/>
          </w:tcPr>
          <w:p w14:paraId="63A57726"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3.39(3.27)***</w:t>
            </w:r>
          </w:p>
        </w:tc>
        <w:tc>
          <w:tcPr>
            <w:tcW w:w="1663" w:type="dxa"/>
          </w:tcPr>
          <w:p w14:paraId="5DD8DC72"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13.37(3.24)***</w:t>
            </w:r>
          </w:p>
        </w:tc>
        <w:tc>
          <w:tcPr>
            <w:tcW w:w="1663" w:type="dxa"/>
          </w:tcPr>
          <w:p w14:paraId="638DF3FA"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3.37(3.25)***</w:t>
            </w:r>
          </w:p>
        </w:tc>
        <w:tc>
          <w:tcPr>
            <w:tcW w:w="1640" w:type="dxa"/>
          </w:tcPr>
          <w:p w14:paraId="57D5B39B" w14:textId="77777777" w:rsidR="007E44ED" w:rsidRPr="00012420"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3.38(3.27)***</w:t>
            </w:r>
          </w:p>
        </w:tc>
      </w:tr>
      <w:tr w:rsidR="007E44ED" w:rsidRPr="00012420" w14:paraId="3B99B996"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dxa"/>
          </w:tcPr>
          <w:p w14:paraId="1E2FAEC9"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Work pace</w:t>
            </w:r>
          </w:p>
        </w:tc>
        <w:tc>
          <w:tcPr>
            <w:tcW w:w="1663" w:type="dxa"/>
          </w:tcPr>
          <w:p w14:paraId="26511589"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3.43(3.30)***</w:t>
            </w:r>
          </w:p>
        </w:tc>
        <w:tc>
          <w:tcPr>
            <w:tcW w:w="1663" w:type="dxa"/>
          </w:tcPr>
          <w:p w14:paraId="0FB3EB4F"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3.40(3.26)***</w:t>
            </w:r>
          </w:p>
        </w:tc>
        <w:tc>
          <w:tcPr>
            <w:tcW w:w="1663" w:type="dxa"/>
          </w:tcPr>
          <w:p w14:paraId="0456F491"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3.38(3.25)***</w:t>
            </w:r>
          </w:p>
        </w:tc>
        <w:tc>
          <w:tcPr>
            <w:tcW w:w="1640" w:type="dxa"/>
          </w:tcPr>
          <w:p w14:paraId="16F1215D" w14:textId="77777777" w:rsidR="007E44ED" w:rsidRPr="00012420"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12420">
              <w:rPr>
                <w:rFonts w:ascii="Times New Roman" w:hAnsi="Times New Roman" w:cs="Times New Roman"/>
                <w:sz w:val="24"/>
                <w:szCs w:val="24"/>
              </w:rPr>
              <w:t>3.38(3.26)***</w:t>
            </w:r>
          </w:p>
        </w:tc>
      </w:tr>
      <w:tr w:rsidR="007E44ED" w:rsidRPr="00012420" w14:paraId="06B9A787" w14:textId="77777777" w:rsidTr="00C15D76">
        <w:tc>
          <w:tcPr>
            <w:cnfStyle w:val="001000000000" w:firstRow="0" w:lastRow="0" w:firstColumn="1" w:lastColumn="0" w:oddVBand="0" w:evenVBand="0" w:oddHBand="0" w:evenHBand="0" w:firstRowFirstColumn="0" w:firstRowLastColumn="0" w:lastRowFirstColumn="0" w:lastRowLastColumn="0"/>
            <w:tcW w:w="8296" w:type="dxa"/>
            <w:gridSpan w:val="5"/>
          </w:tcPr>
          <w:p w14:paraId="1371904D" w14:textId="77777777" w:rsidR="007E44ED" w:rsidRPr="00012420" w:rsidRDefault="007E44ED" w:rsidP="00C15D76">
            <w:pPr>
              <w:rPr>
                <w:rFonts w:ascii="Times New Roman" w:hAnsi="Times New Roman" w:cs="Times New Roman"/>
                <w:sz w:val="24"/>
                <w:szCs w:val="24"/>
              </w:rPr>
            </w:pPr>
            <w:r w:rsidRPr="00012420">
              <w:rPr>
                <w:rFonts w:ascii="Times New Roman" w:hAnsi="Times New Roman" w:cs="Times New Roman"/>
                <w:sz w:val="24"/>
                <w:szCs w:val="24"/>
              </w:rPr>
              <w:t>*** p &lt; 0.001, ** p &lt; 0.01, * p &lt; 0.05.</w:t>
            </w:r>
            <w:r w:rsidRPr="00012420">
              <w:rPr>
                <w:rFonts w:ascii="Times New Roman" w:eastAsia="DengXian" w:hAnsi="Times New Roman" w:cs="Times New Roman"/>
                <w:sz w:val="24"/>
                <w:szCs w:val="24"/>
              </w:rPr>
              <w:t> </w:t>
            </w:r>
          </w:p>
        </w:tc>
      </w:tr>
    </w:tbl>
    <w:p w14:paraId="1B5C9972" w14:textId="77777777" w:rsidR="007E44ED" w:rsidRPr="00A81B54" w:rsidRDefault="007E44ED" w:rsidP="007E44ED">
      <w:pPr>
        <w:spacing w:afterLines="250" w:after="600" w:line="480" w:lineRule="auto"/>
        <w:contextualSpacing/>
        <w:jc w:val="center"/>
        <w:rPr>
          <w:rFonts w:ascii="Times New Roman" w:hAnsi="Times New Roman" w:cs="Times New Roman"/>
          <w:sz w:val="24"/>
        </w:rPr>
      </w:pPr>
    </w:p>
    <w:p w14:paraId="4A77751E" w14:textId="77777777" w:rsidR="007E44ED" w:rsidRPr="00012420" w:rsidRDefault="007E44ED" w:rsidP="007E44ED">
      <w:pPr>
        <w:spacing w:afterLines="250" w:after="600" w:line="480" w:lineRule="auto"/>
        <w:contextualSpacing/>
        <w:jc w:val="center"/>
        <w:rPr>
          <w:rFonts w:ascii="Times New Roman" w:eastAsia="DengXian" w:hAnsi="Times New Roman" w:cs="Times New Roman"/>
          <w:b/>
          <w:bCs/>
          <w:sz w:val="24"/>
        </w:rPr>
      </w:pPr>
      <w:r w:rsidRPr="00012420">
        <w:rPr>
          <w:rFonts w:ascii="Times New Roman" w:eastAsia="DengXian" w:hAnsi="Times New Roman" w:cs="Times New Roman"/>
          <w:b/>
          <w:bCs/>
          <w:sz w:val="24"/>
        </w:rPr>
        <w:t xml:space="preserve">Appendix </w:t>
      </w:r>
      <w:r>
        <w:rPr>
          <w:rFonts w:ascii="Times New Roman" w:eastAsia="DengXian" w:hAnsi="Times New Roman" w:cs="Times New Roman" w:hint="eastAsia"/>
          <w:b/>
          <w:bCs/>
          <w:sz w:val="24"/>
        </w:rPr>
        <w:t>B</w:t>
      </w:r>
      <w:r w:rsidRPr="00012420">
        <w:rPr>
          <w:rFonts w:ascii="Times New Roman" w:eastAsia="DengXian" w:hAnsi="Times New Roman" w:cs="Times New Roman"/>
          <w:b/>
          <w:bCs/>
          <w:sz w:val="24"/>
        </w:rPr>
        <w:t>. Robustness check using balanced panel estimation</w:t>
      </w:r>
    </w:p>
    <w:p w14:paraId="63D4DD68" w14:textId="77777777" w:rsidR="007E44ED" w:rsidRDefault="007E44ED" w:rsidP="007E44ED">
      <w:pPr>
        <w:rPr>
          <w:rFonts w:ascii="Times New Roman" w:hAnsi="Times New Roman" w:cs="Times New Roman"/>
          <w:sz w:val="24"/>
          <w:szCs w:val="28"/>
        </w:rPr>
      </w:pPr>
      <w:r w:rsidRPr="00012420">
        <w:rPr>
          <w:rFonts w:ascii="Times New Roman" w:hAnsi="Times New Roman" w:cs="Times New Roman"/>
          <w:sz w:val="24"/>
          <w:szCs w:val="28"/>
        </w:rPr>
        <w:t>To assess the robustness of the main findings, an additional fixed-effects model was estimated using a balanced panel sample. The balanced panel includes only individuals observed consistently across all four survey waves, resulting in 194 individuals and 700+ person-wave observations. This specification addresses potential biases arising from sample attrition and unequal observation frequencies in the unbalanced panel.</w:t>
      </w:r>
    </w:p>
    <w:p w14:paraId="783ED2FE" w14:textId="77777777" w:rsidR="007E44ED" w:rsidRPr="00012420" w:rsidRDefault="007E44ED" w:rsidP="007E44ED">
      <w:pPr>
        <w:rPr>
          <w:rFonts w:ascii="Times New Roman" w:hAnsi="Times New Roman" w:cs="Times New Roman"/>
          <w:sz w:val="24"/>
          <w:szCs w:val="28"/>
        </w:rPr>
      </w:pPr>
    </w:p>
    <w:p w14:paraId="1D314FEA" w14:textId="77777777" w:rsidR="007E44ED" w:rsidRDefault="007E44ED" w:rsidP="007E44ED">
      <w:pPr>
        <w:rPr>
          <w:rFonts w:ascii="Times New Roman" w:hAnsi="Times New Roman" w:cs="Times New Roman"/>
          <w:sz w:val="24"/>
          <w:szCs w:val="28"/>
        </w:rPr>
      </w:pPr>
      <w:r w:rsidRPr="00012420">
        <w:rPr>
          <w:rFonts w:ascii="Times New Roman" w:hAnsi="Times New Roman" w:cs="Times New Roman"/>
          <w:sz w:val="24"/>
          <w:szCs w:val="28"/>
        </w:rPr>
        <w:t>Overall, the balanced panel results remain directionally consistent with the main analysis. The coefficient for wives’ household labour share retains a negative sign, indicating that higher proportional domestic participation continues to be associated with lower psychological distress. However, the effect size is attenuated and becomes statistically non-significant in the balanced sample. This reduction in statistical power is expected, given the substantial decrease in sample size.</w:t>
      </w:r>
    </w:p>
    <w:p w14:paraId="07D37E61" w14:textId="77777777" w:rsidR="007E44ED" w:rsidRPr="00012420" w:rsidRDefault="007E44ED" w:rsidP="007E44ED">
      <w:pPr>
        <w:rPr>
          <w:rFonts w:ascii="Times New Roman" w:hAnsi="Times New Roman" w:cs="Times New Roman"/>
          <w:sz w:val="24"/>
          <w:szCs w:val="28"/>
        </w:rPr>
      </w:pPr>
    </w:p>
    <w:p w14:paraId="57A415D2" w14:textId="77777777" w:rsidR="007E44ED" w:rsidRDefault="007E44ED" w:rsidP="007E44ED">
      <w:pPr>
        <w:rPr>
          <w:rFonts w:ascii="Times New Roman" w:hAnsi="Times New Roman" w:cs="Times New Roman"/>
          <w:sz w:val="24"/>
          <w:szCs w:val="28"/>
        </w:rPr>
      </w:pPr>
      <w:r w:rsidRPr="00012420">
        <w:rPr>
          <w:rFonts w:ascii="Times New Roman" w:hAnsi="Times New Roman" w:cs="Times New Roman"/>
          <w:sz w:val="24"/>
          <w:szCs w:val="28"/>
        </w:rPr>
        <w:t>Similarly, the moderating interaction between housework shares and job satisfaction remains positive in sign but does not reach statistical significance. This pattern suggests that while the moderating direction is stable, the smaller balanced panel limits the precision of coefficient estimates.</w:t>
      </w:r>
    </w:p>
    <w:p w14:paraId="4CE5F72C" w14:textId="77777777" w:rsidR="007E44ED" w:rsidRPr="00012420" w:rsidRDefault="007E44ED" w:rsidP="007E44ED">
      <w:pPr>
        <w:rPr>
          <w:rFonts w:ascii="Times New Roman" w:hAnsi="Times New Roman" w:cs="Times New Roman"/>
          <w:sz w:val="24"/>
          <w:szCs w:val="28"/>
        </w:rPr>
      </w:pPr>
    </w:p>
    <w:p w14:paraId="2D4843AE" w14:textId="77777777" w:rsidR="007E44ED" w:rsidRDefault="007E44ED" w:rsidP="007E44ED">
      <w:pPr>
        <w:rPr>
          <w:rFonts w:ascii="Times New Roman" w:hAnsi="Times New Roman" w:cs="Times New Roman"/>
          <w:sz w:val="24"/>
          <w:szCs w:val="28"/>
        </w:rPr>
      </w:pPr>
      <w:r w:rsidRPr="00012420">
        <w:rPr>
          <w:rFonts w:ascii="Times New Roman" w:hAnsi="Times New Roman" w:cs="Times New Roman"/>
          <w:sz w:val="24"/>
          <w:szCs w:val="28"/>
        </w:rPr>
        <w:t>Control variables largely display comparable directional patterns to the main models. The intra-class correlation coefficient (ρ = 0.64) indicates that a substantial proportion of variance remains attributable to time-invariant individual characteristics, further supporting the appropriateness of the fixed-effects specification.</w:t>
      </w:r>
    </w:p>
    <w:p w14:paraId="485924E1" w14:textId="77777777" w:rsidR="007E44ED" w:rsidRPr="00012420" w:rsidRDefault="007E44ED" w:rsidP="007E44ED">
      <w:pPr>
        <w:rPr>
          <w:rFonts w:ascii="Times New Roman" w:hAnsi="Times New Roman" w:cs="Times New Roman"/>
          <w:sz w:val="24"/>
          <w:szCs w:val="28"/>
        </w:rPr>
      </w:pPr>
    </w:p>
    <w:p w14:paraId="1EE8AE32" w14:textId="77777777" w:rsidR="007E44ED" w:rsidRDefault="007E44ED" w:rsidP="007E44ED">
      <w:pPr>
        <w:rPr>
          <w:rFonts w:ascii="Times New Roman" w:hAnsi="Times New Roman" w:cs="Times New Roman"/>
          <w:sz w:val="24"/>
          <w:szCs w:val="28"/>
        </w:rPr>
      </w:pPr>
      <w:r w:rsidRPr="00012420">
        <w:rPr>
          <w:rFonts w:ascii="Times New Roman" w:hAnsi="Times New Roman" w:cs="Times New Roman"/>
          <w:sz w:val="24"/>
          <w:szCs w:val="28"/>
        </w:rPr>
        <w:t>Taken together, the balanced panel estimation provides partial robustness support. Although statistical significance weakens due to reduced sample size, the stability in coefficient direction reinforces the substantive interpretation of the main findings.</w:t>
      </w:r>
    </w:p>
    <w:p w14:paraId="5F6F8190" w14:textId="77777777" w:rsidR="007E44ED" w:rsidRDefault="007E44ED" w:rsidP="007E44ED">
      <w:pPr>
        <w:rPr>
          <w:rFonts w:ascii="Times New Roman" w:hAnsi="Times New Roman" w:cs="Times New Roman"/>
          <w:sz w:val="24"/>
          <w:szCs w:val="28"/>
        </w:rPr>
      </w:pPr>
    </w:p>
    <w:p w14:paraId="53CA6381" w14:textId="77777777" w:rsidR="007E44ED" w:rsidRDefault="007E44ED" w:rsidP="007E44ED">
      <w:pPr>
        <w:spacing w:afterLines="250" w:after="600" w:line="480" w:lineRule="auto"/>
        <w:contextualSpacing/>
        <w:jc w:val="center"/>
        <w:rPr>
          <w:rFonts w:ascii="Times New Roman" w:hAnsi="Times New Roman" w:cs="Times New Roman"/>
          <w:b/>
          <w:bCs/>
          <w:sz w:val="24"/>
        </w:rPr>
      </w:pPr>
      <w:r w:rsidRPr="00012420">
        <w:rPr>
          <w:rFonts w:ascii="Times New Roman" w:hAnsi="Times New Roman" w:cs="Times New Roman"/>
          <w:b/>
          <w:bCs/>
          <w:sz w:val="24"/>
        </w:rPr>
        <w:t xml:space="preserve">Table </w:t>
      </w:r>
      <w:r>
        <w:rPr>
          <w:rFonts w:ascii="Times New Roman" w:hAnsi="Times New Roman" w:cs="Times New Roman" w:hint="eastAsia"/>
          <w:b/>
          <w:bCs/>
          <w:sz w:val="24"/>
        </w:rPr>
        <w:t>B</w:t>
      </w:r>
      <w:r w:rsidRPr="00012420">
        <w:rPr>
          <w:rFonts w:ascii="Times New Roman" w:hAnsi="Times New Roman" w:cs="Times New Roman"/>
          <w:b/>
          <w:bCs/>
          <w:sz w:val="24"/>
        </w:rPr>
        <w:t xml:space="preserve">1.  </w:t>
      </w:r>
      <w:r w:rsidRPr="00012420">
        <w:rPr>
          <w:rFonts w:ascii="Times New Roman" w:hAnsi="Times New Roman" w:cs="Times New Roman"/>
          <w:sz w:val="24"/>
        </w:rPr>
        <w:t>The comparison and the T-test from 2016 to 2022</w:t>
      </w:r>
    </w:p>
    <w:tbl>
      <w:tblPr>
        <w:tblStyle w:val="PlainTable5"/>
        <w:tblW w:w="0" w:type="auto"/>
        <w:tblLook w:val="04A0" w:firstRow="1" w:lastRow="0" w:firstColumn="1" w:lastColumn="0" w:noHBand="0" w:noVBand="1"/>
      </w:tblPr>
      <w:tblGrid>
        <w:gridCol w:w="4148"/>
        <w:gridCol w:w="4148"/>
      </w:tblGrid>
      <w:tr w:rsidR="007E44ED" w:rsidRPr="00C33A43" w14:paraId="78DDFD42" w14:textId="77777777" w:rsidTr="00C15D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48" w:type="dxa"/>
          </w:tcPr>
          <w:p w14:paraId="16581ED0"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Variable</w:t>
            </w:r>
          </w:p>
        </w:tc>
        <w:tc>
          <w:tcPr>
            <w:tcW w:w="4148" w:type="dxa"/>
          </w:tcPr>
          <w:p w14:paraId="4DA2C7F6" w14:textId="77777777" w:rsidR="007E44ED" w:rsidRPr="00C33A43" w:rsidRDefault="007E44ED" w:rsidP="00C15D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Estimator (SE)</w:t>
            </w:r>
          </w:p>
        </w:tc>
      </w:tr>
      <w:tr w:rsidR="007E44ED" w:rsidRPr="00C33A43" w14:paraId="183F0155"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14:paraId="7749C575"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HW share</w:t>
            </w:r>
          </w:p>
        </w:tc>
        <w:tc>
          <w:tcPr>
            <w:tcW w:w="4148" w:type="dxa"/>
          </w:tcPr>
          <w:p w14:paraId="64291CB4" w14:textId="77777777" w:rsidR="007E44ED" w:rsidRPr="00C33A43"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-6.31 (7.41)</w:t>
            </w:r>
          </w:p>
        </w:tc>
      </w:tr>
      <w:tr w:rsidR="007E44ED" w:rsidRPr="00C33A43" w14:paraId="04C8156F" w14:textId="77777777" w:rsidTr="00C15D76">
        <w:tc>
          <w:tcPr>
            <w:cnfStyle w:val="001000000000" w:firstRow="0" w:lastRow="0" w:firstColumn="1" w:lastColumn="0" w:oddVBand="0" w:evenVBand="0" w:oddHBand="0" w:evenHBand="0" w:firstRowFirstColumn="0" w:firstRowLastColumn="0" w:lastRowFirstColumn="0" w:lastRowLastColumn="0"/>
            <w:tcW w:w="4148" w:type="dxa"/>
          </w:tcPr>
          <w:p w14:paraId="4422C87C"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HW duration</w:t>
            </w:r>
          </w:p>
        </w:tc>
        <w:tc>
          <w:tcPr>
            <w:tcW w:w="4148" w:type="dxa"/>
          </w:tcPr>
          <w:p w14:paraId="05721624" w14:textId="77777777" w:rsidR="007E44ED" w:rsidRPr="00C33A43"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0.03 (0.04)</w:t>
            </w:r>
          </w:p>
        </w:tc>
      </w:tr>
      <w:tr w:rsidR="007E44ED" w:rsidRPr="00C33A43" w14:paraId="4D45E955"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14:paraId="0AEAF934"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Satisfaction</w:t>
            </w:r>
          </w:p>
        </w:tc>
        <w:tc>
          <w:tcPr>
            <w:tcW w:w="4148" w:type="dxa"/>
          </w:tcPr>
          <w:p w14:paraId="7366E401" w14:textId="77777777" w:rsidR="007E44ED" w:rsidRPr="00C33A43"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-1.54 (0.85)</w:t>
            </w:r>
          </w:p>
        </w:tc>
      </w:tr>
      <w:tr w:rsidR="007E44ED" w:rsidRPr="00C33A43" w14:paraId="4D85C3B0" w14:textId="77777777" w:rsidTr="00C15D76">
        <w:tc>
          <w:tcPr>
            <w:cnfStyle w:val="001000000000" w:firstRow="0" w:lastRow="0" w:firstColumn="1" w:lastColumn="0" w:oddVBand="0" w:evenVBand="0" w:oddHBand="0" w:evenHBand="0" w:firstRowFirstColumn="0" w:firstRowLastColumn="0" w:lastRowFirstColumn="0" w:lastRowLastColumn="0"/>
            <w:tcW w:w="4148" w:type="dxa"/>
          </w:tcPr>
          <w:p w14:paraId="0E153C2C"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HW share x Sat.</w:t>
            </w:r>
          </w:p>
        </w:tc>
        <w:tc>
          <w:tcPr>
            <w:tcW w:w="4148" w:type="dxa"/>
          </w:tcPr>
          <w:p w14:paraId="5FB212BD" w14:textId="77777777" w:rsidR="007E44ED" w:rsidRPr="00C33A43"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0.71 (1.28)</w:t>
            </w:r>
          </w:p>
        </w:tc>
      </w:tr>
      <w:tr w:rsidR="007E44ED" w:rsidRPr="00C33A43" w14:paraId="0054EFCB"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14:paraId="1FB1076A"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Constant</w:t>
            </w:r>
          </w:p>
        </w:tc>
        <w:tc>
          <w:tcPr>
            <w:tcW w:w="4148" w:type="dxa"/>
          </w:tcPr>
          <w:p w14:paraId="65762421" w14:textId="77777777" w:rsidR="007E44ED" w:rsidRPr="00C33A43"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8.08 (6.99)</w:t>
            </w:r>
          </w:p>
        </w:tc>
      </w:tr>
      <w:tr w:rsidR="007E44ED" w:rsidRPr="00C33A43" w14:paraId="50EE0451" w14:textId="77777777" w:rsidTr="00C15D76">
        <w:tc>
          <w:tcPr>
            <w:cnfStyle w:val="001000000000" w:firstRow="0" w:lastRow="0" w:firstColumn="1" w:lastColumn="0" w:oddVBand="0" w:evenVBand="0" w:oddHBand="0" w:evenHBand="0" w:firstRowFirstColumn="0" w:firstRowLastColumn="0" w:lastRowFirstColumn="0" w:lastRowLastColumn="0"/>
            <w:tcW w:w="4148" w:type="dxa"/>
          </w:tcPr>
          <w:p w14:paraId="557FDE24"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Sigma_u</w:t>
            </w:r>
          </w:p>
        </w:tc>
        <w:tc>
          <w:tcPr>
            <w:tcW w:w="4148" w:type="dxa"/>
          </w:tcPr>
          <w:p w14:paraId="2579E90B" w14:textId="77777777" w:rsidR="007E44ED" w:rsidRPr="00C33A43"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5.23</w:t>
            </w:r>
          </w:p>
        </w:tc>
      </w:tr>
      <w:tr w:rsidR="007E44ED" w:rsidRPr="00C33A43" w14:paraId="449D2BC7"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tcPr>
          <w:p w14:paraId="56286F8A"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Sigma_e</w:t>
            </w:r>
          </w:p>
        </w:tc>
        <w:tc>
          <w:tcPr>
            <w:tcW w:w="4148" w:type="dxa"/>
          </w:tcPr>
          <w:p w14:paraId="684BF259" w14:textId="77777777" w:rsidR="007E44ED" w:rsidRPr="00C33A43" w:rsidRDefault="007E44ED" w:rsidP="00C15D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3.95</w:t>
            </w:r>
          </w:p>
        </w:tc>
      </w:tr>
      <w:tr w:rsidR="007E44ED" w:rsidRPr="00C33A43" w14:paraId="1302BE1D" w14:textId="77777777" w:rsidTr="00C15D76">
        <w:tc>
          <w:tcPr>
            <w:cnfStyle w:val="001000000000" w:firstRow="0" w:lastRow="0" w:firstColumn="1" w:lastColumn="0" w:oddVBand="0" w:evenVBand="0" w:oddHBand="0" w:evenHBand="0" w:firstRowFirstColumn="0" w:firstRowLastColumn="0" w:lastRowFirstColumn="0" w:lastRowLastColumn="0"/>
            <w:tcW w:w="4148" w:type="dxa"/>
          </w:tcPr>
          <w:p w14:paraId="5CA55D43"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Rho</w:t>
            </w:r>
          </w:p>
        </w:tc>
        <w:tc>
          <w:tcPr>
            <w:tcW w:w="4148" w:type="dxa"/>
          </w:tcPr>
          <w:p w14:paraId="4EF7C9BA" w14:textId="77777777" w:rsidR="007E44ED" w:rsidRPr="00C33A43" w:rsidRDefault="007E44ED" w:rsidP="00C15D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C33A43">
              <w:rPr>
                <w:rFonts w:ascii="Times New Roman" w:hAnsi="Times New Roman" w:cs="Times New Roman"/>
                <w:sz w:val="24"/>
                <w:szCs w:val="28"/>
              </w:rPr>
              <w:t>0.637</w:t>
            </w:r>
          </w:p>
        </w:tc>
      </w:tr>
      <w:tr w:rsidR="007E44ED" w:rsidRPr="00C33A43" w14:paraId="2DCCEAC1" w14:textId="77777777" w:rsidTr="00C15D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2"/>
          </w:tcPr>
          <w:p w14:paraId="6B441455" w14:textId="77777777" w:rsidR="007E44ED" w:rsidRPr="00C33A43" w:rsidRDefault="007E44ED" w:rsidP="00C15D76">
            <w:pPr>
              <w:rPr>
                <w:rFonts w:ascii="Times New Roman" w:hAnsi="Times New Roman" w:cs="Times New Roman"/>
                <w:sz w:val="24"/>
                <w:szCs w:val="28"/>
              </w:rPr>
            </w:pPr>
            <w:r w:rsidRPr="00C33A43">
              <w:rPr>
                <w:rFonts w:ascii="Times New Roman" w:hAnsi="Times New Roman" w:cs="Times New Roman"/>
                <w:sz w:val="24"/>
                <w:szCs w:val="28"/>
              </w:rPr>
              <w:t>*** p &lt; 0.001, ** p &lt; 0.01, * p &lt; 0.05. </w:t>
            </w:r>
          </w:p>
        </w:tc>
      </w:tr>
    </w:tbl>
    <w:p w14:paraId="2956BAEB" w14:textId="77777777" w:rsidR="007E44ED" w:rsidRDefault="007E44ED" w:rsidP="007E44ED">
      <w:pPr>
        <w:rPr>
          <w:rFonts w:ascii="Times New Roman" w:hAnsi="Times New Roman" w:cs="Times New Roman"/>
          <w:sz w:val="24"/>
          <w:szCs w:val="28"/>
        </w:rPr>
      </w:pPr>
    </w:p>
    <w:p w14:paraId="7F4D83D0" w14:textId="77777777" w:rsidR="004E780C" w:rsidRDefault="004E780C"/>
    <w:sectPr w:rsidR="004E7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ED"/>
    <w:rsid w:val="001E771E"/>
    <w:rsid w:val="002978F5"/>
    <w:rsid w:val="003852CF"/>
    <w:rsid w:val="004E780C"/>
    <w:rsid w:val="007E44ED"/>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CEC6"/>
  <w15:chartTrackingRefBased/>
  <w15:docId w15:val="{4E117D14-97D7-4B84-83A9-FF163AA7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4ED"/>
    <w:pPr>
      <w:widowControl w:val="0"/>
      <w:spacing w:after="0" w:line="240" w:lineRule="auto"/>
      <w:jc w:val="both"/>
    </w:pPr>
    <w:rPr>
      <w:rFonts w:eastAsiaTheme="minorEastAsia"/>
      <w:sz w:val="21"/>
      <w:szCs w:val="22"/>
      <w:lang w:eastAsia="zh-CN"/>
    </w:rPr>
  </w:style>
  <w:style w:type="paragraph" w:styleId="Heading1">
    <w:name w:val="heading 1"/>
    <w:basedOn w:val="Normal"/>
    <w:next w:val="Normal"/>
    <w:link w:val="Heading1Char"/>
    <w:uiPriority w:val="9"/>
    <w:qFormat/>
    <w:rsid w:val="007E44ED"/>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7E44ED"/>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7E44ED"/>
    <w:pPr>
      <w:keepNext/>
      <w:keepLines/>
      <w:widowControl/>
      <w:spacing w:before="160" w:after="80" w:line="278" w:lineRule="auto"/>
      <w:jc w:val="left"/>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7E44ED"/>
    <w:pPr>
      <w:keepNext/>
      <w:keepLines/>
      <w:widowControl/>
      <w:spacing w:before="80" w:after="40" w:line="278" w:lineRule="auto"/>
      <w:jc w:val="left"/>
      <w:outlineLvl w:val="3"/>
    </w:pPr>
    <w:rPr>
      <w:rFonts w:eastAsiaTheme="majorEastAsia"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7E44ED"/>
    <w:pPr>
      <w:keepNext/>
      <w:keepLines/>
      <w:widowControl/>
      <w:spacing w:before="80" w:after="40" w:line="278" w:lineRule="auto"/>
      <w:jc w:val="left"/>
      <w:outlineLvl w:val="4"/>
    </w:pPr>
    <w:rPr>
      <w:rFonts w:eastAsiaTheme="majorEastAsia"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7E44ED"/>
    <w:pPr>
      <w:keepNext/>
      <w:keepLines/>
      <w:widowControl/>
      <w:spacing w:before="40" w:line="278" w:lineRule="auto"/>
      <w:jc w:val="left"/>
      <w:outlineLvl w:val="5"/>
    </w:pPr>
    <w:rPr>
      <w:rFonts w:eastAsiaTheme="majorEastAsia"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7E44ED"/>
    <w:pPr>
      <w:keepNext/>
      <w:keepLines/>
      <w:widowControl/>
      <w:spacing w:before="40" w:line="278" w:lineRule="auto"/>
      <w:jc w:val="left"/>
      <w:outlineLvl w:val="6"/>
    </w:pPr>
    <w:rPr>
      <w:rFonts w:eastAsiaTheme="majorEastAsia"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7E44ED"/>
    <w:pPr>
      <w:keepNext/>
      <w:keepLines/>
      <w:widowControl/>
      <w:spacing w:line="278" w:lineRule="auto"/>
      <w:jc w:val="left"/>
      <w:outlineLvl w:val="7"/>
    </w:pPr>
    <w:rPr>
      <w:rFonts w:eastAsiaTheme="majorEastAsia"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7E44ED"/>
    <w:pPr>
      <w:keepNext/>
      <w:keepLines/>
      <w:widowControl/>
      <w:spacing w:line="278" w:lineRule="auto"/>
      <w:jc w:val="left"/>
      <w:outlineLvl w:val="8"/>
    </w:pPr>
    <w:rPr>
      <w:rFonts w:eastAsiaTheme="majorEastAsia"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4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4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4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4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4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4ED"/>
    <w:rPr>
      <w:rFonts w:eastAsiaTheme="majorEastAsia" w:cstheme="majorBidi"/>
      <w:color w:val="272727" w:themeColor="text1" w:themeTint="D8"/>
    </w:rPr>
  </w:style>
  <w:style w:type="paragraph" w:styleId="Title">
    <w:name w:val="Title"/>
    <w:basedOn w:val="Normal"/>
    <w:next w:val="Normal"/>
    <w:link w:val="TitleChar"/>
    <w:uiPriority w:val="10"/>
    <w:qFormat/>
    <w:rsid w:val="007E44ED"/>
    <w:pPr>
      <w:widowControl/>
      <w:spacing w:after="80"/>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7E44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4ED"/>
    <w:pPr>
      <w:widowControl/>
      <w:numPr>
        <w:ilvl w:val="1"/>
      </w:numPr>
      <w:spacing w:after="160" w:line="278" w:lineRule="auto"/>
      <w:jc w:val="left"/>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7E44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4ED"/>
    <w:pPr>
      <w:widowControl/>
      <w:spacing w:before="160" w:after="160" w:line="278" w:lineRule="auto"/>
      <w:jc w:val="center"/>
    </w:pPr>
    <w:rPr>
      <w:rFonts w:eastAsiaTheme="minorHAnsi"/>
      <w:i/>
      <w:iCs/>
      <w:color w:val="404040" w:themeColor="text1" w:themeTint="BF"/>
      <w:sz w:val="24"/>
      <w:szCs w:val="24"/>
      <w:lang w:eastAsia="en-US"/>
    </w:rPr>
  </w:style>
  <w:style w:type="character" w:customStyle="1" w:styleId="QuoteChar">
    <w:name w:val="Quote Char"/>
    <w:basedOn w:val="DefaultParagraphFont"/>
    <w:link w:val="Quote"/>
    <w:uiPriority w:val="29"/>
    <w:rsid w:val="007E44ED"/>
    <w:rPr>
      <w:i/>
      <w:iCs/>
      <w:color w:val="404040" w:themeColor="text1" w:themeTint="BF"/>
    </w:rPr>
  </w:style>
  <w:style w:type="paragraph" w:styleId="ListParagraph">
    <w:name w:val="List Paragraph"/>
    <w:basedOn w:val="Normal"/>
    <w:uiPriority w:val="34"/>
    <w:qFormat/>
    <w:rsid w:val="007E44ED"/>
    <w:pPr>
      <w:widowControl/>
      <w:spacing w:after="160" w:line="278" w:lineRule="auto"/>
      <w:ind w:left="720"/>
      <w:contextualSpacing/>
      <w:jc w:val="left"/>
    </w:pPr>
    <w:rPr>
      <w:rFonts w:eastAsiaTheme="minorHAnsi"/>
      <w:sz w:val="24"/>
      <w:szCs w:val="24"/>
      <w:lang w:eastAsia="en-US"/>
    </w:rPr>
  </w:style>
  <w:style w:type="character" w:styleId="IntenseEmphasis">
    <w:name w:val="Intense Emphasis"/>
    <w:basedOn w:val="DefaultParagraphFont"/>
    <w:uiPriority w:val="21"/>
    <w:qFormat/>
    <w:rsid w:val="007E44ED"/>
    <w:rPr>
      <w:i/>
      <w:iCs/>
      <w:color w:val="0F4761" w:themeColor="accent1" w:themeShade="BF"/>
    </w:rPr>
  </w:style>
  <w:style w:type="paragraph" w:styleId="IntenseQuote">
    <w:name w:val="Intense Quote"/>
    <w:basedOn w:val="Normal"/>
    <w:next w:val="Normal"/>
    <w:link w:val="IntenseQuoteChar"/>
    <w:uiPriority w:val="30"/>
    <w:qFormat/>
    <w:rsid w:val="007E44ED"/>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7E44ED"/>
    <w:rPr>
      <w:i/>
      <w:iCs/>
      <w:color w:val="0F4761" w:themeColor="accent1" w:themeShade="BF"/>
    </w:rPr>
  </w:style>
  <w:style w:type="character" w:styleId="IntenseReference">
    <w:name w:val="Intense Reference"/>
    <w:basedOn w:val="DefaultParagraphFont"/>
    <w:uiPriority w:val="32"/>
    <w:qFormat/>
    <w:rsid w:val="007E44ED"/>
    <w:rPr>
      <w:b/>
      <w:bCs/>
      <w:smallCaps/>
      <w:color w:val="0F4761" w:themeColor="accent1" w:themeShade="BF"/>
      <w:spacing w:val="5"/>
    </w:rPr>
  </w:style>
  <w:style w:type="table" w:styleId="PlainTable5">
    <w:name w:val="Plain Table 5"/>
    <w:basedOn w:val="TableNormal"/>
    <w:uiPriority w:val="45"/>
    <w:rsid w:val="007E44ED"/>
    <w:pPr>
      <w:spacing w:after="0" w:line="240" w:lineRule="auto"/>
    </w:pPr>
    <w:rPr>
      <w:rFonts w:eastAsiaTheme="minorEastAsia"/>
      <w:sz w:val="21"/>
      <w:szCs w:val="22"/>
      <w:lang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2026-05-20T07:31:00Z</dcterms:created>
  <dcterms:modified xsi:type="dcterms:W3CDTF">2026-05-20T07:31:00Z</dcterms:modified>
</cp:coreProperties>
</file>