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D445C" w14:textId="77777777" w:rsidR="00CE0AEB" w:rsidRPr="00CE0AEB" w:rsidRDefault="00CE0AEB" w:rsidP="00CE0AEB">
      <w:pPr>
        <w:jc w:val="both"/>
        <w:rPr>
          <w:sz w:val="24"/>
          <w:szCs w:val="24"/>
        </w:rPr>
      </w:pPr>
      <w:r w:rsidRPr="00CE0AEB">
        <w:rPr>
          <w:sz w:val="24"/>
          <w:szCs w:val="24"/>
        </w:rPr>
        <w:t>A Global and National Safe and Just Operating Space for Humanity </w:t>
      </w:r>
    </w:p>
    <w:p w14:paraId="20D874D5" w14:textId="77777777" w:rsidR="009A3ED1" w:rsidRDefault="009A3ED1" w:rsidP="00FE3D37">
      <w:pPr>
        <w:jc w:val="both"/>
      </w:pPr>
    </w:p>
    <w:p w14:paraId="005DF0C5" w14:textId="36383A54" w:rsidR="00CE0AEB" w:rsidRPr="00750E22" w:rsidRDefault="00CE0AEB" w:rsidP="00750E22">
      <w:pPr>
        <w:jc w:val="center"/>
        <w:rPr>
          <w:b/>
          <w:bCs/>
          <w:sz w:val="24"/>
          <w:szCs w:val="24"/>
        </w:rPr>
      </w:pPr>
      <w:r w:rsidRPr="00750E22">
        <w:rPr>
          <w:b/>
          <w:bCs/>
          <w:sz w:val="24"/>
          <w:szCs w:val="24"/>
        </w:rPr>
        <w:t>Supp</w:t>
      </w:r>
      <w:r w:rsidR="00CE7A94">
        <w:rPr>
          <w:b/>
          <w:bCs/>
          <w:sz w:val="24"/>
          <w:szCs w:val="24"/>
        </w:rPr>
        <w:t>lementary</w:t>
      </w:r>
      <w:r w:rsidRPr="00750E22">
        <w:rPr>
          <w:b/>
          <w:bCs/>
          <w:sz w:val="24"/>
          <w:szCs w:val="24"/>
        </w:rPr>
        <w:t xml:space="preserve"> Information</w:t>
      </w:r>
      <w:r w:rsidR="0064273D">
        <w:rPr>
          <w:b/>
          <w:bCs/>
          <w:sz w:val="24"/>
          <w:szCs w:val="24"/>
        </w:rPr>
        <w:t xml:space="preserve"> B</w:t>
      </w:r>
    </w:p>
    <w:p w14:paraId="3D9C1B29" w14:textId="77777777" w:rsidR="009A3ED1" w:rsidRDefault="009A3ED1" w:rsidP="00FE3D37">
      <w:pPr>
        <w:jc w:val="both"/>
      </w:pPr>
    </w:p>
    <w:p w14:paraId="2274DF24" w14:textId="485517D4" w:rsidR="00750E22" w:rsidRDefault="00CC3DC6" w:rsidP="00CC3DC6">
      <w:pPr>
        <w:pStyle w:val="ListParagraph"/>
        <w:numPr>
          <w:ilvl w:val="0"/>
          <w:numId w:val="8"/>
        </w:numPr>
        <w:jc w:val="both"/>
      </w:pPr>
      <w:r>
        <w:t>Details of the methodology</w:t>
      </w:r>
    </w:p>
    <w:p w14:paraId="5E3408A7" w14:textId="41D29D7A" w:rsidR="00CC3DC6" w:rsidRDefault="00CC3DC6" w:rsidP="00CC3DC6">
      <w:pPr>
        <w:jc w:val="both"/>
      </w:pPr>
      <w:r w:rsidRPr="00CC3DC6">
        <w:t xml:space="preserve">This study combines Environmentally Extended Multiregional Input-Output (EEMRIO) analysis with location-specific biophysical accounting to assess national consumption footprints against </w:t>
      </w:r>
      <w:r w:rsidR="001D7537">
        <w:t>national ecological carrying capacity (</w:t>
      </w:r>
      <w:r w:rsidRPr="00CC3DC6">
        <w:t>NECC</w:t>
      </w:r>
      <w:r w:rsidR="001D7537">
        <w:t>)</w:t>
      </w:r>
      <w:r w:rsidRPr="00CC3DC6">
        <w:t xml:space="preserve"> for six environmental pressures. We use the Eora26 EEMRIO database (v199.82 basic price)</w:t>
      </w:r>
      <w:r w:rsidR="0041485D">
        <w:t xml:space="preserve"> </w:t>
      </w:r>
      <w:r w:rsidR="0041485D">
        <w:fldChar w:fldCharType="begin"/>
      </w:r>
      <w:r w:rsidR="0041485D">
        <w:instrText xml:space="preserve"> ADDIN ZOTERO_ITEM CSL_CITATION {"citationID":"JYBxJlbe","properties":{"formattedCitation":"(Lenzen et al., 2012, 2013)","plainCitation":"(Lenzen et al., 2012, 2013)","noteIndex":0},"citationItems":[{"id":10684,"uris":["http://zotero.org/users/13839701/items/DACGMCND"],"itemData":{"id":10684,"type":"article-journal","abstract":"We have developed a new series of environmentally extended multi-region input–output (MRIO) tables with applications in carbon, water, and ecological footprinting, and Life-Cycle Assessment, as well as trend and key driver analyses. Such applications have recently been at the forefront of global policy debates, such as about assigning responsibility for emissions embodied in internationally traded products. The new time series was constructed using advanced parallelized supercomputing resources, and significantly advances the previous state of art because of four innovations. First, it is available as a continuous 20-year time series of MRIO tables. Second, it distinguishes 187 individual countries comprising more than 15,000 industry sectors, and hence offers unsurpassed detail. Third, it provides information just 1–3 years delayed therefore significantly improving timeliness. Fourth, it presents MRIO elements with accompanying standard deviations in order to allow users to understand the reliability of data. These advances will lead to material improvements in the capability of applications that rely on input–output tables. The timeliness of information means that analyses are more relevant to current policy questions. The continuity of the time series enables the robust identification of key trends and drivers of global environmental change. The high country and sector detail drastically improves the resolution of Life-Cycle Assessments. Finally, the availability of information on uncertainty allows policy-makers to quantitatively judge the level of confidence that can be placed in the results of analyses.","container-title":"Environmental Science &amp; Technology","DOI":"10.1021/es300171x","ISSN":"0013-936X","issue":"15","journalAbbreviation":"Environ. Sci. Technol.","note":"publisher: American Chemical Society","page":"8374-8381","source":"ACS Publications","title":"Mapping the Structure of the World Economy","volume":"46","author":[{"family":"Lenzen","given":"Manfred"},{"family":"Kanemoto","given":"Keiichiro"},{"family":"Moran","given":"Daniel"},{"family":"Geschke","given":"Arne"}],"issued":{"date-parts":[["2012",8,7]]}}},{"id":10685,"uris":["http://zotero.org/users/13839701/items/PTL5UCML"],"itemData":{"id":10685,"type":"article-journal","abstract":"There are a number of initiatives aimed at compiling large-scale global multi-region input–output (MRIO) tables complemented with non-monetary information such as on resource flows and environmental burdens. Depending on purpose or application, MRIO construction and usage has been hampered by a lack of geographical and sectoral detail; at the time of writing, the most advanced initiatives opt for a breakdown into at most 129 regions and 120 sectors. Not all existing global MRIO frameworks feature continuous time series, margins and tax sheets, and information on reliability and uncertainty. Despite these potential limitations, constructing a large MRIO requires significant manual labour and many years of time. This paper describes the results from a project aimed at creating an MRIO account that represents all countries at a detailed sectoral level, allows continuous updating, provides information on data reliability, contains table sheets expressed in basic prices as well as all margins and taxes, and contains a historical time series. We achieve these goals through a high level of procedural standardisation, automation, and data organisation.","container-title":"Economic Systems Research","DOI":"10.1080/09535314.2013.769938","ISSN":"0953-5314","issue":"1","note":"publisher: Routledge\n_eprint: https://doi.org/10.1080/09535314.2013.769938","page":"20-49","source":"Taylor and Francis+NEJM","title":"Building Eora: A Global Multi-Region Input–Output Database at High Country and Sector Resolution","title-short":"Building Eora","volume":"25","author":[{"family":"Lenzen","given":"Manfred"},{"family":"Moran","given":"Daniel"},{"family":"Kanemoto","given":"Keiichiro"},{"family":"Geschke","given":"Arne"}],"issued":{"date-parts":[["2013",3,1]]}}}],"schema":"https://github.com/citation-style-language/schema/raw/master/csl-citation.json"} </w:instrText>
      </w:r>
      <w:r w:rsidR="0041485D">
        <w:fldChar w:fldCharType="separate"/>
      </w:r>
      <w:r w:rsidR="0041485D" w:rsidRPr="0041485D">
        <w:rPr>
          <w:rFonts w:ascii="Aptos" w:hAnsi="Aptos"/>
        </w:rPr>
        <w:t>(Lenzen et al., 2012, 2013)</w:t>
      </w:r>
      <w:r w:rsidR="0041485D">
        <w:fldChar w:fldCharType="end"/>
      </w:r>
      <w:r w:rsidRPr="00CC3DC6">
        <w:t xml:space="preserve"> for 2017</w:t>
      </w:r>
      <w:r w:rsidR="005A2B39">
        <w:t xml:space="preserve"> (</w:t>
      </w:r>
      <w:r w:rsidR="00D065CA">
        <w:t xml:space="preserve">most recent year for which there is </w:t>
      </w:r>
      <w:r w:rsidR="002E5BBF">
        <w:t>non-paid available data</w:t>
      </w:r>
      <w:r w:rsidR="005A2B39">
        <w:t>)</w:t>
      </w:r>
      <w:r w:rsidRPr="00CC3DC6">
        <w:t xml:space="preserve"> covering 189 countries, integrated with environmental extensions for land use (cropland, pasture, forest), blue water</w:t>
      </w:r>
      <w:r w:rsidR="00166552">
        <w:t xml:space="preserve"> consumption</w:t>
      </w:r>
      <w:r w:rsidRPr="00CC3DC6">
        <w:t xml:space="preserve">, and nutrient flows (nitrogen (N) and phosphorus (P)). We then develop a normative consumption scenario to evaluate redistribution potential within global boundaries.  </w:t>
      </w:r>
    </w:p>
    <w:p w14:paraId="241062AD" w14:textId="0B6E2E78" w:rsidR="00F72841" w:rsidRDefault="00F72841" w:rsidP="00CC3DC6">
      <w:pPr>
        <w:jc w:val="both"/>
      </w:pPr>
      <w:r>
        <w:t>Here we provide a detailed methodology for pasture</w:t>
      </w:r>
      <w:r w:rsidR="008340AB">
        <w:t xml:space="preserve"> land use</w:t>
      </w:r>
      <w:r>
        <w:t xml:space="preserve">, </w:t>
      </w:r>
      <w:r w:rsidR="008340AB">
        <w:t xml:space="preserve">since the calculations for this environmental pressure </w:t>
      </w:r>
      <w:r w:rsidR="003D75CB">
        <w:t xml:space="preserve">consist of </w:t>
      </w:r>
      <w:r w:rsidR="00966651">
        <w:t xml:space="preserve">extra </w:t>
      </w:r>
      <w:r w:rsidR="003D75CB">
        <w:t xml:space="preserve">steps </w:t>
      </w:r>
      <w:r w:rsidR="00966651">
        <w:t xml:space="preserve">compared to the other types of land use. </w:t>
      </w:r>
    </w:p>
    <w:p w14:paraId="08D02520" w14:textId="197F668C" w:rsidR="009A3ED1" w:rsidRDefault="003D75CB" w:rsidP="00C74349">
      <w:pPr>
        <w:pStyle w:val="ListParagraph"/>
        <w:numPr>
          <w:ilvl w:val="1"/>
          <w:numId w:val="8"/>
        </w:numPr>
        <w:jc w:val="both"/>
      </w:pPr>
      <w:r>
        <w:t>Pasture</w:t>
      </w:r>
    </w:p>
    <w:p w14:paraId="371343F6" w14:textId="39C619CC" w:rsidR="00FE3D37" w:rsidRDefault="00B04EB2" w:rsidP="00FE3D37">
      <w:pPr>
        <w:jc w:val="both"/>
      </w:pPr>
      <w:r w:rsidRPr="00B04EB2">
        <w:t>The pasture land environmental extension was developed using a bottom-up approach based on livestock feed requirements rather than reported pasture area statistics. This methodology provides a more accurate representation of productive pasture use linked to livestock production</w:t>
      </w:r>
      <w:r w:rsidR="00326533">
        <w:t xml:space="preserve">. </w:t>
      </w:r>
      <w:r w:rsidRPr="00B04EB2">
        <w:t>The calculation follows the Global Footprint Network (GFN) methodology for pasture land footprint estimation</w:t>
      </w:r>
      <w:r w:rsidR="00186354">
        <w:t xml:space="preserve"> </w:t>
      </w:r>
      <w:r w:rsidR="00186354">
        <w:fldChar w:fldCharType="begin"/>
      </w:r>
      <w:r w:rsidR="00186354">
        <w:instrText xml:space="preserve"> ADDIN ZOTERO_ITEM CSL_CITATION {"citationID":"sTUyEaCP","properties":{"formattedCitation":"(Borucke et al., 2013; Lin et al., 2019)","plainCitation":"(Borucke et al., 2013; Lin et al., 2019)","noteIndex":0},"citationItems":[{"id":9117,"uris":["http://zotero.org/users/13839701/items/A2889QPL"],"itemData":{"id":9117,"type":"article-journal","abstract":"Human demand on ecosystem services continues to increase, and evidence suggests that this demand is outpacing the regenerative and absorptive capacity of the biosphere. As a result, the productivity of natural capital may increasingly become a limiting factor for the human endeavor. Metrics tracking human demand on, and availability of, regenerative and waste absorptive capacity within the biosphere are therefore needed. Ecological Footprint analysis is such a metric; it measures human appropriation (Ecological Footprint) and the biosphere's supply (biocapacity) of ecosystem products and services in terms of the amount of bioproductive land and sea area (ecological assets) needed to supply these products and services. This paper documents the latest method for estimating the Ecological Footprint and biocapacity of nations, using the National Footprint Accounts (NFA) applied to more than 200 countries and for the world overall. Results are also compared with those obtained from previous editions of the NFA. According to the 2011 Edition of the National Footprint Accounts, humanity demanded the resources and services of 1.5 planets in 2008; this human demand was 0.7 planets in 1961. Situations in which total demand for ecological goods and services exceed the available supply for a given location, are called ‘overshoot’. ‘Global overshoot’ indicates that stocks of ecological capital are depleting and/or that waste is accumulating. As the methodology keeps being improved, each new edition of the NFA supports the findings of a global overshoot.","container-title":"Ecological Indicators","DOI":"10.1016/j.ecolind.2012.08.005","ISSN":"1470-160X","journalAbbreviation":"Ecological Indicators","page":"518-533","source":"ScienceDirect","title":"Accounting for demand and supply of the biosphere's regenerative capacity: The National Footprint Accounts’ underlying methodology and framework","title-short":"Accounting for demand and supply of the biosphere's regenerative capacity","volume":"24","author":[{"family":"Borucke","given":"Michael"},{"family":"Moore","given":"David"},{"family":"Cranston","given":"Gemma"},{"family":"Gracey","given":"Kyle"},{"family":"Iha","given":"Katsunori"},{"family":"Larson","given":"Joy"},{"family":"Lazarus","given":"Elias"},{"family":"Morales","given":"Juan Carlos"},{"family":"Wackernagel","given":"Mathis"},{"family":"Galli","given":"Alessandro"}],"issued":{"date-parts":[["2013",1,1]]}}},{"id":9135,"uris":["http://zotero.org/users/13839701/items/UBQN6RGM"],"itemData":{"id":9135,"type":"report","event-place":"Oakland","publisher":"Global Footprint Network","publisher-place":"Oakland","title":"Working Guidebook to the National Footprint and Biocapacity Account","author":[{"family":"Lin","given":"D"},{"family":"Martindill","given":"J"},{"family":"Borucke","given":"M"},{"family":"Cohen","given":"L"},{"family":"Galli","given":"A"},{"family":"Lazarus","given":"E"},{"family":"Zokai","given":"G"},{"family":"Iha","given":"K"},{"family":"Eaton","given":"D"},{"family":"Wackernagel","given":"M"}],"issued":{"date-parts":[["2019"]]}}}],"schema":"https://github.com/citation-style-language/schema/raw/master/csl-citation.json"} </w:instrText>
      </w:r>
      <w:r w:rsidR="00186354">
        <w:fldChar w:fldCharType="separate"/>
      </w:r>
      <w:r w:rsidR="00186354" w:rsidRPr="00186354">
        <w:rPr>
          <w:rFonts w:ascii="Aptos" w:hAnsi="Aptos"/>
        </w:rPr>
        <w:t>(Borucke et al., 2013; Lin et al., 2019)</w:t>
      </w:r>
      <w:r w:rsidR="00186354">
        <w:fldChar w:fldCharType="end"/>
      </w:r>
      <w:r w:rsidRPr="00B04EB2">
        <w:t>, adapted to integrate with Eora sector-level data.</w:t>
      </w:r>
    </w:p>
    <w:p w14:paraId="07DD81AC" w14:textId="77777777" w:rsidR="00E86F79" w:rsidRPr="00E86F79" w:rsidRDefault="00E86F79" w:rsidP="00E86F79">
      <w:pPr>
        <w:jc w:val="both"/>
        <w:rPr>
          <w:b/>
          <w:bCs/>
        </w:rPr>
      </w:pPr>
      <w:r w:rsidRPr="00E86F79">
        <w:rPr>
          <w:b/>
          <w:bCs/>
        </w:rPr>
        <w:t>Livestock Stocks</w:t>
      </w:r>
    </w:p>
    <w:p w14:paraId="57C45131" w14:textId="225873DA" w:rsidR="00E86F79" w:rsidRPr="00E86F79" w:rsidRDefault="00E86F79" w:rsidP="00E86F79">
      <w:pPr>
        <w:jc w:val="both"/>
      </w:pPr>
      <w:r w:rsidRPr="00E86F79">
        <w:t>Livestock population data were obtained from FAOSTAT (Food and Agriculture Organization Corporate Statistical Database)</w:t>
      </w:r>
      <w:r w:rsidR="00062B74">
        <w:t xml:space="preserve"> </w:t>
      </w:r>
      <w:r w:rsidR="00186354">
        <w:fldChar w:fldCharType="begin"/>
      </w:r>
      <w:r w:rsidR="00186354">
        <w:instrText xml:space="preserve"> ADDIN ZOTERO_ITEM CSL_CITATION {"citationID":"5SN1NBlU","properties":{"formattedCitation":"(FAOSTAT, 2026)","plainCitation":"(FAOSTAT, 2026)","noteIndex":0},"citationItems":[{"id":10682,"uris":["http://zotero.org/users/13839701/items/HQGPEYAW"],"itemData":{"id":10682,"type":"webpage","title":"FAOSTAT Database","URL":"https://www.fao.org/faostat/en/#data/QCL","author":[{"family":"FAOSTAT","given":""}],"accessed":{"date-parts":[["2026",3,3]]},"issued":{"date-parts":[["2026"]]}}}],"schema":"https://github.com/citation-style-language/schema/raw/master/csl-citation.json"} </w:instrText>
      </w:r>
      <w:r w:rsidR="00186354">
        <w:fldChar w:fldCharType="separate"/>
      </w:r>
      <w:r w:rsidR="00186354" w:rsidRPr="00186354">
        <w:rPr>
          <w:rFonts w:ascii="Aptos" w:hAnsi="Aptos"/>
        </w:rPr>
        <w:t>(FAOSTAT, 2026)</w:t>
      </w:r>
      <w:r w:rsidR="00186354">
        <w:fldChar w:fldCharType="end"/>
      </w:r>
      <w:r w:rsidRPr="00E86F79">
        <w:t xml:space="preserve"> for the year 2017. The dataset includes stocks (number of heads) for all major livestock categories: cattle, sheep, goats, pigs, poultry (chickens, ducks, geese, turkeys), horses, mules, asses, camels, and buffalo. </w:t>
      </w:r>
    </w:p>
    <w:p w14:paraId="216B9700" w14:textId="77777777" w:rsidR="00E86F79" w:rsidRPr="00E86F79" w:rsidRDefault="00E86F79" w:rsidP="00E86F79">
      <w:pPr>
        <w:jc w:val="both"/>
        <w:rPr>
          <w:b/>
          <w:bCs/>
        </w:rPr>
      </w:pPr>
      <w:r w:rsidRPr="00E86F79">
        <w:rPr>
          <w:b/>
          <w:bCs/>
        </w:rPr>
        <w:t>Feed Intake Parameters</w:t>
      </w:r>
    </w:p>
    <w:p w14:paraId="378C9871" w14:textId="696AFCAE" w:rsidR="00E86F79" w:rsidRDefault="00E86F79" w:rsidP="00E86F79">
      <w:pPr>
        <w:jc w:val="both"/>
      </w:pPr>
      <w:r w:rsidRPr="00E86F79">
        <w:t xml:space="preserve">Feed intake rates (kg dry matter per head per day) were obtained from the </w:t>
      </w:r>
      <w:r w:rsidR="00FD2AF0">
        <w:t>GFN</w:t>
      </w:r>
      <w:r w:rsidRPr="00E86F79">
        <w:t>'s</w:t>
      </w:r>
      <w:r w:rsidR="00D941CA">
        <w:t xml:space="preserve"> </w:t>
      </w:r>
      <w:r w:rsidR="00CD31B1">
        <w:t>Excel file</w:t>
      </w:r>
      <w:r w:rsidR="00D941CA">
        <w:t xml:space="preserve"> </w:t>
      </w:r>
      <w:r w:rsidRPr="00E86F79">
        <w:t xml:space="preserve">"World 2014" </w:t>
      </w:r>
      <w:r w:rsidR="00186354">
        <w:fldChar w:fldCharType="begin"/>
      </w:r>
      <w:r w:rsidR="00186354">
        <w:instrText xml:space="preserve"> ADDIN ZOTERO_ITEM CSL_CITATION {"citationID":"k286g4ri","properties":{"formattedCitation":"(Global Footprint Network, 2018)","plainCitation":"(Global Footprint Network, 2018)","noteIndex":0},"citationItems":[{"id":10680,"uris":["http://zotero.org/users/13839701/items/T8FJCJ3R"],"itemData":{"id":10680,"type":"dataset","medium":"Excel file","title":"National Footprint Accounts - World 2014","author":[{"family":"Global Footprint Network","given":""}],"issued":{"date-parts":[["2018"]]}}}],"schema":"https://github.com/citation-style-language/schema/raw/master/csl-citation.json"} </w:instrText>
      </w:r>
      <w:r w:rsidR="00186354">
        <w:fldChar w:fldCharType="separate"/>
      </w:r>
      <w:r w:rsidR="00186354" w:rsidRPr="00186354">
        <w:rPr>
          <w:rFonts w:ascii="Aptos" w:hAnsi="Aptos"/>
        </w:rPr>
        <w:t>(Global Footprint Network, 2018)</w:t>
      </w:r>
      <w:r w:rsidR="00186354">
        <w:fldChar w:fldCharType="end"/>
      </w:r>
      <w:r w:rsidRPr="00E86F79">
        <w:t>. These rates are differentiated by livestock type and UN geographic region to account for climate-dependent variations in animal metabolism and feed requirements.</w:t>
      </w:r>
    </w:p>
    <w:p w14:paraId="1590D32F" w14:textId="7BEFDD5F" w:rsidR="00792CB4" w:rsidRDefault="00792CB4" w:rsidP="00792CB4">
      <w:pPr>
        <w:jc w:val="both"/>
      </w:pPr>
      <w:r>
        <w:t>From the number of head per animal and the feed intake, the feed demand can be estimated. The feed demand is filled by crops, crops’ residues, and cropped grasses.</w:t>
      </w:r>
    </w:p>
    <w:p w14:paraId="3652CFF3" w14:textId="412207EB" w:rsidR="00434A50" w:rsidRPr="00E86F79" w:rsidRDefault="00434A50" w:rsidP="00792CB4">
      <w:pPr>
        <w:jc w:val="both"/>
      </w:pPr>
      <w:r>
        <w:t>In addition, l</w:t>
      </w:r>
      <w:r w:rsidRPr="00E86F79">
        <w:t xml:space="preserve">ivestock feed requirements </w:t>
      </w:r>
      <w:r w:rsidR="003A1F70">
        <w:t xml:space="preserve">are divided </w:t>
      </w:r>
      <w:r w:rsidRPr="00E86F79">
        <w:t>into two categories based on animal diet composition:</w:t>
      </w:r>
      <w:r w:rsidR="003A1F70">
        <w:t xml:space="preserve"> 1) </w:t>
      </w:r>
      <w:r w:rsidRPr="003A1F70">
        <w:t>Grass-only feed demand:</w:t>
      </w:r>
      <w:r w:rsidRPr="00E86F79">
        <w:t xml:space="preserve"> For animals that consume 100% grass</w:t>
      </w:r>
      <w:r w:rsidR="003A1F70">
        <w:t xml:space="preserve">; 2) </w:t>
      </w:r>
      <w:r w:rsidRPr="00555E3A">
        <w:t>Crop feed requirements:</w:t>
      </w:r>
      <w:r w:rsidRPr="00E86F79">
        <w:t xml:space="preserve"> For all other animals, crop</w:t>
      </w:r>
      <w:r w:rsidR="00760C70">
        <w:t xml:space="preserve"> and crop residues</w:t>
      </w:r>
      <w:r w:rsidRPr="00E86F79">
        <w:t xml:space="preserve"> feed </w:t>
      </w:r>
      <w:r w:rsidR="00555E3A">
        <w:t>are</w:t>
      </w:r>
      <w:r w:rsidRPr="00E86F79">
        <w:t xml:space="preserve"> calculated as the difference between total feed demand and grass-only feed demand.</w:t>
      </w:r>
    </w:p>
    <w:p w14:paraId="27C0FECB" w14:textId="77777777" w:rsidR="00E86F79" w:rsidRPr="00E86F79" w:rsidRDefault="00E86F79" w:rsidP="00E86F79">
      <w:pPr>
        <w:jc w:val="both"/>
        <w:rPr>
          <w:b/>
          <w:bCs/>
        </w:rPr>
      </w:pPr>
      <w:r w:rsidRPr="00E86F79">
        <w:rPr>
          <w:b/>
          <w:bCs/>
        </w:rPr>
        <w:t>Crop Feed Supply</w:t>
      </w:r>
    </w:p>
    <w:p w14:paraId="31FB801F" w14:textId="104D41AB" w:rsidR="00E86F79" w:rsidRPr="00E86F79" w:rsidRDefault="00E86F79" w:rsidP="00E86F79">
      <w:pPr>
        <w:jc w:val="both"/>
      </w:pPr>
      <w:r w:rsidRPr="00E86F79">
        <w:lastRenderedPageBreak/>
        <w:t>Market-based crop feed data were obtained from FAOSTAT for 2017</w:t>
      </w:r>
      <w:r w:rsidR="00075AC9">
        <w:t xml:space="preserve"> (production and imports)</w:t>
      </w:r>
      <w:r w:rsidR="006A79B7">
        <w:t xml:space="preserve">. </w:t>
      </w:r>
      <w:r w:rsidRPr="00E86F79">
        <w:t xml:space="preserve">The dataset was filtered to include only the "Feed" element category. Feed crops were converted from fresh weight to dry matter using crop-specific water content values from the GFN </w:t>
      </w:r>
      <w:r w:rsidR="00C54FB2">
        <w:t>Excel file</w:t>
      </w:r>
      <w:r w:rsidRPr="00E86F79">
        <w:t>.</w:t>
      </w:r>
    </w:p>
    <w:p w14:paraId="186EFEF4" w14:textId="77777777" w:rsidR="00E86F79" w:rsidRPr="00E86F79" w:rsidRDefault="00E86F79" w:rsidP="00E86F79">
      <w:pPr>
        <w:jc w:val="both"/>
        <w:rPr>
          <w:b/>
          <w:bCs/>
        </w:rPr>
      </w:pPr>
      <w:r w:rsidRPr="00E86F79">
        <w:rPr>
          <w:b/>
          <w:bCs/>
        </w:rPr>
        <w:t>Crop Residue Feed Supply</w:t>
      </w:r>
    </w:p>
    <w:p w14:paraId="75379A5F" w14:textId="5FDBC094" w:rsidR="00E86F79" w:rsidRDefault="00E86F79" w:rsidP="00E86F79">
      <w:pPr>
        <w:jc w:val="both"/>
      </w:pPr>
      <w:r w:rsidRPr="00E86F79">
        <w:t xml:space="preserve">Crop production data were obtained from FAOSTAT and merged with crop residue feed conversion ratios from the GFN </w:t>
      </w:r>
      <w:r w:rsidR="00C54FB2">
        <w:t>Excel file</w:t>
      </w:r>
      <w:r w:rsidRPr="00E86F79">
        <w:t>.</w:t>
      </w:r>
      <w:r w:rsidR="008B5802">
        <w:t xml:space="preserve"> </w:t>
      </w:r>
      <w:r w:rsidR="00E1573B" w:rsidRPr="00144A88">
        <w:t xml:space="preserve">First, </w:t>
      </w:r>
      <w:r w:rsidR="00042669" w:rsidRPr="00144A88">
        <w:t xml:space="preserve">the production of crops is multiplied </w:t>
      </w:r>
      <w:r w:rsidR="00144A88" w:rsidRPr="00144A88">
        <w:t xml:space="preserve">by the nutrition index, which is a measurement of nutritional value by weight compared to products in the same aggregate groups. The nutrition index is used to weight different products in the same group when summing their production to calculate an average yield. </w:t>
      </w:r>
      <w:r w:rsidR="0062456B">
        <w:t xml:space="preserve">This index is only available for cereals. For other crops it is assumed </w:t>
      </w:r>
      <w:r w:rsidR="0061392B">
        <w:t xml:space="preserve">as </w:t>
      </w:r>
      <w:r w:rsidR="0062456B">
        <w:t xml:space="preserve">1. </w:t>
      </w:r>
      <w:r w:rsidR="004E1AC1">
        <w:t xml:space="preserve">Then, this is multiplied by </w:t>
      </w:r>
      <w:r w:rsidR="0011493D">
        <w:t xml:space="preserve">three factors: </w:t>
      </w:r>
      <w:r w:rsidR="00A37B2C">
        <w:t>harvest factor</w:t>
      </w:r>
      <w:r w:rsidR="00D516C4">
        <w:t>, crop recovery</w:t>
      </w:r>
      <w:r w:rsidR="001D1FE4">
        <w:t xml:space="preserve"> rate</w:t>
      </w:r>
      <w:r w:rsidR="00D516C4">
        <w:t xml:space="preserve">, and </w:t>
      </w:r>
      <w:r w:rsidR="00E72120">
        <w:t xml:space="preserve">share of </w:t>
      </w:r>
      <w:r w:rsidR="00394750">
        <w:t xml:space="preserve">recovered </w:t>
      </w:r>
      <w:r w:rsidR="00E72120">
        <w:t xml:space="preserve">crop </w:t>
      </w:r>
      <w:r w:rsidR="00394750">
        <w:t>residues</w:t>
      </w:r>
      <w:r w:rsidR="00E72120">
        <w:t xml:space="preserve"> used as feed</w:t>
      </w:r>
      <w:r w:rsidR="00E3673E">
        <w:t xml:space="preserve"> </w:t>
      </w:r>
      <w:r w:rsidR="00624199">
        <w:fldChar w:fldCharType="begin"/>
      </w:r>
      <w:r w:rsidR="00624199">
        <w:instrText xml:space="preserve"> ADDIN ZOTERO_ITEM CSL_CITATION {"citationID":"w99lSxVV","properties":{"formattedCitation":"(Haberl et al., 2007)","plainCitation":"(Haberl et al., 2007)","noteIndex":0},"citationItems":[{"id":10755,"uris":["http://zotero.org/users/13839701/items/FQXGW6LR"],"itemData":{"id":10755,"type":"article-journal","abstract":"Human appropriation of net primary production (HANPP), the aggregate impact of land use on biomass available each year in ecosystems, is a prominent measure of the human domination of the biosphere. We present a comprehensive assessment of global HANPP based on vegetation modeling, agricultural and forestry statistics, and geographical information systems data on land use, land cover, and soil degradation that localizes human impact on ecosystems. We found an aggregate global HANPP value of 15.6 Pg C/yr or 23.8% of potential net primary productivity, of which 53% was contributed by harvest, 40% by land-use-induced productivity changes, and 7% by human-induced fires. This is a remarkable impact on the biosphere caused by just one species. We present maps quantifying human-induced changes in trophic energy flows in ecosystems that illustrate spatial patterns in the human domination of ecosystems, thus emphasizing land use as a pervasive factor of global importance. Land use transforms earth's terrestrial surface, resulting in changes in biogeochemical cycles and in the ability of ecosystems to deliver services critical to human well being. The results suggest that large-scale schemes to substitute biomass for fossil fuels should be viewed cautiously because massive additional pressures on ecosystems might result from increased biomass harvest.","container-title":"Proceedings of the National Academy of Sciences","DOI":"10.1073/pnas.0704243104","issue":"31","note":"publisher: Proceedings of the National Academy of Sciences","page":"12942-12947","source":"pnas.org (Atypon)","title":"Quantifying and mapping the human appropriation of net primary production in earth's terrestrial ecosystems","volume":"104","author":[{"family":"Haberl","given":"Helmut"},{"family":"Erb","given":"K. Heinz"},{"family":"Krausmann","given":"Fridolin"},{"family":"Gaube","given":"Veronika"},{"family":"Bondeau","given":"Alberte"},{"family":"Plutzar","given":"Christoph"},{"family":"Gingrich","given":"Simone"},{"family":"Lucht","given":"Wolfgang"},{"family":"Fischer-Kowalski","given":"Marina"}],"issued":{"date-parts":[["2007",7,31]]}}}],"schema":"https://github.com/citation-style-language/schema/raw/master/csl-citation.json"} </w:instrText>
      </w:r>
      <w:r w:rsidR="00624199">
        <w:fldChar w:fldCharType="separate"/>
      </w:r>
      <w:r w:rsidR="00624199" w:rsidRPr="00624199">
        <w:rPr>
          <w:rFonts w:ascii="Aptos" w:hAnsi="Aptos"/>
        </w:rPr>
        <w:t>(Haberl et al., 2007)</w:t>
      </w:r>
      <w:r w:rsidR="00624199">
        <w:fldChar w:fldCharType="end"/>
      </w:r>
      <w:r w:rsidR="00E72120">
        <w:t>.</w:t>
      </w:r>
      <w:r w:rsidR="0000242C">
        <w:t xml:space="preserve"> </w:t>
      </w:r>
      <w:r w:rsidRPr="00E86F79">
        <w:t xml:space="preserve">These ratios represent the fraction of crop residues that become livestock feed (rather than being burned, composted, or left in fields) and vary by crop type and UN region. </w:t>
      </w:r>
    </w:p>
    <w:p w14:paraId="0FBF6EBC" w14:textId="64D6B1C0" w:rsidR="007B5FC4" w:rsidRPr="00E86F79" w:rsidRDefault="007B5FC4" w:rsidP="00151486">
      <w:pPr>
        <w:jc w:val="both"/>
      </w:pPr>
      <w:r w:rsidRPr="00E86F79">
        <w:t xml:space="preserve">FAOSTAT crop categories </w:t>
      </w:r>
      <w:r w:rsidR="0053264F">
        <w:t xml:space="preserve">were matched </w:t>
      </w:r>
      <w:r w:rsidRPr="00E86F79">
        <w:t>with GFN residue categories</w:t>
      </w:r>
      <w:r w:rsidR="00151486">
        <w:t xml:space="preserve">. However, some crops had to be assigned to </w:t>
      </w:r>
      <w:r w:rsidRPr="00E86F79">
        <w:t xml:space="preserve">broader categories: </w:t>
      </w:r>
    </w:p>
    <w:p w14:paraId="3E07C97C" w14:textId="7B83E14A" w:rsidR="007B5FC4" w:rsidRPr="00E86F79" w:rsidRDefault="007B5FC4" w:rsidP="0075133A">
      <w:pPr>
        <w:numPr>
          <w:ilvl w:val="0"/>
          <w:numId w:val="9"/>
        </w:numPr>
        <w:jc w:val="both"/>
      </w:pPr>
      <w:r w:rsidRPr="00E86F79">
        <w:rPr>
          <w:b/>
          <w:bCs/>
        </w:rPr>
        <w:t>Pulses:</w:t>
      </w:r>
      <w:r w:rsidRPr="00E86F79">
        <w:t xml:space="preserve"> </w:t>
      </w:r>
      <w:proofErr w:type="spellStart"/>
      <w:r w:rsidRPr="00E86F79">
        <w:t>bambara</w:t>
      </w:r>
      <w:proofErr w:type="spellEnd"/>
      <w:r w:rsidRPr="00E86F79">
        <w:t xml:space="preserve"> beans, beans, broad </w:t>
      </w:r>
      <w:r w:rsidR="00415CC1">
        <w:t xml:space="preserve">and horse </w:t>
      </w:r>
      <w:r w:rsidRPr="00E86F79">
        <w:t xml:space="preserve">beans, chickpeas, cowpeas, lentils, lupins, peas, pigeon peas, pulses </w:t>
      </w:r>
      <w:proofErr w:type="spellStart"/>
      <w:r w:rsidRPr="00E86F79">
        <w:t>n.e.</w:t>
      </w:r>
      <w:r w:rsidR="00AD463C">
        <w:t>s</w:t>
      </w:r>
      <w:r w:rsidRPr="00E86F79">
        <w:t>.</w:t>
      </w:r>
      <w:proofErr w:type="spellEnd"/>
      <w:r w:rsidRPr="00E86F79">
        <w:t>, vetches</w:t>
      </w:r>
      <w:r w:rsidR="00807F4A">
        <w:t xml:space="preserve">, other pulses </w:t>
      </w:r>
      <w:proofErr w:type="spellStart"/>
      <w:r w:rsidR="00807F4A" w:rsidRPr="00E86F79">
        <w:t>n.e.</w:t>
      </w:r>
      <w:r w:rsidR="000E71C8">
        <w:t>c</w:t>
      </w:r>
      <w:r w:rsidR="0075133A">
        <w:t>.</w:t>
      </w:r>
      <w:proofErr w:type="spellEnd"/>
    </w:p>
    <w:p w14:paraId="4BC973D0" w14:textId="2F099D73" w:rsidR="007B5FC4" w:rsidRPr="00E86F79" w:rsidRDefault="007B5FC4" w:rsidP="0075133A">
      <w:pPr>
        <w:numPr>
          <w:ilvl w:val="0"/>
          <w:numId w:val="9"/>
        </w:numPr>
        <w:jc w:val="both"/>
      </w:pPr>
      <w:r w:rsidRPr="00E86F79">
        <w:rPr>
          <w:b/>
          <w:bCs/>
        </w:rPr>
        <w:t>Oil crops:</w:t>
      </w:r>
      <w:r w:rsidRPr="00E86F79">
        <w:t xml:space="preserve"> castor </w:t>
      </w:r>
      <w:r w:rsidR="00807F4A">
        <w:t xml:space="preserve">oil </w:t>
      </w:r>
      <w:r w:rsidRPr="00E86F79">
        <w:t xml:space="preserve">seeds, coconuts, hempseed, </w:t>
      </w:r>
      <w:r w:rsidR="00AD463C">
        <w:t>karite nuts (</w:t>
      </w:r>
      <w:proofErr w:type="spellStart"/>
      <w:r w:rsidRPr="00E86F79">
        <w:t>sheanuts</w:t>
      </w:r>
      <w:proofErr w:type="spellEnd"/>
      <w:r w:rsidR="00AD463C">
        <w:t>)</w:t>
      </w:r>
      <w:r w:rsidRPr="00E86F79">
        <w:t xml:space="preserve">, linseed, </w:t>
      </w:r>
      <w:proofErr w:type="spellStart"/>
      <w:r w:rsidRPr="00E86F79">
        <w:t>melonseed</w:t>
      </w:r>
      <w:proofErr w:type="spellEnd"/>
      <w:r w:rsidRPr="00E86F79">
        <w:t>, mustard seed, olives, poppy seed, rapeseed, safflower seed, seed cotton, sesame seed, sunflower seed, tung nuts, jojoba seeds, groundnuts</w:t>
      </w:r>
      <w:r w:rsidR="00905351" w:rsidRPr="00E86F79">
        <w:t xml:space="preserve">, </w:t>
      </w:r>
      <w:r w:rsidR="000E71C8" w:rsidRPr="00905351">
        <w:t xml:space="preserve">rape or colza seed, </w:t>
      </w:r>
      <w:proofErr w:type="spellStart"/>
      <w:r w:rsidR="000E71C8" w:rsidRPr="00905351">
        <w:t>tallowtree</w:t>
      </w:r>
      <w:proofErr w:type="spellEnd"/>
      <w:r w:rsidR="000E71C8" w:rsidRPr="00905351">
        <w:t xml:space="preserve"> seeds, groundnuts, excluding shelled</w:t>
      </w:r>
      <w:r w:rsidR="000E71C8" w:rsidRPr="00E86F79">
        <w:t xml:space="preserve"> </w:t>
      </w:r>
      <w:r w:rsidR="00905351" w:rsidRPr="00E86F79">
        <w:t xml:space="preserve">oilseeds </w:t>
      </w:r>
      <w:proofErr w:type="spellStart"/>
      <w:r w:rsidR="00905351" w:rsidRPr="00E86F79">
        <w:t>n.e.s</w:t>
      </w:r>
      <w:r w:rsidR="0075133A">
        <w:t>.</w:t>
      </w:r>
      <w:proofErr w:type="spellEnd"/>
      <w:r w:rsidR="00905351">
        <w:t xml:space="preserve">, </w:t>
      </w:r>
      <w:r w:rsidR="00905351" w:rsidRPr="00905351">
        <w:t xml:space="preserve">other oil seeds, </w:t>
      </w:r>
      <w:proofErr w:type="spellStart"/>
      <w:r w:rsidR="00905351" w:rsidRPr="00905351">
        <w:t>n.e.</w:t>
      </w:r>
      <w:r w:rsidR="000E71C8">
        <w:t>c</w:t>
      </w:r>
      <w:r w:rsidR="00905351" w:rsidRPr="00905351">
        <w:t>.</w:t>
      </w:r>
      <w:proofErr w:type="spellEnd"/>
    </w:p>
    <w:p w14:paraId="0A6CBD45" w14:textId="244C6F95" w:rsidR="007B5FC4" w:rsidRPr="00E86F79" w:rsidRDefault="007B5FC4" w:rsidP="0075133A">
      <w:pPr>
        <w:numPr>
          <w:ilvl w:val="0"/>
          <w:numId w:val="9"/>
        </w:numPr>
        <w:jc w:val="both"/>
      </w:pPr>
      <w:r w:rsidRPr="00E86F79">
        <w:rPr>
          <w:b/>
          <w:bCs/>
        </w:rPr>
        <w:t>Roots and tubers:</w:t>
      </w:r>
      <w:r w:rsidRPr="00E86F79">
        <w:t xml:space="preserve"> potatoes, sweet potatoes, taro, yams, yautia, chicory roots, ginger, carrots and turnips</w:t>
      </w:r>
      <w:r w:rsidR="00431A5C">
        <w:t xml:space="preserve">, </w:t>
      </w:r>
      <w:r w:rsidR="00431A5C" w:rsidRPr="00E86F79">
        <w:t xml:space="preserve">roots and tubers </w:t>
      </w:r>
      <w:proofErr w:type="spellStart"/>
      <w:r w:rsidR="00431A5C" w:rsidRPr="00E86F79">
        <w:t>n.e.s.</w:t>
      </w:r>
      <w:proofErr w:type="spellEnd"/>
      <w:r w:rsidR="00F4702F">
        <w:t xml:space="preserve">, </w:t>
      </w:r>
      <w:r w:rsidR="00F4702F" w:rsidRPr="00F4702F">
        <w:t xml:space="preserve">edible roots and tubers with high starch or inulin content, </w:t>
      </w:r>
      <w:proofErr w:type="spellStart"/>
      <w:r w:rsidR="00F4702F" w:rsidRPr="00F4702F">
        <w:t>n.e.c.</w:t>
      </w:r>
      <w:proofErr w:type="spellEnd"/>
    </w:p>
    <w:p w14:paraId="08A5B738" w14:textId="211B7A0C" w:rsidR="007B5FC4" w:rsidRPr="00E86F79" w:rsidRDefault="00E850AA" w:rsidP="0075133A">
      <w:pPr>
        <w:numPr>
          <w:ilvl w:val="0"/>
          <w:numId w:val="9"/>
        </w:numPr>
        <w:jc w:val="both"/>
      </w:pPr>
      <w:r>
        <w:rPr>
          <w:b/>
          <w:bCs/>
        </w:rPr>
        <w:t>C</w:t>
      </w:r>
      <w:r w:rsidR="007B5FC4" w:rsidRPr="00E86F79">
        <w:rPr>
          <w:b/>
          <w:bCs/>
        </w:rPr>
        <w:t>ereals:</w:t>
      </w:r>
      <w:r w:rsidR="007B5FC4" w:rsidRPr="00E86F79">
        <w:t xml:space="preserve"> barley, canary seed, oats, rye, triticale, </w:t>
      </w:r>
      <w:proofErr w:type="spellStart"/>
      <w:r w:rsidR="007B5FC4" w:rsidRPr="00E86F79">
        <w:t>fonio</w:t>
      </w:r>
      <w:proofErr w:type="spellEnd"/>
      <w:r w:rsidR="007B5FC4" w:rsidRPr="00E86F79">
        <w:t>, buckwheat, quinoa</w:t>
      </w:r>
      <w:r w:rsidR="00F03723">
        <w:t xml:space="preserve">, </w:t>
      </w:r>
      <w:r w:rsidR="00F03723" w:rsidRPr="00E86F79">
        <w:t xml:space="preserve">cereals </w:t>
      </w:r>
      <w:proofErr w:type="spellStart"/>
      <w:r w:rsidR="00F03723" w:rsidRPr="00E86F79">
        <w:t>n.e.s.</w:t>
      </w:r>
      <w:proofErr w:type="spellEnd"/>
    </w:p>
    <w:p w14:paraId="587286D4" w14:textId="3455457B" w:rsidR="007B5FC4" w:rsidRPr="00E86F79" w:rsidRDefault="007B5FC4" w:rsidP="0075133A">
      <w:pPr>
        <w:numPr>
          <w:ilvl w:val="0"/>
          <w:numId w:val="9"/>
        </w:numPr>
        <w:jc w:val="both"/>
      </w:pPr>
      <w:r w:rsidRPr="00E86F79">
        <w:rPr>
          <w:b/>
          <w:bCs/>
        </w:rPr>
        <w:t>Maize:</w:t>
      </w:r>
      <w:r w:rsidRPr="00E86F79">
        <w:t xml:space="preserve"> green corn, maize</w:t>
      </w:r>
      <w:r w:rsidR="0075133A">
        <w:t>.</w:t>
      </w:r>
    </w:p>
    <w:p w14:paraId="06B31BF3" w14:textId="25C1101A" w:rsidR="002432C8" w:rsidRDefault="002432C8" w:rsidP="002432C8">
      <w:pPr>
        <w:jc w:val="both"/>
        <w:rPr>
          <w:b/>
          <w:bCs/>
        </w:rPr>
      </w:pPr>
      <w:r w:rsidRPr="002432C8">
        <w:rPr>
          <w:b/>
          <w:bCs/>
        </w:rPr>
        <w:t>Grass supply</w:t>
      </w:r>
    </w:p>
    <w:p w14:paraId="5E371364" w14:textId="37246019" w:rsidR="00CC62C6" w:rsidRPr="00CC62C6" w:rsidRDefault="00CC62C6" w:rsidP="002432C8">
      <w:pPr>
        <w:jc w:val="both"/>
      </w:pPr>
      <w:r w:rsidRPr="00CC62C6">
        <w:t xml:space="preserve">The grass feed demand corresponds to the amount of grass for animal feed exclusively by grass. It is estimated from the feed </w:t>
      </w:r>
      <w:r w:rsidR="00187111">
        <w:t xml:space="preserve">requirements </w:t>
      </w:r>
      <w:r w:rsidRPr="00CC62C6">
        <w:t>multiplied by the % grass feed, only when the latter is 100%.</w:t>
      </w:r>
    </w:p>
    <w:p w14:paraId="6A0FEC7D" w14:textId="1D745418" w:rsidR="007B5FC4" w:rsidRDefault="00C22541" w:rsidP="007B5FC4">
      <w:pPr>
        <w:jc w:val="both"/>
      </w:pPr>
      <w:r>
        <w:t>Then the p</w:t>
      </w:r>
      <w:r w:rsidR="007B5FC4" w:rsidRPr="00E86F79">
        <w:t xml:space="preserve">asture feed demand </w:t>
      </w:r>
      <w:r>
        <w:t xml:space="preserve">is estimated </w:t>
      </w:r>
      <w:r w:rsidR="00BA5C34">
        <w:t xml:space="preserve">as the </w:t>
      </w:r>
      <w:r w:rsidR="001B2E88">
        <w:t>feed requirement minus the crop and crop residue feed</w:t>
      </w:r>
      <w:r>
        <w:t>, plus the grass feed demand</w:t>
      </w:r>
      <w:r w:rsidR="001B2E88">
        <w:t xml:space="preserve">. </w:t>
      </w:r>
    </w:p>
    <w:p w14:paraId="79E00C38" w14:textId="57FF7F9C" w:rsidR="007B5FC4" w:rsidRDefault="00FA16B2" w:rsidP="007B5FC4">
      <w:pPr>
        <w:jc w:val="both"/>
      </w:pPr>
      <w:r>
        <w:t xml:space="preserve">This value is multiplied by the </w:t>
      </w:r>
      <w:r w:rsidR="006F7027">
        <w:t>yield, equivalence, and temporal factors</w:t>
      </w:r>
      <w:r>
        <w:t xml:space="preserve"> to be converted to global hectares. </w:t>
      </w:r>
      <w:r w:rsidR="007B2B63">
        <w:t>T</w:t>
      </w:r>
      <w:r w:rsidR="00A068DC">
        <w:t xml:space="preserve">he yield factor </w:t>
      </w:r>
      <w:r w:rsidR="00966CD3">
        <w:t>is multiplied by the above-ground NPP (%) and the edible % of aboveground NPP (70 and 30% respectively)</w:t>
      </w:r>
      <w:r w:rsidR="003644B1">
        <w:t xml:space="preserve"> </w:t>
      </w:r>
      <w:r w:rsidR="001D6898">
        <w:fldChar w:fldCharType="begin"/>
      </w:r>
      <w:r w:rsidR="001D6898">
        <w:instrText xml:space="preserve"> ADDIN ZOTERO_ITEM CSL_CITATION {"citationID":"LWaZ57uR","properties":{"formattedCitation":"(Global Footprint Network, 2018)","plainCitation":"(Global Footprint Network, 2018)","noteIndex":0},"citationItems":[{"id":10680,"uris":["http://zotero.org/users/13839701/items/T8FJCJ3R"],"itemData":{"id":10680,"type":"dataset","medium":"Excel file","title":"National Footprint Accounts - World 2014","author":[{"family":"Global Footprint Network","given":""}],"issued":{"date-parts":[["2018"]]}}}],"schema":"https://github.com/citation-style-language/schema/raw/master/csl-citation.json"} </w:instrText>
      </w:r>
      <w:r w:rsidR="001D6898">
        <w:fldChar w:fldCharType="separate"/>
      </w:r>
      <w:r w:rsidR="001D6898" w:rsidRPr="001D6898">
        <w:rPr>
          <w:rFonts w:ascii="Aptos" w:hAnsi="Aptos"/>
        </w:rPr>
        <w:t>(Global Footprint Network, 2018)</w:t>
      </w:r>
      <w:r w:rsidR="001D6898">
        <w:fldChar w:fldCharType="end"/>
      </w:r>
      <w:r w:rsidR="00966CD3">
        <w:t>.</w:t>
      </w:r>
    </w:p>
    <w:p w14:paraId="079F73B8" w14:textId="77777777" w:rsidR="0087708B" w:rsidRDefault="0087708B" w:rsidP="007B5FC4">
      <w:pPr>
        <w:jc w:val="both"/>
      </w:pPr>
    </w:p>
    <w:p w14:paraId="750E6AC2" w14:textId="77777777" w:rsidR="0087708B" w:rsidRDefault="0087708B" w:rsidP="007B5FC4">
      <w:pPr>
        <w:jc w:val="both"/>
      </w:pPr>
    </w:p>
    <w:p w14:paraId="5A4A0D68" w14:textId="77777777" w:rsidR="0087708B" w:rsidRPr="00E86F79" w:rsidRDefault="0087708B" w:rsidP="007B5FC4">
      <w:pPr>
        <w:jc w:val="both"/>
      </w:pPr>
    </w:p>
    <w:p w14:paraId="7170A5E7" w14:textId="05E6332B" w:rsidR="00E86F79" w:rsidRPr="00E86F79" w:rsidRDefault="00E86F79" w:rsidP="00E86F79">
      <w:pPr>
        <w:jc w:val="both"/>
        <w:rPr>
          <w:b/>
          <w:bCs/>
        </w:rPr>
      </w:pPr>
    </w:p>
    <w:p w14:paraId="23715DE2" w14:textId="39213B75" w:rsidR="00420F99" w:rsidRDefault="00420F99" w:rsidP="0083407F">
      <w:pPr>
        <w:pStyle w:val="ListParagraph"/>
        <w:numPr>
          <w:ilvl w:val="0"/>
          <w:numId w:val="8"/>
        </w:numPr>
        <w:jc w:val="both"/>
      </w:pPr>
      <w:r>
        <w:lastRenderedPageBreak/>
        <w:t xml:space="preserve">Additional </w:t>
      </w:r>
      <w:r w:rsidR="00A60213">
        <w:t>results</w:t>
      </w:r>
    </w:p>
    <w:p w14:paraId="3F6AB89F" w14:textId="6C8E0217" w:rsidR="00A60213" w:rsidRDefault="00A60213" w:rsidP="00A60213">
      <w:pPr>
        <w:pStyle w:val="ListParagraph"/>
        <w:numPr>
          <w:ilvl w:val="1"/>
          <w:numId w:val="8"/>
        </w:numPr>
        <w:jc w:val="both"/>
      </w:pPr>
      <w:r>
        <w:t>Additional figures</w:t>
      </w:r>
    </w:p>
    <w:p w14:paraId="1D9A39A0" w14:textId="4AF2D58A" w:rsidR="00F07354" w:rsidRDefault="00F07354" w:rsidP="00F07354">
      <w:pPr>
        <w:jc w:val="both"/>
      </w:pPr>
      <w:r>
        <w:t xml:space="preserve">Figures </w:t>
      </w:r>
      <w:r w:rsidR="007E10D8">
        <w:t>A1 to A5 show p</w:t>
      </w:r>
      <w:r w:rsidR="007E10D8" w:rsidRPr="007E10D8">
        <w:t>er capita consumption footprints by income group and national ecological carrying capacity (NECC) tercile. Countries are sorted by income group (LI = low income, LMI = lower-middle income, UMI = upper-middle income, HI = high income) and divided into three terciles based on the ratio of total consumption to NECC. The top panel shows countries with the highest spare capacity, the middle panel shows countries consuming near their NECC (no spare capacity), and the bottom panel shows countries in overshoot. Stacked bars represent domestic production (green) and imported resources (yellow). Red circles indicate total per capita NECC for each country. The horizontal dashed line represents the global boundary distributed equally per capita.</w:t>
      </w:r>
    </w:p>
    <w:p w14:paraId="4A9C307E" w14:textId="0C70BA25" w:rsidR="00F07354" w:rsidRDefault="00D64DDB" w:rsidP="00F07354">
      <w:pPr>
        <w:keepNext/>
        <w:jc w:val="both"/>
      </w:pPr>
      <w:r>
        <w:rPr>
          <w:noProof/>
        </w:rPr>
        <w:drawing>
          <wp:inline distT="0" distB="0" distL="0" distR="0" wp14:anchorId="5BA1D6E9" wp14:editId="2A16F71F">
            <wp:extent cx="5760000" cy="5040160"/>
            <wp:effectExtent l="0" t="0" r="0" b="8255"/>
            <wp:docPr id="107726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62868" name=""/>
                    <pic:cNvPicPr/>
                  </pic:nvPicPr>
                  <pic:blipFill>
                    <a:blip r:embed="rId11"/>
                    <a:stretch>
                      <a:fillRect/>
                    </a:stretch>
                  </pic:blipFill>
                  <pic:spPr>
                    <a:xfrm>
                      <a:off x="0" y="0"/>
                      <a:ext cx="5760000" cy="5040160"/>
                    </a:xfrm>
                    <a:prstGeom prst="rect">
                      <a:avLst/>
                    </a:prstGeom>
                  </pic:spPr>
                </pic:pic>
              </a:graphicData>
            </a:graphic>
          </wp:inline>
        </w:drawing>
      </w:r>
    </w:p>
    <w:p w14:paraId="0E24D175" w14:textId="22F0EAA5" w:rsidR="00420F99" w:rsidRDefault="00F07354" w:rsidP="00F07354">
      <w:pPr>
        <w:pStyle w:val="Caption"/>
        <w:jc w:val="both"/>
      </w:pPr>
      <w:r>
        <w:t xml:space="preserve">Figure </w:t>
      </w:r>
      <w:r w:rsidR="00BE1179">
        <w:t>A</w:t>
      </w:r>
      <w:fldSimple w:instr=" SEQ Figure \* ARABIC ">
        <w:r w:rsidR="003F2E5B">
          <w:rPr>
            <w:noProof/>
          </w:rPr>
          <w:t>1</w:t>
        </w:r>
      </w:fldSimple>
      <w:r>
        <w:t>.</w:t>
      </w:r>
      <w:r w:rsidR="00F22A4D">
        <w:t xml:space="preserve"> </w:t>
      </w:r>
      <w:r w:rsidRPr="0032355D">
        <w:t xml:space="preserve">Per capita </w:t>
      </w:r>
      <w:r w:rsidR="000D3D3A">
        <w:t xml:space="preserve">forest </w:t>
      </w:r>
      <w:r w:rsidRPr="0032355D">
        <w:t xml:space="preserve">consumption footprints by income group and national ecological carrying capacity (NECC) tercile. </w:t>
      </w:r>
    </w:p>
    <w:p w14:paraId="226820D4" w14:textId="77777777" w:rsidR="00BE1179" w:rsidRDefault="000B4ABE" w:rsidP="00BE1179">
      <w:pPr>
        <w:keepNext/>
        <w:jc w:val="both"/>
      </w:pPr>
      <w:r>
        <w:rPr>
          <w:noProof/>
        </w:rPr>
        <w:lastRenderedPageBreak/>
        <w:drawing>
          <wp:inline distT="0" distB="0" distL="0" distR="0" wp14:anchorId="3DA70E06" wp14:editId="1444A056">
            <wp:extent cx="5760000" cy="5040160"/>
            <wp:effectExtent l="0" t="0" r="0" b="8255"/>
            <wp:docPr id="103762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21430" name=""/>
                    <pic:cNvPicPr/>
                  </pic:nvPicPr>
                  <pic:blipFill>
                    <a:blip r:embed="rId12"/>
                    <a:stretch>
                      <a:fillRect/>
                    </a:stretch>
                  </pic:blipFill>
                  <pic:spPr>
                    <a:xfrm>
                      <a:off x="0" y="0"/>
                      <a:ext cx="5760000" cy="5040160"/>
                    </a:xfrm>
                    <a:prstGeom prst="rect">
                      <a:avLst/>
                    </a:prstGeom>
                  </pic:spPr>
                </pic:pic>
              </a:graphicData>
            </a:graphic>
          </wp:inline>
        </w:drawing>
      </w:r>
    </w:p>
    <w:p w14:paraId="0A468320" w14:textId="620B5A7B" w:rsidR="00C84F0B" w:rsidRDefault="00BE1179" w:rsidP="00BE1179">
      <w:pPr>
        <w:pStyle w:val="Caption"/>
        <w:jc w:val="both"/>
      </w:pPr>
      <w:r>
        <w:t>Figure A</w:t>
      </w:r>
      <w:fldSimple w:instr=" SEQ Figure \* ARABIC ">
        <w:r w:rsidR="003F2E5B">
          <w:rPr>
            <w:noProof/>
          </w:rPr>
          <w:t>2</w:t>
        </w:r>
      </w:fldSimple>
      <w:r>
        <w:t xml:space="preserve">. </w:t>
      </w:r>
      <w:r w:rsidRPr="003C6DE2">
        <w:t xml:space="preserve">Per capita </w:t>
      </w:r>
      <w:r>
        <w:t>pasture</w:t>
      </w:r>
      <w:r w:rsidRPr="003C6DE2">
        <w:t xml:space="preserve"> consumption footprints by income group and national ecological carrying capacity (NECC) tercile.</w:t>
      </w:r>
    </w:p>
    <w:p w14:paraId="7441A0FC" w14:textId="77777777" w:rsidR="003F2E5B" w:rsidRDefault="00BE1179" w:rsidP="003F2E5B">
      <w:pPr>
        <w:keepNext/>
        <w:jc w:val="both"/>
      </w:pPr>
      <w:r>
        <w:rPr>
          <w:noProof/>
        </w:rPr>
        <w:lastRenderedPageBreak/>
        <w:drawing>
          <wp:inline distT="0" distB="0" distL="0" distR="0" wp14:anchorId="28D3F8F7" wp14:editId="68336DB3">
            <wp:extent cx="5760000" cy="5040160"/>
            <wp:effectExtent l="0" t="0" r="0" b="8255"/>
            <wp:docPr id="165705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59935" name=""/>
                    <pic:cNvPicPr/>
                  </pic:nvPicPr>
                  <pic:blipFill>
                    <a:blip r:embed="rId13"/>
                    <a:stretch>
                      <a:fillRect/>
                    </a:stretch>
                  </pic:blipFill>
                  <pic:spPr>
                    <a:xfrm>
                      <a:off x="0" y="0"/>
                      <a:ext cx="5760000" cy="5040160"/>
                    </a:xfrm>
                    <a:prstGeom prst="rect">
                      <a:avLst/>
                    </a:prstGeom>
                  </pic:spPr>
                </pic:pic>
              </a:graphicData>
            </a:graphic>
          </wp:inline>
        </w:drawing>
      </w:r>
    </w:p>
    <w:p w14:paraId="5F268690" w14:textId="7654814A" w:rsidR="006A1CB1" w:rsidRDefault="003F2E5B" w:rsidP="003F2E5B">
      <w:pPr>
        <w:pStyle w:val="Caption"/>
        <w:jc w:val="both"/>
      </w:pPr>
      <w:r>
        <w:t>Figure A</w:t>
      </w:r>
      <w:fldSimple w:instr=" SEQ Figure \* ARABIC ">
        <w:r>
          <w:rPr>
            <w:noProof/>
          </w:rPr>
          <w:t>3</w:t>
        </w:r>
      </w:fldSimple>
      <w:r>
        <w:t>.</w:t>
      </w:r>
      <w:r w:rsidR="00F22A4D">
        <w:t xml:space="preserve"> </w:t>
      </w:r>
      <w:r w:rsidRPr="001A5A49">
        <w:t xml:space="preserve">Per capita </w:t>
      </w:r>
      <w:r>
        <w:t>blue water</w:t>
      </w:r>
      <w:r w:rsidRPr="001A5A49">
        <w:t xml:space="preserve"> consumption footprints by income group and national ecological carrying capacity (NECC) tercile.</w:t>
      </w:r>
    </w:p>
    <w:p w14:paraId="690E03E6" w14:textId="77777777" w:rsidR="003F2E5B" w:rsidRDefault="009131B5" w:rsidP="003F2E5B">
      <w:pPr>
        <w:keepNext/>
        <w:jc w:val="both"/>
      </w:pPr>
      <w:r>
        <w:rPr>
          <w:noProof/>
        </w:rPr>
        <w:lastRenderedPageBreak/>
        <w:drawing>
          <wp:inline distT="0" distB="0" distL="0" distR="0" wp14:anchorId="0F8B8DA7" wp14:editId="039A27A8">
            <wp:extent cx="5760000" cy="5040160"/>
            <wp:effectExtent l="0" t="0" r="0" b="8255"/>
            <wp:docPr id="166232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28857" name=""/>
                    <pic:cNvPicPr/>
                  </pic:nvPicPr>
                  <pic:blipFill>
                    <a:blip r:embed="rId14"/>
                    <a:stretch>
                      <a:fillRect/>
                    </a:stretch>
                  </pic:blipFill>
                  <pic:spPr>
                    <a:xfrm>
                      <a:off x="0" y="0"/>
                      <a:ext cx="5760000" cy="5040160"/>
                    </a:xfrm>
                    <a:prstGeom prst="rect">
                      <a:avLst/>
                    </a:prstGeom>
                  </pic:spPr>
                </pic:pic>
              </a:graphicData>
            </a:graphic>
          </wp:inline>
        </w:drawing>
      </w:r>
    </w:p>
    <w:p w14:paraId="605B25FB" w14:textId="0C1B9BE0" w:rsidR="00C84F0B" w:rsidRDefault="003F2E5B" w:rsidP="003F2E5B">
      <w:pPr>
        <w:pStyle w:val="Caption"/>
        <w:jc w:val="both"/>
      </w:pPr>
      <w:r>
        <w:t>Figure A</w:t>
      </w:r>
      <w:fldSimple w:instr=" SEQ Figure \* ARABIC ">
        <w:r>
          <w:rPr>
            <w:noProof/>
          </w:rPr>
          <w:t>4</w:t>
        </w:r>
      </w:fldSimple>
      <w:r>
        <w:t xml:space="preserve">. </w:t>
      </w:r>
      <w:r w:rsidRPr="005E41F1">
        <w:t xml:space="preserve">Per capita </w:t>
      </w:r>
      <w:r>
        <w:t>nitrogen</w:t>
      </w:r>
      <w:r w:rsidRPr="005E41F1">
        <w:t xml:space="preserve"> consumption footprints by income group and national ecological carrying capacity (NECC) tercile.</w:t>
      </w:r>
    </w:p>
    <w:p w14:paraId="3045D94B" w14:textId="77777777" w:rsidR="003F2E5B" w:rsidRDefault="009131B5" w:rsidP="003F2E5B">
      <w:pPr>
        <w:keepNext/>
        <w:jc w:val="both"/>
      </w:pPr>
      <w:r>
        <w:rPr>
          <w:noProof/>
        </w:rPr>
        <w:lastRenderedPageBreak/>
        <w:drawing>
          <wp:inline distT="0" distB="0" distL="0" distR="0" wp14:anchorId="547AFB61" wp14:editId="2A959DF1">
            <wp:extent cx="5760000" cy="5040160"/>
            <wp:effectExtent l="0" t="0" r="0" b="8255"/>
            <wp:docPr id="208415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59470" name=""/>
                    <pic:cNvPicPr/>
                  </pic:nvPicPr>
                  <pic:blipFill>
                    <a:blip r:embed="rId15"/>
                    <a:stretch>
                      <a:fillRect/>
                    </a:stretch>
                  </pic:blipFill>
                  <pic:spPr>
                    <a:xfrm>
                      <a:off x="0" y="0"/>
                      <a:ext cx="5760000" cy="5040160"/>
                    </a:xfrm>
                    <a:prstGeom prst="rect">
                      <a:avLst/>
                    </a:prstGeom>
                  </pic:spPr>
                </pic:pic>
              </a:graphicData>
            </a:graphic>
          </wp:inline>
        </w:drawing>
      </w:r>
    </w:p>
    <w:p w14:paraId="265DDCB3" w14:textId="41C27D85" w:rsidR="006A1CB1" w:rsidRDefault="003F2E5B" w:rsidP="003F2E5B">
      <w:pPr>
        <w:pStyle w:val="Caption"/>
        <w:jc w:val="both"/>
      </w:pPr>
      <w:r>
        <w:t>Figure A</w:t>
      </w:r>
      <w:fldSimple w:instr=" SEQ Figure \* ARABIC ">
        <w:r>
          <w:rPr>
            <w:noProof/>
          </w:rPr>
          <w:t>5</w:t>
        </w:r>
      </w:fldSimple>
      <w:r>
        <w:t xml:space="preserve">. </w:t>
      </w:r>
      <w:r w:rsidRPr="00165786">
        <w:t xml:space="preserve">Per capita </w:t>
      </w:r>
      <w:r>
        <w:t>phosphorus</w:t>
      </w:r>
      <w:r w:rsidRPr="00165786">
        <w:t xml:space="preserve"> consumption footprints by income group and national ecological carrying capacity (NECC) tercile.</w:t>
      </w:r>
    </w:p>
    <w:p w14:paraId="30082C0E" w14:textId="36750DB1" w:rsidR="00420F99" w:rsidRDefault="00A60213" w:rsidP="00154BB1">
      <w:pPr>
        <w:pStyle w:val="ListParagraph"/>
        <w:numPr>
          <w:ilvl w:val="1"/>
          <w:numId w:val="8"/>
        </w:numPr>
        <w:jc w:val="both"/>
      </w:pPr>
      <w:r>
        <w:t xml:space="preserve">Outliers Figure </w:t>
      </w:r>
      <w:r w:rsidR="00154BB1">
        <w:t>5</w:t>
      </w:r>
    </w:p>
    <w:p w14:paraId="2D7C594A" w14:textId="77777777" w:rsidR="00154BB1" w:rsidRDefault="00154BB1" w:rsidP="00154BB1">
      <w:pPr>
        <w:jc w:val="both"/>
      </w:pPr>
      <w:r>
        <w:t>Cropland – removed as outliers (ratio &gt; 5): ['ARE', 'BHR', 'BRB', 'BRN', 'CHE', 'DJI', 'ISR', 'JPN', 'KOR', 'KWT', 'LUX', 'MLT', 'MNE', 'QAT', 'SGP', 'TTO']</w:t>
      </w:r>
    </w:p>
    <w:p w14:paraId="167A426E" w14:textId="77777777" w:rsidR="00154BB1" w:rsidRDefault="00154BB1" w:rsidP="00154BB1">
      <w:pPr>
        <w:jc w:val="both"/>
      </w:pPr>
      <w:r>
        <w:t>Forest – removed as outliers (ratio &gt; 5): ['ARE', 'BDI', 'BGD', 'BHR', 'BRB', 'DJI', 'ETH', 'FIN', 'ISR', 'KEN', 'KWT', 'MLT', 'MWI', 'NER', 'NLD', 'OMN', 'RWA', 'SGP', 'SWZ', 'TJK', 'TKM', 'UGA', 'ZAF']</w:t>
      </w:r>
    </w:p>
    <w:p w14:paraId="6B532191" w14:textId="77777777" w:rsidR="00154BB1" w:rsidRDefault="00154BB1" w:rsidP="00154BB1">
      <w:pPr>
        <w:jc w:val="both"/>
      </w:pPr>
      <w:r>
        <w:t>Nitrogen – removed as outliers (ratio &gt; 5): ['ARM', 'CUB', 'CYP', 'DNK', 'DZA', 'GBR', 'GRC', 'HKG', 'HND', 'IDN', 'IRN', 'ISR', 'JOR', 'KEN', 'MAR', 'MRT', 'MUS', 'OMN', 'PER', 'PHL', 'SGP', 'SOM', 'TTO', 'TUN']</w:t>
      </w:r>
    </w:p>
    <w:p w14:paraId="6F3BACF0" w14:textId="77777777" w:rsidR="00154BB1" w:rsidRDefault="00154BB1" w:rsidP="00154BB1">
      <w:pPr>
        <w:jc w:val="both"/>
      </w:pPr>
      <w:r>
        <w:t>Pasture – removed as outliers (ratio &gt; 5): ['AUS', 'BOL', 'ISR', 'JPN', 'KWT', 'MLT', 'MNG', 'MYS', 'NZL', 'PRY', 'TCD', 'URY']</w:t>
      </w:r>
    </w:p>
    <w:p w14:paraId="1FB9D034" w14:textId="5F66575D" w:rsidR="00154BB1" w:rsidRDefault="00154BB1" w:rsidP="00154BB1">
      <w:pPr>
        <w:jc w:val="both"/>
      </w:pPr>
      <w:r>
        <w:t>Phosphorus – removed as outliers (ratio &gt; 5): ['ARM', 'AUS', 'AZE', 'BEL', 'BIH', 'CAN', 'CHN', 'CUB', 'CYP', 'CZE', 'DNK', 'DOM', 'DZA', 'ESP', 'FRA', 'GBR', 'GRC', 'HKG', 'HND', 'HRV', 'IDN', 'IRN', 'ISR', 'ITA', 'JOR', 'JPN', 'KEN', 'KOR', 'LUX', 'MAR', 'MKD', 'MNG', 'MRT', 'MUS', 'NCL', 'NLD', 'NZL', 'OMN', 'PAK', 'PER', 'PHL', 'POL', 'PRK', 'PRT', 'PYF', 'SGP', 'SYR', 'TTO', 'TUN', 'TUR', 'UKR', 'URY', 'UZB', 'ZAF']</w:t>
      </w:r>
    </w:p>
    <w:p w14:paraId="512CB5B1" w14:textId="13E76B6F" w:rsidR="00FE3D37" w:rsidRDefault="00555B2C" w:rsidP="0083407F">
      <w:pPr>
        <w:pStyle w:val="ListParagraph"/>
        <w:numPr>
          <w:ilvl w:val="0"/>
          <w:numId w:val="8"/>
        </w:numPr>
        <w:jc w:val="both"/>
      </w:pPr>
      <w:r>
        <w:lastRenderedPageBreak/>
        <w:t>Additional discussion</w:t>
      </w:r>
    </w:p>
    <w:p w14:paraId="218A9279" w14:textId="22F0918A" w:rsidR="00555B2C" w:rsidRDefault="00555B2C" w:rsidP="00555B2C">
      <w:pPr>
        <w:pStyle w:val="ListParagraph"/>
        <w:numPr>
          <w:ilvl w:val="1"/>
          <w:numId w:val="8"/>
        </w:numPr>
        <w:jc w:val="both"/>
      </w:pPr>
      <w:r>
        <w:t xml:space="preserve">Comparison to other </w:t>
      </w:r>
      <w:r w:rsidR="008F1684">
        <w:t xml:space="preserve">national and </w:t>
      </w:r>
      <w:r>
        <w:t>global thresholds</w:t>
      </w:r>
    </w:p>
    <w:p w14:paraId="09D82BE2" w14:textId="2F6839A4" w:rsidR="00555B2C" w:rsidRPr="0011594A" w:rsidRDefault="0011594A" w:rsidP="009F2106">
      <w:pPr>
        <w:jc w:val="both"/>
        <w:rPr>
          <w:b/>
          <w:bCs/>
        </w:rPr>
      </w:pPr>
      <w:r w:rsidRPr="0011594A">
        <w:rPr>
          <w:b/>
          <w:bCs/>
        </w:rPr>
        <w:t>Land Use</w:t>
      </w:r>
    </w:p>
    <w:p w14:paraId="58BFBF98" w14:textId="066A2DDA" w:rsidR="0011594A" w:rsidRPr="0011594A" w:rsidRDefault="0011594A" w:rsidP="0011594A">
      <w:pPr>
        <w:jc w:val="both"/>
      </w:pPr>
      <w:r w:rsidRPr="0011594A">
        <w:t>When comparing our land-use results with those from the</w:t>
      </w:r>
      <w:r w:rsidR="00F22A4D">
        <w:t xml:space="preserve"> </w:t>
      </w:r>
      <w:r w:rsidRPr="0011594A">
        <w:t>GFN</w:t>
      </w:r>
      <w:r w:rsidR="000C4BA1">
        <w:t xml:space="preserve"> </w:t>
      </w:r>
      <w:r w:rsidR="000C4BA1">
        <w:fldChar w:fldCharType="begin"/>
      </w:r>
      <w:r w:rsidR="000C4BA1">
        <w:instrText xml:space="preserve"> ADDIN ZOTERO_ITEM CSL_CITATION {"citationID":"YdY2ScCP","properties":{"formattedCitation":"(York University Ecological Footprint Initiative &amp; Global Footprint Network, 2023)","plainCitation":"(York University Ecological Footprint Initiative &amp; Global Footprint Network, 2023)","noteIndex":0},"citationItems":[{"id":10681,"uris":["http://zotero.org/users/13839701/items/D4PHNUYN"],"itemData":{"id":10681,"type":"dataset","medium":"Excel file","note":"Produced for the Footprint Data Foundation and distributed by Global Footprint Network","title":"Public Data Package of the National Footprint and Biocapacity Accounts, 2023 edition","URL":"https://data.footprintnetwork.org","author":[{"family":"York University Ecological Footprint Initiative &amp; Global Footprint Network","given":""}],"issued":{"date-parts":[["2023"]]}}}],"schema":"https://github.com/citation-style-language/schema/raw/master/csl-citation.json"} </w:instrText>
      </w:r>
      <w:r w:rsidR="000C4BA1">
        <w:fldChar w:fldCharType="separate"/>
      </w:r>
      <w:r w:rsidR="000C4BA1" w:rsidRPr="000C4BA1">
        <w:rPr>
          <w:rFonts w:ascii="Aptos" w:hAnsi="Aptos"/>
        </w:rPr>
        <w:t>(York University Ecological Footprint Initiative &amp; Global Footprint Network, 2023)</w:t>
      </w:r>
      <w:r w:rsidR="000C4BA1">
        <w:fldChar w:fldCharType="end"/>
      </w:r>
      <w:r w:rsidRPr="0011594A">
        <w:t>, we observe some country-level differences, though global totals remain relatively consistent. Our global consumption estimates are 12% higher for cropland and only 1% higher for forest compared to GFN values.</w:t>
      </w:r>
    </w:p>
    <w:p w14:paraId="4F26215B" w14:textId="03E4584D" w:rsidR="0011594A" w:rsidRPr="0011594A" w:rsidRDefault="0011594A" w:rsidP="0011594A">
      <w:pPr>
        <w:jc w:val="both"/>
      </w:pPr>
      <w:r w:rsidRPr="0011594A">
        <w:t>A more substantial difference appears for pasture, where our global value is approximately 50% higher than GFN's estimate. This discrepancy stems from a methodological choice regarding countries where production footprint exceeds biocapacity. GFN assumes that the footprint equals the biocapacity (i.e., capping footprint at the biocapacity level), whereas we assume that biocapacity equals the footprint (i.e., adjusting biocapacity upward to match the observed footprint). We adopted this approach to avoid underestimating actual pasture exploitation</w:t>
      </w:r>
      <w:r>
        <w:t>.</w:t>
      </w:r>
    </w:p>
    <w:p w14:paraId="3457DC60" w14:textId="5F8A43C9" w:rsidR="0011594A" w:rsidRPr="0011594A" w:rsidRDefault="0011594A" w:rsidP="009F2106">
      <w:pPr>
        <w:jc w:val="both"/>
        <w:rPr>
          <w:b/>
          <w:bCs/>
        </w:rPr>
      </w:pPr>
      <w:r w:rsidRPr="0011594A">
        <w:rPr>
          <w:b/>
          <w:bCs/>
        </w:rPr>
        <w:t>Nutrients</w:t>
      </w:r>
    </w:p>
    <w:p w14:paraId="7220543E" w14:textId="4B09F819" w:rsidR="0011594A" w:rsidRDefault="00CE2354" w:rsidP="009F2106">
      <w:pPr>
        <w:jc w:val="both"/>
      </w:pPr>
      <w:r w:rsidRPr="00CE2354">
        <w:t>For nitrogen (N), we compare our results with</w:t>
      </w:r>
      <w:r w:rsidR="000C4BA1">
        <w:t xml:space="preserve"> </w:t>
      </w:r>
      <w:r w:rsidR="000C4BA1">
        <w:fldChar w:fldCharType="begin"/>
      </w:r>
      <w:r w:rsidR="00AD6840">
        <w:instrText xml:space="preserve"> ADDIN ZOTERO_ITEM CSL_CITATION {"citationID":"wA3Rbnpq","properties":{"formattedCitation":"(Mekonnen &amp; Hoekstra, 2015)","plainCitation":"(Mekonnen &amp; Hoekstra, 2015)","dontUpdate":true,"noteIndex":0},"citationItems":[{"id":7755,"uris":["http://zotero.org/users/13839701/items/E8SRDT83"],"itemData":{"id":7755,"type":"article-journal","abstract":"This is the first global assessment of nitrogen-related water pollution in river basins with a specification of the pollution by economic sector, and by crop for the agricultural sector. At a spatial resolution of 5 by 5 arc minute, we estimate anthropogenic nitrogen (N) loads to freshwater, calculate the resultant gray water footprints (GWFs), and relate the GWFs per river basin to runoff to calculate the N-related water pollution level (WPL) per catchment. The accumulated global GWF related to anthropogenic N loads in the period 2002–2010 was 13 × 1012 m3/y. China contributed about 45% to the global total. Three quarters of the GWF related to N loads came from diffuse sources (agriculture), 23% from domestic point sources and 2% from industrial point sources. Among the crops, production of cereals had the largest contribution to the N-related GWF (18%), followed by vegetables (15%) and oil crops (11%). The river basins with WPL &gt; 1 (where the N load exceeds the basin’s assimilation capacity), cover about 17% of the global land area, contribute about 9% of the global river discharge, and provide residence to 48% of the global population.","container-title":"Environmental Science &amp; Technology","DOI":"10.1021/acs.est.5b03191","ISSN":"0013-936X","issue":"21","journalAbbreviation":"Environ. Sci. Technol.","note":"publisher: American Chemical Society","page":"12860-12868","source":"ACS Publications","title":"Global Gray Water Footprint and Water Pollution Levels Related to Anthropogenic Nitrogen Loads to Fresh Water","volume":"49","author":[{"family":"Mekonnen","given":"Mesfin M."},{"family":"Hoekstra","given":"Arjen Y."}],"issued":{"date-parts":[["2015",11,3]]}}}],"schema":"https://github.com/citation-style-language/schema/raw/master/csl-citation.json"} </w:instrText>
      </w:r>
      <w:r w:rsidR="000C4BA1">
        <w:fldChar w:fldCharType="separate"/>
      </w:r>
      <w:r w:rsidR="000C4BA1" w:rsidRPr="000C4BA1">
        <w:rPr>
          <w:rFonts w:ascii="Aptos" w:hAnsi="Aptos"/>
        </w:rPr>
        <w:t xml:space="preserve">Mekonnen &amp; Hoekstra </w:t>
      </w:r>
      <w:r w:rsidR="000C4BA1">
        <w:rPr>
          <w:rFonts w:ascii="Aptos" w:hAnsi="Aptos"/>
        </w:rPr>
        <w:t>(</w:t>
      </w:r>
      <w:r w:rsidR="000C4BA1" w:rsidRPr="000C4BA1">
        <w:rPr>
          <w:rFonts w:ascii="Aptos" w:hAnsi="Aptos"/>
        </w:rPr>
        <w:t>2015)</w:t>
      </w:r>
      <w:r w:rsidR="000C4BA1">
        <w:fldChar w:fldCharType="end"/>
      </w:r>
      <w:r w:rsidRPr="00CE2354">
        <w:t>, and for phosphorus (P), with</w:t>
      </w:r>
      <w:r w:rsidR="000C4BA1">
        <w:t xml:space="preserve"> </w:t>
      </w:r>
      <w:r w:rsidR="000C4BA1">
        <w:fldChar w:fldCharType="begin"/>
      </w:r>
      <w:r w:rsidR="00AD6840">
        <w:instrText xml:space="preserve"> ADDIN ZOTERO_ITEM CSL_CITATION {"citationID":"dCtXJTtF","properties":{"formattedCitation":"(Mekonnen &amp; Hoekstra, 2018)","plainCitation":"(Mekonnen &amp; Hoekstra, 2018)","dontUpdate":true,"noteIndex":0},"citationItems":[{"id":7765,"uris":["http://zotero.org/users/13839701/items/8ZVL574U"],"itemData":{"id":7765,"type":"article-journal","abstract":"We estimate the global anthropogenic phosphorus (P) loads to freshwater and the associated grey water footprints (GWFs) for the period 2002–2010, at a spatial resolution of 5 × 5 arc min, and compare the GWF per river basin to runoff to assess the P-related water pollution level (WPL). The global anthropogenic P load to freshwater systems from both diffuse and point sources is estimated at 1.5 Tg/yr. More than half of this total load was in Asia, followed by Europe (19%) and Latin America and the Caribbean (13%). The domestic sector contributed 54% to the total, agriculture 38%, and industry 8%. In agriculture, cereals production had the largest contribution to the P load (31%), followed by fruits, vegetables, and oil crops, each contributing 15%. The global total GWF related to anthropogenic P loads is estimated to be 147 × 1012 m3/yr, with China contributing 30%, India 8%, USA 7%, and Spain and Brazil 6% each. The basins with WPL &gt; 1 (where GWF exceeds the basin's assimilation capacity) together cover about 38% of the global land area, 37% of the global river discharge, and provide residence to about 90% of the global population.","container-title":"Water Resources Research","DOI":"10.1002/2017WR020448","ISSN":"1944-7973","issue":"1","language":"en","license":"© 2017. American Geophysical Union. All Rights Reserved.","note":"_eprint: https://onlinelibrary.wiley.com/doi/pdf/10.1002/2017WR020448","page":"345-358","source":"Wiley Online Library","title":"Global Anthropogenic Phosphorus Loads to Freshwater and Associated Grey Water Footprints and Water Pollution Levels: A High-Resolution Global Study","title-short":"Global Anthropogenic Phosphorus Loads to Freshwater and Associated Grey Water Footprints and Water Pollution Levels","volume":"54","author":[{"family":"Mekonnen","given":"Mesfin M."},{"family":"Hoekstra","given":"Arjen Y."}],"issued":{"date-parts":[["2018"]]}}}],"schema":"https://github.com/citation-style-language/schema/raw/master/csl-citation.json"} </w:instrText>
      </w:r>
      <w:r w:rsidR="000C4BA1">
        <w:fldChar w:fldCharType="separate"/>
      </w:r>
      <w:r w:rsidR="000C4BA1" w:rsidRPr="000C4BA1">
        <w:rPr>
          <w:rFonts w:ascii="Aptos" w:hAnsi="Aptos"/>
        </w:rPr>
        <w:t xml:space="preserve">Mekonnen &amp; Hoekstra </w:t>
      </w:r>
      <w:r w:rsidR="000C4BA1">
        <w:rPr>
          <w:rFonts w:ascii="Aptos" w:hAnsi="Aptos"/>
        </w:rPr>
        <w:t>(</w:t>
      </w:r>
      <w:r w:rsidR="000C4BA1" w:rsidRPr="000C4BA1">
        <w:rPr>
          <w:rFonts w:ascii="Aptos" w:hAnsi="Aptos"/>
        </w:rPr>
        <w:t>2018)</w:t>
      </w:r>
      <w:r w:rsidR="000C4BA1">
        <w:fldChar w:fldCharType="end"/>
      </w:r>
      <w:r w:rsidRPr="00CE2354">
        <w:t>. Our global grey water footprint (GWF) for N is substantially higher—approximately three times their estimate—while our P estimate is around 20% lower than Mekonnen's.</w:t>
      </w:r>
    </w:p>
    <w:p w14:paraId="15E678F9" w14:textId="18C09ACA" w:rsidR="00BA0979" w:rsidRDefault="00BA0979" w:rsidP="005977C8">
      <w:pPr>
        <w:jc w:val="both"/>
      </w:pPr>
      <w:r w:rsidRPr="00BA0979">
        <w:t>These differences likely arise from several factors: (1) temporal scope—Mekonnen and Hoekstra analysed 2002–2010 data, whereas we use 2017 data; (2) spatial resolution—they worked at the river basin scale while we used national averages; and (3) methodological differences in estimating N emissions to water sources. For P, our calculation relies on an average conversion factor derived from Mekonnen and Hoekstra's work rather than a detailed bottom-up assessment. Despite these numerical differences, the geographical distributions of water pollution levels (WPL) show relatively similar patterns across both studies.</w:t>
      </w:r>
    </w:p>
    <w:p w14:paraId="4B6DB992" w14:textId="4963D4EA" w:rsidR="00BA0979" w:rsidRPr="00BA0979" w:rsidRDefault="00BA0979" w:rsidP="005977C8">
      <w:pPr>
        <w:jc w:val="both"/>
        <w:rPr>
          <w:b/>
          <w:bCs/>
        </w:rPr>
      </w:pPr>
      <w:r w:rsidRPr="00BA0979">
        <w:rPr>
          <w:b/>
          <w:bCs/>
        </w:rPr>
        <w:t>Blue water</w:t>
      </w:r>
    </w:p>
    <w:p w14:paraId="0A8494A1" w14:textId="5426BF0D" w:rsidR="00536C25" w:rsidRDefault="00536C25" w:rsidP="003828C5">
      <w:pPr>
        <w:jc w:val="both"/>
      </w:pPr>
      <w:r w:rsidRPr="00536C25">
        <w:t xml:space="preserve">Our freshwater availability threshold aligns well with established estimates in the literature. </w:t>
      </w:r>
      <w:r w:rsidR="006D0F6C">
        <w:fldChar w:fldCharType="begin"/>
      </w:r>
      <w:r w:rsidR="00AD6840">
        <w:instrText xml:space="preserve"> ADDIN ZOTERO_ITEM CSL_CITATION {"citationID":"XOB3LKYT","properties":{"formattedCitation":"(Seckler et al., 1998)","plainCitation":"(Seckler et al., 1998)","dontUpdate":true,"noteIndex":0},"citationItems":[{"id":10758,"uris":["http://zotero.org/users/13839701/items/IRCDFEIA"],"itemData":{"id":10758,"type":"report","abstract":"Presents two alternative scenarios of water demand and supply for 118 countries over the 1990 to 2025 period and develops indicators of water scarcity for each country and for the world as a whole. This study is the first step in IWMI's long-term research goal: to determine the extent and depth of water scarcity, its consequences for individual countries and what can be done about it","language":"eng","note":"DOI: 10.22004/ag.econ.61108\nnumber-of-pages: 40\ncollection-title: IWMI Research Report","source":"AgEcon Search","title":"World water demand and supply, 1990 to 2025: scenarios and issues","title-short":"World water demand and supply, 1990 to 2025","URL":"https://ageconsearch.umn.edu/record/61108","author":[{"family":"Seckler","given":"David"},{"family":"Amarasinghe","given":"Upali A."},{"family":"Molden","given":"David J."},{"family":"Silva","given":"Radhika","non-dropping-particle":"de"},{"family":"Barker","given":"Randolph"}],"accessed":{"date-parts":[["2026",4,27]]},"issued":{"date-parts":[["1998"]]}}}],"schema":"https://github.com/citation-style-language/schema/raw/master/csl-citation.json"} </w:instrText>
      </w:r>
      <w:r w:rsidR="006D0F6C">
        <w:fldChar w:fldCharType="separate"/>
      </w:r>
      <w:r w:rsidR="006D0F6C" w:rsidRPr="006D0F6C">
        <w:rPr>
          <w:rFonts w:ascii="Aptos" w:hAnsi="Aptos"/>
        </w:rPr>
        <w:t xml:space="preserve">Seckler et al. </w:t>
      </w:r>
      <w:r w:rsidR="006D0F6C">
        <w:rPr>
          <w:rFonts w:ascii="Aptos" w:hAnsi="Aptos"/>
        </w:rPr>
        <w:t>(</w:t>
      </w:r>
      <w:r w:rsidR="006D0F6C" w:rsidRPr="006D0F6C">
        <w:rPr>
          <w:rFonts w:ascii="Aptos" w:hAnsi="Aptos"/>
        </w:rPr>
        <w:t>1998)</w:t>
      </w:r>
      <w:r w:rsidR="006D0F6C">
        <w:fldChar w:fldCharType="end"/>
      </w:r>
      <w:r w:rsidRPr="00536C25">
        <w:t xml:space="preserve"> estimated utilisable blue water resources at 14,000 km³/year.</w:t>
      </w:r>
      <w:r w:rsidR="006D0F6C">
        <w:t xml:space="preserve"> </w:t>
      </w:r>
      <w:r w:rsidR="006D0F6C">
        <w:fldChar w:fldCharType="begin"/>
      </w:r>
      <w:r w:rsidR="00AD6840">
        <w:instrText xml:space="preserve"> ADDIN ZOTERO_ITEM CSL_CITATION {"citationID":"tKyfLaKF","properties":{"formattedCitation":"(de Fraiture et al., 2001)","plainCitation":"(de Fraiture et al., 2001)","dontUpdate":true,"noteIndex":0},"citationItems":[{"id":10623,"uris":["http://zotero.org/users/13839701/items/9274CHVR"],"itemData":{"id":10623,"type":"article-journal","abstract":"Since 1997, IWMI has been developing models to investigate future food and water requirements. Since the initial results were published (Seckler et al., 1998), the data and methodologies were refined substantially, evolving into the PODIUM model. The model estimates projected increases in water demand in 2025 resulting from the expected population growth and changes in consumption pattern, for individual nations. The PODIUM model provides a user-friendly means to analyze alternative future scenarios and conduct sensitivity analysis. As part of the World Water Vision 2025 exercise, the PODIUM model was used to test a range of scenarios related to food and water demand. In the IWMI base scenario, 33 percent of the population of the studied countries will face absolute water scarcity. These countries will not have sufficient water resources to meet water needs. Another 45 percent of the population live in countries that will face economic scarcity. Countries in this category may not have the capacity or financial resources to develop sufficient water resources. Globally, water diversions to agriculture will grow by 17 percent. Fifteen countries, mainly in the Middle East and Africa, will rely on cereal imports for more than 25 percent of their grain consumption (Seckler et al., 2000). This paper presents the modeling strategies adopted in the PODIUM model and the results obtained during the development of the World Water Vision (Rijsberman and Cosgrove, 2000). These results indicate the need for substantial investment in water resources development, improving agricultural water use and expansion of both irrigated and rain-fed agriculture.","container-title":"Physics and Chemistry of the Earth, Part B: Hydrology, Oceans and Atmosphere","DOI":"10.1016/S1464-1909(01)00099-5","ISSN":"1464-1909","issue":"11","journalAbbreviation":"Physics and Chemistry of the Earth, Part B: Hydrology, Oceans and Atmosphere","page":"869-876","source":"ScienceDirect","title":"PODIUM: Projecting water supply and demand for food production in 2025","title-short":"PODIUM","volume":"26","author":[{"family":"Fraiture","given":"C.","non-dropping-particle":"de"},{"family":"Molden","given":"D."},{"family":"Amarasinghe","given":"U."},{"family":"Makin","given":"I."}],"issued":{"date-parts":[["2001",1,1]]}}}],"schema":"https://github.com/citation-style-language/schema/raw/master/csl-citation.json"} </w:instrText>
      </w:r>
      <w:r w:rsidR="006D0F6C">
        <w:fldChar w:fldCharType="separate"/>
      </w:r>
      <w:r w:rsidR="006D0F6C" w:rsidRPr="006D0F6C">
        <w:rPr>
          <w:rFonts w:ascii="Aptos" w:hAnsi="Aptos"/>
        </w:rPr>
        <w:t xml:space="preserve">de Fraiture et al. </w:t>
      </w:r>
      <w:r w:rsidR="006D0F6C">
        <w:rPr>
          <w:rFonts w:ascii="Aptos" w:hAnsi="Aptos"/>
        </w:rPr>
        <w:t>(</w:t>
      </w:r>
      <w:r w:rsidR="006D0F6C" w:rsidRPr="006D0F6C">
        <w:rPr>
          <w:rFonts w:ascii="Aptos" w:hAnsi="Aptos"/>
        </w:rPr>
        <w:t>2001)</w:t>
      </w:r>
      <w:r w:rsidR="006D0F6C">
        <w:fldChar w:fldCharType="end"/>
      </w:r>
      <w:r w:rsidRPr="00536C25">
        <w:t xml:space="preserve"> subsequently defined physical water scarcity as occurring when withdrawals exceed 60% of the utilisable resource, equivalent to a threshold of 8,400 km³/year. Our threshold of approximately 10,000 km³/year falls within a similar range.</w:t>
      </w:r>
    </w:p>
    <w:p w14:paraId="607A9525" w14:textId="1293C6B5" w:rsidR="003828C5" w:rsidRPr="003828C5" w:rsidRDefault="003828C5" w:rsidP="003828C5">
      <w:pPr>
        <w:jc w:val="both"/>
      </w:pPr>
      <w:r w:rsidRPr="003828C5">
        <w:t xml:space="preserve">Comparison with the Planetary Boundaries framework is more complex. The 2023 assessment </w:t>
      </w:r>
      <w:r w:rsidR="00BF4AF0">
        <w:fldChar w:fldCharType="begin"/>
      </w:r>
      <w:r w:rsidR="00BF4AF0">
        <w:instrText xml:space="preserve"> ADDIN ZOTERO_ITEM CSL_CITATION {"citationID":"oIgr3Kxz","properties":{"formattedCitation":"(Richardson et al., 2023)","plainCitation":"(Richardson et al., 2023)","noteIndex":0},"citationItems":[{"id":670,"uris":["http://zotero.org/users/13839701/items/FED4ID6M"],"itemData":{"id":670,"type":"article-journal","abstract":"This planetary boundaries framework update finds that six of the nine boundaries are transgressed, suggesting that Earth is now well outside of the safe operating space for humanity. Ocean acidification is close to being breached, while aerosol loading regionally exceeds the boundary. Stratospheric ozone levels have slightly recovered. The transgression level has increased for all boundaries earlier identified as overstepped. As primary production drives Earth system biosphere functions, human appropriation of net primary production is proposed as a control variable for functional biosphere integrity. This boundary is also transgressed. Earth system modeling of different levels of the transgression of the climate and land system change boundaries illustrates that these anthropogenic impacts on Earth system must be considered in a systemic context.","container-title":"Science Advances","DOI":"10.1126/sciadv.adh2458","issue":"37","note":"publisher: American Association for the Advancement of Science","page":"eadh2458","source":"science.org (Atypon)","title":"Earth beyond six of nine planetary boundaries","volume":"9","author":[{"family":"Richardson","given":"Katherine"},{"family":"Steffen","given":"Will"},{"family":"Lucht","given":"Wolfgang"},{"family":"Bendtsen","given":"Jørgen"},{"family":"Cornell","given":"Sarah E."},{"family":"Donges","given":"Jonathan F."},{"family":"Drüke","given":"Markus"},{"family":"Fetzer","given":"Ingo"},{"family":"Bala","given":"Govindasamy"},{"family":"Bloh","given":"Werner","non-dropping-particle":"von"},{"family":"Feulner","given":"Georg"},{"family":"Fiedler","given":"Stephanie"},{"family":"Gerten","given":"Dieter"},{"family":"Gleeson","given":"Tom"},{"family":"Hofmann","given":"Matthias"},{"family":"Huiskamp","given":"Willem"},{"family":"Kummu","given":"Matti"},{"family":"Mohan","given":"Chinchu"},{"family":"Nogués-Bravo","given":"David"},{"family":"Petri","given":"Stefan"},{"family":"Porkka","given":"Miina"},{"family":"Rahmstorf","given":"Stefan"},{"family":"Schaphoff","given":"Sibyll"},{"family":"Thonicke","given":"Kirsten"},{"family":"Tobian","given":"Arne"},{"family":"Virkki","given":"Vili"},{"family":"Wang-Erlandsson","given":"Lan"},{"family":"Weber","given":"Lisa"},{"family":"Rockström","given":"Johan"}],"issued":{"date-parts":[["2023",9,13]]}}}],"schema":"https://github.com/citation-style-language/schema/raw/master/csl-citation.json"} </w:instrText>
      </w:r>
      <w:r w:rsidR="00BF4AF0">
        <w:fldChar w:fldCharType="separate"/>
      </w:r>
      <w:r w:rsidR="00BF4AF0" w:rsidRPr="00BF4AF0">
        <w:rPr>
          <w:rFonts w:ascii="Aptos" w:hAnsi="Aptos"/>
        </w:rPr>
        <w:t>(Richardson et al., 2023)</w:t>
      </w:r>
      <w:r w:rsidR="00BF4AF0">
        <w:fldChar w:fldCharType="end"/>
      </w:r>
      <w:r w:rsidRPr="003828C5">
        <w:t xml:space="preserve"> uses different control variables for all pressures we examined, precluding direct comparison. The 2015 assessment</w:t>
      </w:r>
      <w:r w:rsidR="00BF4AF0">
        <w:t xml:space="preserve"> </w:t>
      </w:r>
      <w:r w:rsidR="00BF4AF0">
        <w:fldChar w:fldCharType="begin"/>
      </w:r>
      <w:r w:rsidR="00BF4AF0">
        <w:instrText xml:space="preserve"> ADDIN ZOTERO_ITEM CSL_CITATION {"citationID":"aOmLdIPW","properties":{"formattedCitation":"(Steffen et al., 2015)","plainCitation":"(Steffen et al., 2015)","noteIndex":0},"citationItems":[{"id":643,"uris":["http://zotero.org/users/13839701/items/84FY33PX"],"itemData":{"id":643,"type":"article-journal","abstract":"The planetary boundaries framework defines a safe operating space for humanity based on the intrinsic biophysical processes that regulate the stability of the Earth system. Here, we revise and update the planetary boundary framework, with a focus on the underpinning biophysical science, based on targeted input from expert research communities and on more general scientific advances over the past 5 years. Several of the boundaries now have a two-tier approach, reflecting the importance of cross-scale interactions and the regional-level heterogeneity of the processes that underpin the boundaries. Two core boundaries—climate change and biosphere integrity—have been identified, each of which has the potential on its own to drive the Earth system into a new state should they be substantially and persistently transgressed.","container-title":"Science","DOI":"10.1126/science.1259855","issue":"6223","note":"publisher: American Association for the Advancement of Science","page":"1259855","source":"science.org (Atypon)","title":"Planetary boundaries: Guiding human development on a changing planet","title-short":"Planetary boundaries","volume":"347","author":[{"family":"Steffen","given":"Will"},{"family":"Richardson","given":"Katherine"},{"family":"Rockström","given":"Johan"},{"family":"Cornell","given":"Sarah E."},{"family":"Fetzer","given":"Ingo"},{"family":"Bennett","given":"Elena M."},{"family":"Biggs","given":"Reinette"},{"family":"Carpenter","given":"Stephen R."},{"family":"Vries","given":"Wim","non-dropping-particle":"de"},{"family":"Wit","given":"Cynthia A.","non-dropping-particle":"de"},{"family":"Folke","given":"Carl"},{"family":"Gerten","given":"Dieter"},{"family":"Heinke","given":"Jens"},{"family":"Mace","given":"Georgina M."},{"family":"Persson","given":"Linn M."},{"family":"Ramanathan","given":"Veerabhadran"},{"family":"Reyers","given":"Belinda"},{"family":"Sörlin","given":"Sverker"}],"issued":{"date-parts":[["2015",2,13]]}}}],"schema":"https://github.com/citation-style-language/schema/raw/master/csl-citation.json"} </w:instrText>
      </w:r>
      <w:r w:rsidR="00BF4AF0">
        <w:fldChar w:fldCharType="separate"/>
      </w:r>
      <w:r w:rsidR="00BF4AF0" w:rsidRPr="00BF4AF0">
        <w:rPr>
          <w:rFonts w:ascii="Aptos" w:hAnsi="Aptos"/>
        </w:rPr>
        <w:t>(Steffen et al., 2015)</w:t>
      </w:r>
      <w:r w:rsidR="00BF4AF0">
        <w:fldChar w:fldCharType="end"/>
      </w:r>
      <w:r w:rsidRPr="003828C5">
        <w:t xml:space="preserve"> provides more comparable freshwater data, showing similar geographical patterns of </w:t>
      </w:r>
      <w:r w:rsidR="00B44B0A">
        <w:t xml:space="preserve">blue </w:t>
      </w:r>
      <w:r w:rsidRPr="003828C5">
        <w:t xml:space="preserve">water </w:t>
      </w:r>
      <w:r w:rsidR="00B44B0A">
        <w:t>use</w:t>
      </w:r>
      <w:r w:rsidRPr="003828C5">
        <w:t xml:space="preserve"> to our results. However, their proposed threshold of 4,000–6,000 km³/year (with current use at 2,600 km³/year) differs substantially from our threshold of ~10,000 km³/year (with current consumption of 1,025 km³/year). These numerical differences likely reflect different </w:t>
      </w:r>
      <w:r w:rsidR="008F75E9">
        <w:t>m</w:t>
      </w:r>
      <w:r w:rsidR="00103AB0">
        <w:t>e</w:t>
      </w:r>
      <w:r w:rsidR="008F75E9">
        <w:t>tho</w:t>
      </w:r>
      <w:r w:rsidR="00103AB0">
        <w:t>do</w:t>
      </w:r>
      <w:r w:rsidR="008F75E9">
        <w:t>logies to account for</w:t>
      </w:r>
      <w:r w:rsidRPr="003828C5">
        <w:t xml:space="preserve"> blue water use and divergent approaches to threshold-setting. For nutrients and land use, the different control variables in the Planetary Boundaries framework prevent meaningful quantitative comparison.</w:t>
      </w:r>
    </w:p>
    <w:p w14:paraId="1A1AC644" w14:textId="77777777" w:rsidR="003828C5" w:rsidRPr="003828C5" w:rsidRDefault="003828C5" w:rsidP="003828C5">
      <w:pPr>
        <w:jc w:val="both"/>
      </w:pPr>
      <w:r w:rsidRPr="003828C5">
        <w:lastRenderedPageBreak/>
        <w:t>While absolute threshold values differ across studies due to methodological choices, temporal scope, and spatial resolution, the geographical patterns of resource overshoot show notable consistency. This suggests that our assessment captures similar structural patterns of environmental pressure distribution, even when specific numerical values diverge from other frameworks.</w:t>
      </w:r>
    </w:p>
    <w:p w14:paraId="6314599E" w14:textId="1258B5B4" w:rsidR="00BA0979" w:rsidRDefault="00BC7170" w:rsidP="00BC7170">
      <w:pPr>
        <w:pStyle w:val="ListParagraph"/>
        <w:numPr>
          <w:ilvl w:val="1"/>
          <w:numId w:val="8"/>
        </w:numPr>
        <w:jc w:val="both"/>
      </w:pPr>
      <w:r>
        <w:t>Other limitations</w:t>
      </w:r>
    </w:p>
    <w:p w14:paraId="0D65A1CD" w14:textId="4A954EC6" w:rsidR="00BC7170" w:rsidRDefault="00BC7170" w:rsidP="00BC7170">
      <w:pPr>
        <w:jc w:val="both"/>
      </w:pPr>
      <w:r>
        <w:t>Some</w:t>
      </w:r>
      <w:r w:rsidRPr="00BC7170">
        <w:t xml:space="preserve"> limitations constrain our analysis and point toward future research directions. First, our assessment excludes green water, which constitutes the majority of agricultural water use globally</w:t>
      </w:r>
      <w:r w:rsidR="00AD6840">
        <w:t xml:space="preserve"> </w:t>
      </w:r>
      <w:r w:rsidR="00AD6840">
        <w:fldChar w:fldCharType="begin"/>
      </w:r>
      <w:r w:rsidR="00AD6840">
        <w:instrText xml:space="preserve"> ADDIN ZOTERO_ITEM CSL_CITATION {"citationID":"NQHDDmNV","properties":{"formattedCitation":"(Hoekstra &amp; Mekonnen, 2012)","plainCitation":"(Hoekstra &amp; Mekonnen, 2012)","noteIndex":0},"citationItems":[{"id":10719,"uris":["http://zotero.org/users/13839701/items/2PAXLEUE"],"itemData":{"id":10719,"type":"article-journal","abstract":"This study quantifies and maps the water footprint (WF) of humanity at a high spatial resolution. It reports on consumptive use of rainwater (green WF) and ground and surface water (blue WF) and volumes of water polluted (gray WF). Water footprints are estimated per nation from both a production and consumption perspective. International virtual water flows are estimated based on trade in agricultural and industrial commodities. The global annual average WF in the period 1996–2005 was 9,087 Gm3/y (74% green, 11% blue, 15% gray). Agricultural production contributes 92%. About one-fifth of the global WF relates to production for export. The total volume of international virtual water flows related to trade in agricultural and industrial products was 2,320 Gm3/y (68% green, 13% blue, 19% gray). The WF of the global average consumer was 1,385 m3/y. The average consumer in the United States has a WF of 2,842 m3/y, whereas the average citizens in China and India have WFs of 1,071 and 1,089 m3/y, respectively. Consumption of cereal products gives the largest contribution to the WF of the average consumer (27%), followed by meat (22%) and milk products (7%). The volume and pattern of consumption and the WF per ton of product of the products consumed are the main factors determining the WF of a consumer. The study illustrates the global dimension of water consumption and pollution by showing that several countries heavily rely on foreign water resources and that many countries have significant impacts on water consumption and pollution elsewhere.","container-title":"Proceedings of the National Academy of Sciences","DOI":"10.1073/pnas.1109936109","issue":"9","note":"publisher: Proceedings of the National Academy of Sciences","page":"3232-3237","source":"pnas.org (Atypon)","title":"The water footprint of humanity","volume":"109","author":[{"family":"Hoekstra","given":"Arjen Y."},{"family":"Mekonnen","given":"Mesfin M."}],"issued":{"date-parts":[["2012",2,28]]}}}],"schema":"https://github.com/citation-style-language/schema/raw/master/csl-citation.json"} </w:instrText>
      </w:r>
      <w:r w:rsidR="00AD6840">
        <w:fldChar w:fldCharType="separate"/>
      </w:r>
      <w:r w:rsidR="00AD6840" w:rsidRPr="00AD6840">
        <w:rPr>
          <w:rFonts w:ascii="Aptos" w:hAnsi="Aptos"/>
        </w:rPr>
        <w:t>(Hoekstra &amp; Mekonnen, 2012)</w:t>
      </w:r>
      <w:r w:rsidR="00AD6840">
        <w:fldChar w:fldCharType="end"/>
      </w:r>
      <w:r w:rsidRPr="00BC7170">
        <w:t xml:space="preserve">. Including green water would alter the self-sufficiency assessment, particularly for water-scarce regions where rainfed agriculture dominates. Second, our land assessment methodology, based on the </w:t>
      </w:r>
      <w:r w:rsidR="00E516EC">
        <w:t>GFN</w:t>
      </w:r>
      <w:r w:rsidRPr="00BC7170">
        <w:t xml:space="preserve"> approach, measures human appropriation of biophysical capacity but does not account for historical land conversion or the initial natural state of ecosystems. For example, cropland capacity is calculated based on current agricultural productivity, without considering that this land may have been converted from forests, grasslands, or wetlands, a conversion that itself represents an environmental impact and biodiversity loss.</w:t>
      </w:r>
    </w:p>
    <w:p w14:paraId="79C1C47D" w14:textId="13D3E0C2" w:rsidR="000804B7" w:rsidRDefault="000804B7" w:rsidP="000804B7">
      <w:pPr>
        <w:pStyle w:val="ListParagraph"/>
        <w:numPr>
          <w:ilvl w:val="0"/>
          <w:numId w:val="8"/>
        </w:numPr>
        <w:jc w:val="both"/>
      </w:pPr>
      <w:r>
        <w:t>References</w:t>
      </w:r>
    </w:p>
    <w:p w14:paraId="0FFD4926" w14:textId="77777777" w:rsidR="00AD6840" w:rsidRPr="00AD6840" w:rsidRDefault="000804B7" w:rsidP="00AD6840">
      <w:pPr>
        <w:pStyle w:val="Bibliography"/>
        <w:rPr>
          <w:rFonts w:ascii="Aptos" w:hAnsi="Aptos"/>
        </w:rPr>
      </w:pPr>
      <w:r>
        <w:fldChar w:fldCharType="begin"/>
      </w:r>
      <w:r>
        <w:instrText xml:space="preserve"> ADDIN ZOTERO_BIBL {"uncited":[],"omitted":[],"custom":[]} CSL_BIBLIOGRAPHY </w:instrText>
      </w:r>
      <w:r>
        <w:fldChar w:fldCharType="separate"/>
      </w:r>
      <w:r w:rsidR="00AD6840" w:rsidRPr="00AD6840">
        <w:rPr>
          <w:rFonts w:ascii="Aptos" w:hAnsi="Aptos"/>
        </w:rPr>
        <w:t xml:space="preserve">Borucke, M., Moore, D., Cranston, G., Gracey, K., Iha, K., Larson, J., Lazarus, E., Morales, J. C., Wackernagel, M., &amp; Galli, A. (2013). Accounting for demand and supply of the biosphere’s regenerative capacity: The National Footprint Accounts’ underlying methodology and framework. </w:t>
      </w:r>
      <w:r w:rsidR="00AD6840" w:rsidRPr="00AD6840">
        <w:rPr>
          <w:rFonts w:ascii="Aptos" w:hAnsi="Aptos"/>
          <w:i/>
          <w:iCs/>
        </w:rPr>
        <w:t>Ecological Indicators</w:t>
      </w:r>
      <w:r w:rsidR="00AD6840" w:rsidRPr="00AD6840">
        <w:rPr>
          <w:rFonts w:ascii="Aptos" w:hAnsi="Aptos"/>
        </w:rPr>
        <w:t xml:space="preserve">, </w:t>
      </w:r>
      <w:r w:rsidR="00AD6840" w:rsidRPr="00AD6840">
        <w:rPr>
          <w:rFonts w:ascii="Aptos" w:hAnsi="Aptos"/>
          <w:i/>
          <w:iCs/>
        </w:rPr>
        <w:t>24</w:t>
      </w:r>
      <w:r w:rsidR="00AD6840" w:rsidRPr="00AD6840">
        <w:rPr>
          <w:rFonts w:ascii="Aptos" w:hAnsi="Aptos"/>
        </w:rPr>
        <w:t>, 518–533. https://doi.org/10.1016/j.ecolind.2012.08.005</w:t>
      </w:r>
    </w:p>
    <w:p w14:paraId="02EBE424" w14:textId="77777777" w:rsidR="00AD6840" w:rsidRPr="00AD6840" w:rsidRDefault="00AD6840" w:rsidP="00AD6840">
      <w:pPr>
        <w:pStyle w:val="Bibliography"/>
        <w:rPr>
          <w:rFonts w:ascii="Aptos" w:hAnsi="Aptos"/>
        </w:rPr>
      </w:pPr>
      <w:r w:rsidRPr="00AD6840">
        <w:rPr>
          <w:rFonts w:ascii="Aptos" w:hAnsi="Aptos"/>
        </w:rPr>
        <w:t xml:space="preserve">de Fraiture, C., Molden, D., Amarasinghe, U., &amp; Makin, I. (2001). PODIUM: Projecting water supply and demand for food production in 2025. </w:t>
      </w:r>
      <w:r w:rsidRPr="00AD6840">
        <w:rPr>
          <w:rFonts w:ascii="Aptos" w:hAnsi="Aptos"/>
          <w:i/>
          <w:iCs/>
        </w:rPr>
        <w:t>Physics and Chemistry of the Earth, Part B: Hydrology, Oceans and Atmosphere</w:t>
      </w:r>
      <w:r w:rsidRPr="00AD6840">
        <w:rPr>
          <w:rFonts w:ascii="Aptos" w:hAnsi="Aptos"/>
        </w:rPr>
        <w:t xml:space="preserve">, </w:t>
      </w:r>
      <w:r w:rsidRPr="00AD6840">
        <w:rPr>
          <w:rFonts w:ascii="Aptos" w:hAnsi="Aptos"/>
          <w:i/>
          <w:iCs/>
        </w:rPr>
        <w:t>26</w:t>
      </w:r>
      <w:r w:rsidRPr="00AD6840">
        <w:rPr>
          <w:rFonts w:ascii="Aptos" w:hAnsi="Aptos"/>
        </w:rPr>
        <w:t>(11), 869–876. https://doi.org/10.1016/S1464-1909(01)00099-5</w:t>
      </w:r>
    </w:p>
    <w:p w14:paraId="2E9BE86F" w14:textId="77777777" w:rsidR="00AD6840" w:rsidRPr="00AD6840" w:rsidRDefault="00AD6840" w:rsidP="00AD6840">
      <w:pPr>
        <w:pStyle w:val="Bibliography"/>
        <w:rPr>
          <w:rFonts w:ascii="Aptos" w:hAnsi="Aptos"/>
        </w:rPr>
      </w:pPr>
      <w:r w:rsidRPr="00AD6840">
        <w:rPr>
          <w:rFonts w:ascii="Aptos" w:hAnsi="Aptos"/>
        </w:rPr>
        <w:t xml:space="preserve">FAOSTAT. (2026). </w:t>
      </w:r>
      <w:r w:rsidRPr="00AD6840">
        <w:rPr>
          <w:rFonts w:ascii="Aptos" w:hAnsi="Aptos"/>
          <w:i/>
          <w:iCs/>
        </w:rPr>
        <w:t>FAOSTAT Database</w:t>
      </w:r>
      <w:r w:rsidRPr="00AD6840">
        <w:rPr>
          <w:rFonts w:ascii="Aptos" w:hAnsi="Aptos"/>
        </w:rPr>
        <w:t>. https://www.fao.org/faostat/en/#data/QCL</w:t>
      </w:r>
    </w:p>
    <w:p w14:paraId="2E30BC60" w14:textId="77777777" w:rsidR="00AD6840" w:rsidRPr="00AD6840" w:rsidRDefault="00AD6840" w:rsidP="00AD6840">
      <w:pPr>
        <w:pStyle w:val="Bibliography"/>
        <w:rPr>
          <w:rFonts w:ascii="Aptos" w:hAnsi="Aptos"/>
        </w:rPr>
      </w:pPr>
      <w:r w:rsidRPr="00AD6840">
        <w:rPr>
          <w:rFonts w:ascii="Aptos" w:hAnsi="Aptos"/>
        </w:rPr>
        <w:t xml:space="preserve">Global Footprint Network. (2018). </w:t>
      </w:r>
      <w:r w:rsidRPr="00AD6840">
        <w:rPr>
          <w:rFonts w:ascii="Aptos" w:hAnsi="Aptos"/>
          <w:i/>
          <w:iCs/>
        </w:rPr>
        <w:t>National Footprint Accounts—World 2014</w:t>
      </w:r>
      <w:r w:rsidRPr="00AD6840">
        <w:rPr>
          <w:rFonts w:ascii="Aptos" w:hAnsi="Aptos"/>
        </w:rPr>
        <w:t xml:space="preserve"> [Excel file].</w:t>
      </w:r>
    </w:p>
    <w:p w14:paraId="1EB77563" w14:textId="77777777" w:rsidR="00AD6840" w:rsidRPr="00AD6840" w:rsidRDefault="00AD6840" w:rsidP="00AD6840">
      <w:pPr>
        <w:pStyle w:val="Bibliography"/>
        <w:rPr>
          <w:rFonts w:ascii="Aptos" w:hAnsi="Aptos"/>
        </w:rPr>
      </w:pPr>
      <w:r w:rsidRPr="00AD6840">
        <w:rPr>
          <w:rFonts w:ascii="Aptos" w:hAnsi="Aptos"/>
        </w:rPr>
        <w:t xml:space="preserve">Haberl, H., Erb, K. H., Krausmann, F., Gaube, V., Bondeau, A., Plutzar, C., Gingrich, S., Lucht, W., &amp; Fischer-Kowalski, M. (2007). Quantifying and mapping the human appropriation of net primary production in earth’s terrestrial ecosystems. </w:t>
      </w:r>
      <w:r w:rsidRPr="00AD6840">
        <w:rPr>
          <w:rFonts w:ascii="Aptos" w:hAnsi="Aptos"/>
          <w:i/>
          <w:iCs/>
        </w:rPr>
        <w:t>Proceedings of the National Academy of Sciences</w:t>
      </w:r>
      <w:r w:rsidRPr="00AD6840">
        <w:rPr>
          <w:rFonts w:ascii="Aptos" w:hAnsi="Aptos"/>
        </w:rPr>
        <w:t xml:space="preserve">, </w:t>
      </w:r>
      <w:r w:rsidRPr="00AD6840">
        <w:rPr>
          <w:rFonts w:ascii="Aptos" w:hAnsi="Aptos"/>
          <w:i/>
          <w:iCs/>
        </w:rPr>
        <w:t>104</w:t>
      </w:r>
      <w:r w:rsidRPr="00AD6840">
        <w:rPr>
          <w:rFonts w:ascii="Aptos" w:hAnsi="Aptos"/>
        </w:rPr>
        <w:t>(31), 12942–12947. https://doi.org/10.1073/pnas.0704243104</w:t>
      </w:r>
    </w:p>
    <w:p w14:paraId="7F1F0784" w14:textId="77777777" w:rsidR="00AD6840" w:rsidRPr="00AD6840" w:rsidRDefault="00AD6840" w:rsidP="00AD6840">
      <w:pPr>
        <w:pStyle w:val="Bibliography"/>
        <w:rPr>
          <w:rFonts w:ascii="Aptos" w:hAnsi="Aptos"/>
        </w:rPr>
      </w:pPr>
      <w:r w:rsidRPr="00AD6840">
        <w:rPr>
          <w:rFonts w:ascii="Aptos" w:hAnsi="Aptos"/>
        </w:rPr>
        <w:t xml:space="preserve">Hoekstra, A. Y., &amp; Mekonnen, M. M. (2012). The water footprint of humanity. </w:t>
      </w:r>
      <w:r w:rsidRPr="00AD6840">
        <w:rPr>
          <w:rFonts w:ascii="Aptos" w:hAnsi="Aptos"/>
          <w:i/>
          <w:iCs/>
        </w:rPr>
        <w:t>Proceedings of the National Academy of Sciences</w:t>
      </w:r>
      <w:r w:rsidRPr="00AD6840">
        <w:rPr>
          <w:rFonts w:ascii="Aptos" w:hAnsi="Aptos"/>
        </w:rPr>
        <w:t xml:space="preserve">, </w:t>
      </w:r>
      <w:r w:rsidRPr="00AD6840">
        <w:rPr>
          <w:rFonts w:ascii="Aptos" w:hAnsi="Aptos"/>
          <w:i/>
          <w:iCs/>
        </w:rPr>
        <w:t>109</w:t>
      </w:r>
      <w:r w:rsidRPr="00AD6840">
        <w:rPr>
          <w:rFonts w:ascii="Aptos" w:hAnsi="Aptos"/>
        </w:rPr>
        <w:t>(9), 3232–3237. https://doi.org/10.1073/pnas.1109936109</w:t>
      </w:r>
    </w:p>
    <w:p w14:paraId="647047C4" w14:textId="77777777" w:rsidR="00AD6840" w:rsidRPr="00AD6840" w:rsidRDefault="00AD6840" w:rsidP="00AD6840">
      <w:pPr>
        <w:pStyle w:val="Bibliography"/>
        <w:rPr>
          <w:rFonts w:ascii="Aptos" w:hAnsi="Aptos"/>
        </w:rPr>
      </w:pPr>
      <w:r w:rsidRPr="00AD6840">
        <w:rPr>
          <w:rFonts w:ascii="Aptos" w:hAnsi="Aptos"/>
        </w:rPr>
        <w:t xml:space="preserve">Lenzen, M., Kanemoto, K., Moran, D., &amp; Geschke, A. (2012). Mapping the Structure of the World Economy. </w:t>
      </w:r>
      <w:r w:rsidRPr="00AD6840">
        <w:rPr>
          <w:rFonts w:ascii="Aptos" w:hAnsi="Aptos"/>
          <w:i/>
          <w:iCs/>
        </w:rPr>
        <w:t>Environmental Science &amp; Technology</w:t>
      </w:r>
      <w:r w:rsidRPr="00AD6840">
        <w:rPr>
          <w:rFonts w:ascii="Aptos" w:hAnsi="Aptos"/>
        </w:rPr>
        <w:t xml:space="preserve">, </w:t>
      </w:r>
      <w:r w:rsidRPr="00AD6840">
        <w:rPr>
          <w:rFonts w:ascii="Aptos" w:hAnsi="Aptos"/>
          <w:i/>
          <w:iCs/>
        </w:rPr>
        <w:t>46</w:t>
      </w:r>
      <w:r w:rsidRPr="00AD6840">
        <w:rPr>
          <w:rFonts w:ascii="Aptos" w:hAnsi="Aptos"/>
        </w:rPr>
        <w:t>(15), 8374–8381. https://doi.org/10.1021/es300171x</w:t>
      </w:r>
    </w:p>
    <w:p w14:paraId="427E0AF0" w14:textId="77777777" w:rsidR="00AD6840" w:rsidRPr="00AD6840" w:rsidRDefault="00AD6840" w:rsidP="00AD6840">
      <w:pPr>
        <w:pStyle w:val="Bibliography"/>
        <w:rPr>
          <w:rFonts w:ascii="Aptos" w:hAnsi="Aptos"/>
        </w:rPr>
      </w:pPr>
      <w:r w:rsidRPr="00AD6840">
        <w:rPr>
          <w:rFonts w:ascii="Aptos" w:hAnsi="Aptos"/>
        </w:rPr>
        <w:t xml:space="preserve">Lenzen, M., Moran, D., Kanemoto, K., &amp; Geschke, A. (2013). Building Eora: A Global Multi-Region Input–Output Database at High Country and Sector Resolution. </w:t>
      </w:r>
      <w:r w:rsidRPr="00AD6840">
        <w:rPr>
          <w:rFonts w:ascii="Aptos" w:hAnsi="Aptos"/>
          <w:i/>
          <w:iCs/>
        </w:rPr>
        <w:t>Economic Systems Research</w:t>
      </w:r>
      <w:r w:rsidRPr="00AD6840">
        <w:rPr>
          <w:rFonts w:ascii="Aptos" w:hAnsi="Aptos"/>
        </w:rPr>
        <w:t xml:space="preserve">, </w:t>
      </w:r>
      <w:r w:rsidRPr="00AD6840">
        <w:rPr>
          <w:rFonts w:ascii="Aptos" w:hAnsi="Aptos"/>
          <w:i/>
          <w:iCs/>
        </w:rPr>
        <w:t>25</w:t>
      </w:r>
      <w:r w:rsidRPr="00AD6840">
        <w:rPr>
          <w:rFonts w:ascii="Aptos" w:hAnsi="Aptos"/>
        </w:rPr>
        <w:t>(1), 20–49. https://doi.org/10.1080/09535314.2013.769938</w:t>
      </w:r>
    </w:p>
    <w:p w14:paraId="78765FC4" w14:textId="77777777" w:rsidR="00AD6840" w:rsidRPr="00AD6840" w:rsidRDefault="00AD6840" w:rsidP="00AD6840">
      <w:pPr>
        <w:pStyle w:val="Bibliography"/>
        <w:rPr>
          <w:rFonts w:ascii="Aptos" w:hAnsi="Aptos"/>
        </w:rPr>
      </w:pPr>
      <w:r w:rsidRPr="00AD6840">
        <w:rPr>
          <w:rFonts w:ascii="Aptos" w:hAnsi="Aptos"/>
        </w:rPr>
        <w:lastRenderedPageBreak/>
        <w:t xml:space="preserve">Lin, D., Martindill, J., Borucke, M., Cohen, L., Galli, A., Lazarus, E., Zokai, G., Iha, K., Eaton, D., &amp; Wackernagel, M. (2019). </w:t>
      </w:r>
      <w:r w:rsidRPr="00AD6840">
        <w:rPr>
          <w:rFonts w:ascii="Aptos" w:hAnsi="Aptos"/>
          <w:i/>
          <w:iCs/>
        </w:rPr>
        <w:t>Working Guidebook to the National Footprint and Biocapacity Account</w:t>
      </w:r>
      <w:r w:rsidRPr="00AD6840">
        <w:rPr>
          <w:rFonts w:ascii="Aptos" w:hAnsi="Aptos"/>
        </w:rPr>
        <w:t>. Global Footprint Network.</w:t>
      </w:r>
    </w:p>
    <w:p w14:paraId="7044E673" w14:textId="77777777" w:rsidR="00AD6840" w:rsidRPr="00AD6840" w:rsidRDefault="00AD6840" w:rsidP="00AD6840">
      <w:pPr>
        <w:pStyle w:val="Bibliography"/>
        <w:rPr>
          <w:rFonts w:ascii="Aptos" w:hAnsi="Aptos"/>
        </w:rPr>
      </w:pPr>
      <w:r w:rsidRPr="00AD6840">
        <w:rPr>
          <w:rFonts w:ascii="Aptos" w:hAnsi="Aptos"/>
        </w:rPr>
        <w:t xml:space="preserve">Mekonnen, M. M., &amp; Hoekstra, A. Y. (2015). Global Gray Water Footprint and Water Pollution Levels Related to Anthropogenic Nitrogen Loads to Fresh Water. </w:t>
      </w:r>
      <w:r w:rsidRPr="00AD6840">
        <w:rPr>
          <w:rFonts w:ascii="Aptos" w:hAnsi="Aptos"/>
          <w:i/>
          <w:iCs/>
        </w:rPr>
        <w:t>Environmental Science &amp; Technology</w:t>
      </w:r>
      <w:r w:rsidRPr="00AD6840">
        <w:rPr>
          <w:rFonts w:ascii="Aptos" w:hAnsi="Aptos"/>
        </w:rPr>
        <w:t xml:space="preserve">, </w:t>
      </w:r>
      <w:r w:rsidRPr="00AD6840">
        <w:rPr>
          <w:rFonts w:ascii="Aptos" w:hAnsi="Aptos"/>
          <w:i/>
          <w:iCs/>
        </w:rPr>
        <w:t>49</w:t>
      </w:r>
      <w:r w:rsidRPr="00AD6840">
        <w:rPr>
          <w:rFonts w:ascii="Aptos" w:hAnsi="Aptos"/>
        </w:rPr>
        <w:t>(21), 12860–12868. https://doi.org/10.1021/acs.est.5b03191</w:t>
      </w:r>
    </w:p>
    <w:p w14:paraId="1E49BA8C" w14:textId="77777777" w:rsidR="00AD6840" w:rsidRPr="00AD6840" w:rsidRDefault="00AD6840" w:rsidP="00AD6840">
      <w:pPr>
        <w:pStyle w:val="Bibliography"/>
        <w:rPr>
          <w:rFonts w:ascii="Aptos" w:hAnsi="Aptos"/>
        </w:rPr>
      </w:pPr>
      <w:r w:rsidRPr="00AD6840">
        <w:rPr>
          <w:rFonts w:ascii="Aptos" w:hAnsi="Aptos"/>
        </w:rPr>
        <w:t xml:space="preserve">Mekonnen, M. M., &amp; Hoekstra, A. Y. (2018). Global Anthropogenic Phosphorus Loads to Freshwater and Associated Grey Water Footprints and Water Pollution Levels: A High-Resolution Global Study. </w:t>
      </w:r>
      <w:r w:rsidRPr="00AD6840">
        <w:rPr>
          <w:rFonts w:ascii="Aptos" w:hAnsi="Aptos"/>
          <w:i/>
          <w:iCs/>
        </w:rPr>
        <w:t>Water Resources Research</w:t>
      </w:r>
      <w:r w:rsidRPr="00AD6840">
        <w:rPr>
          <w:rFonts w:ascii="Aptos" w:hAnsi="Aptos"/>
        </w:rPr>
        <w:t xml:space="preserve">, </w:t>
      </w:r>
      <w:r w:rsidRPr="00AD6840">
        <w:rPr>
          <w:rFonts w:ascii="Aptos" w:hAnsi="Aptos"/>
          <w:i/>
          <w:iCs/>
        </w:rPr>
        <w:t>54</w:t>
      </w:r>
      <w:r w:rsidRPr="00AD6840">
        <w:rPr>
          <w:rFonts w:ascii="Aptos" w:hAnsi="Aptos"/>
        </w:rPr>
        <w:t>(1), 345–358. https://doi.org/10.1002/2017WR020448</w:t>
      </w:r>
    </w:p>
    <w:p w14:paraId="0D864E93" w14:textId="77777777" w:rsidR="00AD6840" w:rsidRPr="00AD6840" w:rsidRDefault="00AD6840" w:rsidP="00AD6840">
      <w:pPr>
        <w:pStyle w:val="Bibliography"/>
        <w:rPr>
          <w:rFonts w:ascii="Aptos" w:hAnsi="Aptos"/>
        </w:rPr>
      </w:pPr>
      <w:r w:rsidRPr="00AD6840">
        <w:rPr>
          <w:rFonts w:ascii="Aptos" w:hAnsi="Aptos"/>
        </w:rPr>
        <w:t xml:space="preserve">Richardson, K., Steffen, W., Lucht, W., Bendtsen, J., Cornell, S. E., Donges, J. F., Drüke, M., Fetzer, I., Bala, G., von Bloh, W., Feulner, G., Fiedler, S., Gerten, D., Gleeson, T., Hofmann, M., Huiskamp, W., Kummu, M., Mohan, C., Nogués-Bravo, D., … Rockström, J. (2023). Earth beyond six of nine planetary boundaries. </w:t>
      </w:r>
      <w:r w:rsidRPr="00AD6840">
        <w:rPr>
          <w:rFonts w:ascii="Aptos" w:hAnsi="Aptos"/>
          <w:i/>
          <w:iCs/>
        </w:rPr>
        <w:t>Science Advances</w:t>
      </w:r>
      <w:r w:rsidRPr="00AD6840">
        <w:rPr>
          <w:rFonts w:ascii="Aptos" w:hAnsi="Aptos"/>
        </w:rPr>
        <w:t xml:space="preserve">, </w:t>
      </w:r>
      <w:r w:rsidRPr="00AD6840">
        <w:rPr>
          <w:rFonts w:ascii="Aptos" w:hAnsi="Aptos"/>
          <w:i/>
          <w:iCs/>
        </w:rPr>
        <w:t>9</w:t>
      </w:r>
      <w:r w:rsidRPr="00AD6840">
        <w:rPr>
          <w:rFonts w:ascii="Aptos" w:hAnsi="Aptos"/>
        </w:rPr>
        <w:t>(37), eadh2458. https://doi.org/10.1126/sciadv.adh2458</w:t>
      </w:r>
    </w:p>
    <w:p w14:paraId="74811C57" w14:textId="77777777" w:rsidR="00AD6840" w:rsidRPr="00AD6840" w:rsidRDefault="00AD6840" w:rsidP="00AD6840">
      <w:pPr>
        <w:pStyle w:val="Bibliography"/>
        <w:rPr>
          <w:rFonts w:ascii="Aptos" w:hAnsi="Aptos"/>
        </w:rPr>
      </w:pPr>
      <w:r w:rsidRPr="00AD6840">
        <w:rPr>
          <w:rFonts w:ascii="Aptos" w:hAnsi="Aptos"/>
        </w:rPr>
        <w:t xml:space="preserve">Seckler, D., Amarasinghe, U. A., Molden, D. J., de Silva, R., &amp; Barker, R. (1998). </w:t>
      </w:r>
      <w:r w:rsidRPr="00AD6840">
        <w:rPr>
          <w:rFonts w:ascii="Aptos" w:hAnsi="Aptos"/>
          <w:i/>
          <w:iCs/>
        </w:rPr>
        <w:t>World water demand and supply, 1990 to 2025: Scenarios and issues</w:t>
      </w:r>
      <w:r w:rsidRPr="00AD6840">
        <w:rPr>
          <w:rFonts w:ascii="Aptos" w:hAnsi="Aptos"/>
        </w:rPr>
        <w:t xml:space="preserve"> (IWMI Research Report). https://doi.org/10.22004/ag.econ.61108</w:t>
      </w:r>
    </w:p>
    <w:p w14:paraId="182925A0" w14:textId="77777777" w:rsidR="00AD6840" w:rsidRPr="00AD6840" w:rsidRDefault="00AD6840" w:rsidP="00AD6840">
      <w:pPr>
        <w:pStyle w:val="Bibliography"/>
        <w:rPr>
          <w:rFonts w:ascii="Aptos" w:hAnsi="Aptos"/>
        </w:rPr>
      </w:pPr>
      <w:r w:rsidRPr="00AD6840">
        <w:rPr>
          <w:rFonts w:ascii="Aptos" w:hAnsi="Aptos"/>
        </w:rPr>
        <w:t xml:space="preserve">Steffen, W., Richardson, K., Rockström, J., Cornell, S. E., Fetzer, I., Bennett, E. M., Biggs, R., Carpenter, S. R., de Vries, W., de Wit, C. A., Folke, C., Gerten, D., Heinke, J., Mace, G. M., Persson, L. M., Ramanathan, V., Reyers, B., &amp; Sörlin, S. (2015). Planetary boundaries: Guiding human development on a changing planet. </w:t>
      </w:r>
      <w:r w:rsidRPr="00AD6840">
        <w:rPr>
          <w:rFonts w:ascii="Aptos" w:hAnsi="Aptos"/>
          <w:i/>
          <w:iCs/>
        </w:rPr>
        <w:t>Science</w:t>
      </w:r>
      <w:r w:rsidRPr="00AD6840">
        <w:rPr>
          <w:rFonts w:ascii="Aptos" w:hAnsi="Aptos"/>
        </w:rPr>
        <w:t xml:space="preserve">, </w:t>
      </w:r>
      <w:r w:rsidRPr="00AD6840">
        <w:rPr>
          <w:rFonts w:ascii="Aptos" w:hAnsi="Aptos"/>
          <w:i/>
          <w:iCs/>
        </w:rPr>
        <w:t>347</w:t>
      </w:r>
      <w:r w:rsidRPr="00AD6840">
        <w:rPr>
          <w:rFonts w:ascii="Aptos" w:hAnsi="Aptos"/>
        </w:rPr>
        <w:t>(6223), 1259855. https://doi.org/10.1126/science.1259855</w:t>
      </w:r>
    </w:p>
    <w:p w14:paraId="7D9533E0" w14:textId="77777777" w:rsidR="00AD6840" w:rsidRPr="00AD6840" w:rsidRDefault="00AD6840" w:rsidP="00AD6840">
      <w:pPr>
        <w:pStyle w:val="Bibliography"/>
        <w:rPr>
          <w:rFonts w:ascii="Aptos" w:hAnsi="Aptos"/>
        </w:rPr>
      </w:pPr>
      <w:r w:rsidRPr="00AD6840">
        <w:rPr>
          <w:rFonts w:ascii="Aptos" w:hAnsi="Aptos"/>
        </w:rPr>
        <w:t xml:space="preserve">York University Ecological Footprint Initiative &amp; Global Footprint Network. (2023). </w:t>
      </w:r>
      <w:r w:rsidRPr="00AD6840">
        <w:rPr>
          <w:rFonts w:ascii="Aptos" w:hAnsi="Aptos"/>
          <w:i/>
          <w:iCs/>
        </w:rPr>
        <w:t>Public Data Package of the National Footprint and Biocapacity Accounts, 2023 edition</w:t>
      </w:r>
      <w:r w:rsidRPr="00AD6840">
        <w:rPr>
          <w:rFonts w:ascii="Aptos" w:hAnsi="Aptos"/>
        </w:rPr>
        <w:t xml:space="preserve"> [Excel file]. https://data.footprintnetwork.org</w:t>
      </w:r>
    </w:p>
    <w:p w14:paraId="0F5D56C1" w14:textId="639BDDEF" w:rsidR="00337D4A" w:rsidRDefault="000804B7" w:rsidP="005977C8">
      <w:pPr>
        <w:jc w:val="both"/>
      </w:pPr>
      <w:r>
        <w:fldChar w:fldCharType="end"/>
      </w:r>
    </w:p>
    <w:p w14:paraId="5F5EFBEE" w14:textId="77777777" w:rsidR="003828C5" w:rsidRDefault="003828C5" w:rsidP="005977C8">
      <w:pPr>
        <w:jc w:val="both"/>
      </w:pPr>
    </w:p>
    <w:p w14:paraId="7890BBD8" w14:textId="77777777" w:rsidR="003828C5" w:rsidRDefault="003828C5" w:rsidP="005977C8">
      <w:pPr>
        <w:jc w:val="both"/>
      </w:pPr>
    </w:p>
    <w:p w14:paraId="1817FC9B" w14:textId="6408893A" w:rsidR="007D61D1" w:rsidRDefault="007D61D1" w:rsidP="009F2106">
      <w:pPr>
        <w:jc w:val="both"/>
      </w:pPr>
    </w:p>
    <w:p w14:paraId="10794CFE" w14:textId="77777777" w:rsidR="001869CA" w:rsidRDefault="001869CA" w:rsidP="009F2106">
      <w:pPr>
        <w:jc w:val="both"/>
      </w:pPr>
    </w:p>
    <w:p w14:paraId="5962631C" w14:textId="77777777" w:rsidR="0083407F" w:rsidRDefault="0083407F" w:rsidP="0083407F">
      <w:pPr>
        <w:jc w:val="both"/>
      </w:pPr>
    </w:p>
    <w:p w14:paraId="1B1B9F94" w14:textId="77777777" w:rsidR="00FE3D37" w:rsidRDefault="00FE3D37" w:rsidP="00FE3D37">
      <w:pPr>
        <w:jc w:val="both"/>
      </w:pPr>
    </w:p>
    <w:p w14:paraId="738DE0EF" w14:textId="77777777" w:rsidR="00FE3D37" w:rsidRDefault="00FE3D37" w:rsidP="00FE3D37">
      <w:pPr>
        <w:jc w:val="both"/>
      </w:pPr>
    </w:p>
    <w:p w14:paraId="7B085FC5" w14:textId="079A050B" w:rsidR="00FE3D37" w:rsidRPr="0017425A" w:rsidRDefault="00FE3D37" w:rsidP="00FE3D37">
      <w:pPr>
        <w:jc w:val="both"/>
      </w:pPr>
    </w:p>
    <w:p w14:paraId="0B4EF18B" w14:textId="3E3C64CF" w:rsidR="00FE3D37" w:rsidRPr="0017425A" w:rsidRDefault="00FE3D37" w:rsidP="00FE3D37">
      <w:pPr>
        <w:jc w:val="both"/>
        <w:rPr>
          <w:highlight w:val="yellow"/>
        </w:rPr>
      </w:pPr>
    </w:p>
    <w:p w14:paraId="7FF017B1" w14:textId="77777777" w:rsidR="00A6058B" w:rsidRDefault="00A6058B"/>
    <w:sectPr w:rsidR="00A6058B" w:rsidSect="00A6058B">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56084" w14:textId="77777777" w:rsidR="0018715C" w:rsidRDefault="0018715C" w:rsidP="0064273D">
      <w:pPr>
        <w:spacing w:after="0" w:line="240" w:lineRule="auto"/>
      </w:pPr>
      <w:r>
        <w:separator/>
      </w:r>
    </w:p>
  </w:endnote>
  <w:endnote w:type="continuationSeparator" w:id="0">
    <w:p w14:paraId="315ABC37" w14:textId="77777777" w:rsidR="0018715C" w:rsidRDefault="0018715C" w:rsidP="00642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5457550"/>
      <w:docPartObj>
        <w:docPartGallery w:val="Page Numbers (Bottom of Page)"/>
        <w:docPartUnique/>
      </w:docPartObj>
    </w:sdtPr>
    <w:sdtEndPr>
      <w:rPr>
        <w:noProof/>
      </w:rPr>
    </w:sdtEndPr>
    <w:sdtContent>
      <w:p w14:paraId="1B92007E" w14:textId="61C7B0BF" w:rsidR="0064273D" w:rsidRDefault="006427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B86F36" w14:textId="77777777" w:rsidR="0064273D" w:rsidRDefault="00642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E5CDB" w14:textId="77777777" w:rsidR="0018715C" w:rsidRDefault="0018715C" w:rsidP="0064273D">
      <w:pPr>
        <w:spacing w:after="0" w:line="240" w:lineRule="auto"/>
      </w:pPr>
      <w:r>
        <w:separator/>
      </w:r>
    </w:p>
  </w:footnote>
  <w:footnote w:type="continuationSeparator" w:id="0">
    <w:p w14:paraId="019B1E99" w14:textId="77777777" w:rsidR="0018715C" w:rsidRDefault="0018715C" w:rsidP="00642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44E2"/>
    <w:multiLevelType w:val="multilevel"/>
    <w:tmpl w:val="764222D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A970342"/>
    <w:multiLevelType w:val="multilevel"/>
    <w:tmpl w:val="5FD6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55891"/>
    <w:multiLevelType w:val="multilevel"/>
    <w:tmpl w:val="F88E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B916D8"/>
    <w:multiLevelType w:val="multilevel"/>
    <w:tmpl w:val="2A7A0C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B42F7B"/>
    <w:multiLevelType w:val="multilevel"/>
    <w:tmpl w:val="D8FE10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2C665A2"/>
    <w:multiLevelType w:val="multilevel"/>
    <w:tmpl w:val="7042F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F3102C"/>
    <w:multiLevelType w:val="multilevel"/>
    <w:tmpl w:val="339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D1222C"/>
    <w:multiLevelType w:val="multilevel"/>
    <w:tmpl w:val="5288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A07F33"/>
    <w:multiLevelType w:val="multilevel"/>
    <w:tmpl w:val="45AC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9977533">
    <w:abstractNumId w:val="1"/>
  </w:num>
  <w:num w:numId="2" w16cid:durableId="256864532">
    <w:abstractNumId w:val="5"/>
  </w:num>
  <w:num w:numId="3" w16cid:durableId="476146315">
    <w:abstractNumId w:val="7"/>
  </w:num>
  <w:num w:numId="4" w16cid:durableId="1726835220">
    <w:abstractNumId w:val="3"/>
  </w:num>
  <w:num w:numId="5" w16cid:durableId="831528931">
    <w:abstractNumId w:val="6"/>
  </w:num>
  <w:num w:numId="6" w16cid:durableId="838303149">
    <w:abstractNumId w:val="8"/>
  </w:num>
  <w:num w:numId="7" w16cid:durableId="1396977200">
    <w:abstractNumId w:val="2"/>
  </w:num>
  <w:num w:numId="8" w16cid:durableId="145245194">
    <w:abstractNumId w:val="4"/>
  </w:num>
  <w:num w:numId="9" w16cid:durableId="1520705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24F"/>
    <w:rsid w:val="0000242C"/>
    <w:rsid w:val="000225F1"/>
    <w:rsid w:val="00042669"/>
    <w:rsid w:val="00062B74"/>
    <w:rsid w:val="00075AC9"/>
    <w:rsid w:val="000804B7"/>
    <w:rsid w:val="000B1D3B"/>
    <w:rsid w:val="000B4ABE"/>
    <w:rsid w:val="000C4BA1"/>
    <w:rsid w:val="000D3D3A"/>
    <w:rsid w:val="000E4524"/>
    <w:rsid w:val="000E585C"/>
    <w:rsid w:val="000E5A55"/>
    <w:rsid w:val="000E71C8"/>
    <w:rsid w:val="000F36CD"/>
    <w:rsid w:val="00103AB0"/>
    <w:rsid w:val="0011493D"/>
    <w:rsid w:val="0011594A"/>
    <w:rsid w:val="00133C83"/>
    <w:rsid w:val="00144A88"/>
    <w:rsid w:val="00151486"/>
    <w:rsid w:val="001546FB"/>
    <w:rsid w:val="00154BB1"/>
    <w:rsid w:val="00155EAD"/>
    <w:rsid w:val="00165C9F"/>
    <w:rsid w:val="00166552"/>
    <w:rsid w:val="001763D3"/>
    <w:rsid w:val="00185565"/>
    <w:rsid w:val="00186354"/>
    <w:rsid w:val="001869CA"/>
    <w:rsid w:val="00187111"/>
    <w:rsid w:val="0018715C"/>
    <w:rsid w:val="00190C42"/>
    <w:rsid w:val="001B2E88"/>
    <w:rsid w:val="001D1FE4"/>
    <w:rsid w:val="001D6898"/>
    <w:rsid w:val="001D7537"/>
    <w:rsid w:val="0022453E"/>
    <w:rsid w:val="00233778"/>
    <w:rsid w:val="002432C8"/>
    <w:rsid w:val="002E5BBF"/>
    <w:rsid w:val="002F1F9E"/>
    <w:rsid w:val="00303316"/>
    <w:rsid w:val="00326533"/>
    <w:rsid w:val="00337D4A"/>
    <w:rsid w:val="00345B6B"/>
    <w:rsid w:val="003644B1"/>
    <w:rsid w:val="00367E9B"/>
    <w:rsid w:val="003828C5"/>
    <w:rsid w:val="00394750"/>
    <w:rsid w:val="003A1F70"/>
    <w:rsid w:val="003C5906"/>
    <w:rsid w:val="003D75CB"/>
    <w:rsid w:val="003F2E5B"/>
    <w:rsid w:val="003F6B90"/>
    <w:rsid w:val="00405C14"/>
    <w:rsid w:val="0041485D"/>
    <w:rsid w:val="00415CC1"/>
    <w:rsid w:val="00420F99"/>
    <w:rsid w:val="00431A5C"/>
    <w:rsid w:val="00434A50"/>
    <w:rsid w:val="00443457"/>
    <w:rsid w:val="00466A39"/>
    <w:rsid w:val="00477C9F"/>
    <w:rsid w:val="004929C7"/>
    <w:rsid w:val="004B5680"/>
    <w:rsid w:val="004D4123"/>
    <w:rsid w:val="004E1AC1"/>
    <w:rsid w:val="004F4C94"/>
    <w:rsid w:val="0052146C"/>
    <w:rsid w:val="00526637"/>
    <w:rsid w:val="0053264F"/>
    <w:rsid w:val="00535FE6"/>
    <w:rsid w:val="00536C25"/>
    <w:rsid w:val="00552EB7"/>
    <w:rsid w:val="00555B2C"/>
    <w:rsid w:val="00555E3A"/>
    <w:rsid w:val="005726E0"/>
    <w:rsid w:val="005977C8"/>
    <w:rsid w:val="005A2B39"/>
    <w:rsid w:val="005A32DE"/>
    <w:rsid w:val="005B46D5"/>
    <w:rsid w:val="005E4925"/>
    <w:rsid w:val="005F4994"/>
    <w:rsid w:val="005F757F"/>
    <w:rsid w:val="00604C99"/>
    <w:rsid w:val="00607723"/>
    <w:rsid w:val="0061392B"/>
    <w:rsid w:val="00624199"/>
    <w:rsid w:val="0062456B"/>
    <w:rsid w:val="0064273D"/>
    <w:rsid w:val="00655DE4"/>
    <w:rsid w:val="006627C3"/>
    <w:rsid w:val="00676EED"/>
    <w:rsid w:val="0069138F"/>
    <w:rsid w:val="006A1CB1"/>
    <w:rsid w:val="006A79B7"/>
    <w:rsid w:val="006D0F6C"/>
    <w:rsid w:val="006F7027"/>
    <w:rsid w:val="00717D5B"/>
    <w:rsid w:val="0073756A"/>
    <w:rsid w:val="00750E22"/>
    <w:rsid w:val="0075133A"/>
    <w:rsid w:val="007601A0"/>
    <w:rsid w:val="00760C70"/>
    <w:rsid w:val="0076557C"/>
    <w:rsid w:val="00792CB4"/>
    <w:rsid w:val="007A05A8"/>
    <w:rsid w:val="007A4460"/>
    <w:rsid w:val="007B2B63"/>
    <w:rsid w:val="007B5FC4"/>
    <w:rsid w:val="007D61D1"/>
    <w:rsid w:val="007E10D8"/>
    <w:rsid w:val="00805B95"/>
    <w:rsid w:val="00807F4A"/>
    <w:rsid w:val="0083407F"/>
    <w:rsid w:val="008340AB"/>
    <w:rsid w:val="00834190"/>
    <w:rsid w:val="00851A43"/>
    <w:rsid w:val="008757CA"/>
    <w:rsid w:val="0087708B"/>
    <w:rsid w:val="008A27AB"/>
    <w:rsid w:val="008B1027"/>
    <w:rsid w:val="008B180D"/>
    <w:rsid w:val="008B5802"/>
    <w:rsid w:val="008C416D"/>
    <w:rsid w:val="008D65F5"/>
    <w:rsid w:val="008F1684"/>
    <w:rsid w:val="008F75E9"/>
    <w:rsid w:val="00902DFB"/>
    <w:rsid w:val="00905351"/>
    <w:rsid w:val="00906253"/>
    <w:rsid w:val="009131B5"/>
    <w:rsid w:val="009246E4"/>
    <w:rsid w:val="009247F3"/>
    <w:rsid w:val="00931915"/>
    <w:rsid w:val="00966651"/>
    <w:rsid w:val="00966CD3"/>
    <w:rsid w:val="009A3ED1"/>
    <w:rsid w:val="009D0B37"/>
    <w:rsid w:val="009F2106"/>
    <w:rsid w:val="00A068DC"/>
    <w:rsid w:val="00A37B2C"/>
    <w:rsid w:val="00A37FA3"/>
    <w:rsid w:val="00A446E1"/>
    <w:rsid w:val="00A44BCC"/>
    <w:rsid w:val="00A60213"/>
    <w:rsid w:val="00A6058B"/>
    <w:rsid w:val="00A70A84"/>
    <w:rsid w:val="00AD463C"/>
    <w:rsid w:val="00AD6840"/>
    <w:rsid w:val="00AF479A"/>
    <w:rsid w:val="00B04EB2"/>
    <w:rsid w:val="00B12A8D"/>
    <w:rsid w:val="00B20DE0"/>
    <w:rsid w:val="00B44B0A"/>
    <w:rsid w:val="00B75C86"/>
    <w:rsid w:val="00BA0979"/>
    <w:rsid w:val="00BA5C34"/>
    <w:rsid w:val="00BC7170"/>
    <w:rsid w:val="00BE1179"/>
    <w:rsid w:val="00BF4AF0"/>
    <w:rsid w:val="00BF7751"/>
    <w:rsid w:val="00C22541"/>
    <w:rsid w:val="00C33FC2"/>
    <w:rsid w:val="00C44FAD"/>
    <w:rsid w:val="00C54FB2"/>
    <w:rsid w:val="00C74349"/>
    <w:rsid w:val="00C75BCA"/>
    <w:rsid w:val="00C84F0B"/>
    <w:rsid w:val="00C90F57"/>
    <w:rsid w:val="00C9324F"/>
    <w:rsid w:val="00CC3DC6"/>
    <w:rsid w:val="00CC62C6"/>
    <w:rsid w:val="00CD20CE"/>
    <w:rsid w:val="00CD31B1"/>
    <w:rsid w:val="00CE0AEB"/>
    <w:rsid w:val="00CE1C7C"/>
    <w:rsid w:val="00CE2354"/>
    <w:rsid w:val="00CE6B90"/>
    <w:rsid w:val="00CE7A94"/>
    <w:rsid w:val="00D065CA"/>
    <w:rsid w:val="00D31EF5"/>
    <w:rsid w:val="00D34614"/>
    <w:rsid w:val="00D516C4"/>
    <w:rsid w:val="00D5396C"/>
    <w:rsid w:val="00D64DDB"/>
    <w:rsid w:val="00D7076B"/>
    <w:rsid w:val="00D83EB8"/>
    <w:rsid w:val="00D941CA"/>
    <w:rsid w:val="00DA462E"/>
    <w:rsid w:val="00DD5FC4"/>
    <w:rsid w:val="00DE5B9A"/>
    <w:rsid w:val="00E1573B"/>
    <w:rsid w:val="00E320AC"/>
    <w:rsid w:val="00E32981"/>
    <w:rsid w:val="00E3673E"/>
    <w:rsid w:val="00E516EC"/>
    <w:rsid w:val="00E72120"/>
    <w:rsid w:val="00E80C67"/>
    <w:rsid w:val="00E83628"/>
    <w:rsid w:val="00E850AA"/>
    <w:rsid w:val="00E86F79"/>
    <w:rsid w:val="00E875C8"/>
    <w:rsid w:val="00F03723"/>
    <w:rsid w:val="00F05F41"/>
    <w:rsid w:val="00F07354"/>
    <w:rsid w:val="00F13508"/>
    <w:rsid w:val="00F1585A"/>
    <w:rsid w:val="00F22A4D"/>
    <w:rsid w:val="00F41190"/>
    <w:rsid w:val="00F4702F"/>
    <w:rsid w:val="00F512B9"/>
    <w:rsid w:val="00F67948"/>
    <w:rsid w:val="00F72841"/>
    <w:rsid w:val="00F92B59"/>
    <w:rsid w:val="00FA16B2"/>
    <w:rsid w:val="00FA2FED"/>
    <w:rsid w:val="00FD2AF0"/>
    <w:rsid w:val="00FD4F30"/>
    <w:rsid w:val="00FE3D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B3B61"/>
  <w15:chartTrackingRefBased/>
  <w15:docId w15:val="{9EFC81DD-A4C9-43DB-91E2-FC184627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D37"/>
  </w:style>
  <w:style w:type="paragraph" w:styleId="Heading1">
    <w:name w:val="heading 1"/>
    <w:basedOn w:val="Normal"/>
    <w:next w:val="Normal"/>
    <w:link w:val="Heading1Char"/>
    <w:uiPriority w:val="9"/>
    <w:qFormat/>
    <w:rsid w:val="00C932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32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32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32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32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32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32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32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32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2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32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32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32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32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32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32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32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324F"/>
    <w:rPr>
      <w:rFonts w:eastAsiaTheme="majorEastAsia" w:cstheme="majorBidi"/>
      <w:color w:val="272727" w:themeColor="text1" w:themeTint="D8"/>
    </w:rPr>
  </w:style>
  <w:style w:type="paragraph" w:styleId="Title">
    <w:name w:val="Title"/>
    <w:basedOn w:val="Normal"/>
    <w:next w:val="Normal"/>
    <w:link w:val="TitleChar"/>
    <w:uiPriority w:val="10"/>
    <w:qFormat/>
    <w:rsid w:val="00C932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2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2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32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324F"/>
    <w:pPr>
      <w:spacing w:before="160"/>
      <w:jc w:val="center"/>
    </w:pPr>
    <w:rPr>
      <w:i/>
      <w:iCs/>
      <w:color w:val="404040" w:themeColor="text1" w:themeTint="BF"/>
    </w:rPr>
  </w:style>
  <w:style w:type="character" w:customStyle="1" w:styleId="QuoteChar">
    <w:name w:val="Quote Char"/>
    <w:basedOn w:val="DefaultParagraphFont"/>
    <w:link w:val="Quote"/>
    <w:uiPriority w:val="29"/>
    <w:rsid w:val="00C9324F"/>
    <w:rPr>
      <w:i/>
      <w:iCs/>
      <w:color w:val="404040" w:themeColor="text1" w:themeTint="BF"/>
    </w:rPr>
  </w:style>
  <w:style w:type="paragraph" w:styleId="ListParagraph">
    <w:name w:val="List Paragraph"/>
    <w:basedOn w:val="Normal"/>
    <w:uiPriority w:val="34"/>
    <w:qFormat/>
    <w:rsid w:val="00C9324F"/>
    <w:pPr>
      <w:ind w:left="720"/>
      <w:contextualSpacing/>
    </w:pPr>
  </w:style>
  <w:style w:type="character" w:styleId="IntenseEmphasis">
    <w:name w:val="Intense Emphasis"/>
    <w:basedOn w:val="DefaultParagraphFont"/>
    <w:uiPriority w:val="21"/>
    <w:qFormat/>
    <w:rsid w:val="00C9324F"/>
    <w:rPr>
      <w:i/>
      <w:iCs/>
      <w:color w:val="0F4761" w:themeColor="accent1" w:themeShade="BF"/>
    </w:rPr>
  </w:style>
  <w:style w:type="paragraph" w:styleId="IntenseQuote">
    <w:name w:val="Intense Quote"/>
    <w:basedOn w:val="Normal"/>
    <w:next w:val="Normal"/>
    <w:link w:val="IntenseQuoteChar"/>
    <w:uiPriority w:val="30"/>
    <w:qFormat/>
    <w:rsid w:val="00C932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324F"/>
    <w:rPr>
      <w:i/>
      <w:iCs/>
      <w:color w:val="0F4761" w:themeColor="accent1" w:themeShade="BF"/>
    </w:rPr>
  </w:style>
  <w:style w:type="character" w:styleId="IntenseReference">
    <w:name w:val="Intense Reference"/>
    <w:basedOn w:val="DefaultParagraphFont"/>
    <w:uiPriority w:val="32"/>
    <w:qFormat/>
    <w:rsid w:val="00C9324F"/>
    <w:rPr>
      <w:b/>
      <w:bCs/>
      <w:smallCaps/>
      <w:color w:val="0F4761" w:themeColor="accent1" w:themeShade="BF"/>
      <w:spacing w:val="5"/>
    </w:rPr>
  </w:style>
  <w:style w:type="character" w:styleId="CommentReference">
    <w:name w:val="annotation reference"/>
    <w:basedOn w:val="DefaultParagraphFont"/>
    <w:uiPriority w:val="99"/>
    <w:semiHidden/>
    <w:unhideWhenUsed/>
    <w:rsid w:val="00E86F79"/>
    <w:rPr>
      <w:sz w:val="16"/>
      <w:szCs w:val="16"/>
    </w:rPr>
  </w:style>
  <w:style w:type="paragraph" w:styleId="CommentText">
    <w:name w:val="annotation text"/>
    <w:basedOn w:val="Normal"/>
    <w:link w:val="CommentTextChar"/>
    <w:uiPriority w:val="99"/>
    <w:unhideWhenUsed/>
    <w:rsid w:val="00E86F79"/>
    <w:pPr>
      <w:spacing w:line="240" w:lineRule="auto"/>
    </w:pPr>
    <w:rPr>
      <w:sz w:val="20"/>
      <w:szCs w:val="20"/>
    </w:rPr>
  </w:style>
  <w:style w:type="character" w:customStyle="1" w:styleId="CommentTextChar">
    <w:name w:val="Comment Text Char"/>
    <w:basedOn w:val="DefaultParagraphFont"/>
    <w:link w:val="CommentText"/>
    <w:uiPriority w:val="99"/>
    <w:rsid w:val="00E86F79"/>
    <w:rPr>
      <w:sz w:val="20"/>
      <w:szCs w:val="20"/>
    </w:rPr>
  </w:style>
  <w:style w:type="paragraph" w:styleId="CommentSubject">
    <w:name w:val="annotation subject"/>
    <w:basedOn w:val="CommentText"/>
    <w:next w:val="CommentText"/>
    <w:link w:val="CommentSubjectChar"/>
    <w:uiPriority w:val="99"/>
    <w:semiHidden/>
    <w:unhideWhenUsed/>
    <w:rsid w:val="00E86F79"/>
    <w:rPr>
      <w:b/>
      <w:bCs/>
    </w:rPr>
  </w:style>
  <w:style w:type="character" w:customStyle="1" w:styleId="CommentSubjectChar">
    <w:name w:val="Comment Subject Char"/>
    <w:basedOn w:val="CommentTextChar"/>
    <w:link w:val="CommentSubject"/>
    <w:uiPriority w:val="99"/>
    <w:semiHidden/>
    <w:rsid w:val="00E86F79"/>
    <w:rPr>
      <w:b/>
      <w:bCs/>
      <w:sz w:val="20"/>
      <w:szCs w:val="20"/>
    </w:rPr>
  </w:style>
  <w:style w:type="paragraph" w:styleId="Caption">
    <w:name w:val="caption"/>
    <w:basedOn w:val="Normal"/>
    <w:next w:val="Normal"/>
    <w:uiPriority w:val="35"/>
    <w:unhideWhenUsed/>
    <w:qFormat/>
    <w:rsid w:val="00F07354"/>
    <w:pPr>
      <w:spacing w:after="200" w:line="240" w:lineRule="auto"/>
    </w:pPr>
    <w:rPr>
      <w:i/>
      <w:iCs/>
      <w:color w:val="0E2841" w:themeColor="text2"/>
      <w:sz w:val="18"/>
      <w:szCs w:val="18"/>
    </w:rPr>
  </w:style>
  <w:style w:type="paragraph" w:styleId="Bibliography">
    <w:name w:val="Bibliography"/>
    <w:basedOn w:val="Normal"/>
    <w:next w:val="Normal"/>
    <w:uiPriority w:val="37"/>
    <w:unhideWhenUsed/>
    <w:rsid w:val="00337D4A"/>
  </w:style>
  <w:style w:type="paragraph" w:styleId="Header">
    <w:name w:val="header"/>
    <w:basedOn w:val="Normal"/>
    <w:link w:val="HeaderChar"/>
    <w:uiPriority w:val="99"/>
    <w:unhideWhenUsed/>
    <w:rsid w:val="00642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73D"/>
  </w:style>
  <w:style w:type="paragraph" w:styleId="Footer">
    <w:name w:val="footer"/>
    <w:basedOn w:val="Normal"/>
    <w:link w:val="FooterChar"/>
    <w:uiPriority w:val="99"/>
    <w:unhideWhenUsed/>
    <w:rsid w:val="00642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73D"/>
  </w:style>
  <w:style w:type="paragraph" w:styleId="TOCHeading">
    <w:name w:val="TOC Heading"/>
    <w:basedOn w:val="Heading1"/>
    <w:next w:val="Normal"/>
    <w:uiPriority w:val="39"/>
    <w:unhideWhenUsed/>
    <w:qFormat/>
    <w:rsid w:val="00851A43"/>
    <w:pPr>
      <w:spacing w:before="240" w:after="0"/>
      <w:outlineLvl w:val="9"/>
    </w:pPr>
    <w:rPr>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9f4a369d-2a9b-458c-990b-1dabbffab5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68E47C6C18B74782A9381D92DC2D22" ma:contentTypeVersion="11" ma:contentTypeDescription="Create a new document." ma:contentTypeScope="" ma:versionID="122c97d40b41fbc4d895f60f5b271dc5">
  <xsd:schema xmlns:xsd="http://www.w3.org/2001/XMLSchema" xmlns:xs="http://www.w3.org/2001/XMLSchema" xmlns:p="http://schemas.microsoft.com/office/2006/metadata/properties" xmlns:ns3="9f4a369d-2a9b-458c-990b-1dabbffab5f4" targetNamespace="http://schemas.microsoft.com/office/2006/metadata/properties" ma:root="true" ma:fieldsID="0a5c29b8bab91ad9fddd33bb91a34dc2" ns3:_="">
    <xsd:import namespace="9f4a369d-2a9b-458c-990b-1dabbffab5f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a369d-2a9b-458c-990b-1dabbffab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5ED5A-7DA7-4539-A367-60892E2F586D}">
  <ds:schemaRefs>
    <ds:schemaRef ds:uri="http://schemas.microsoft.com/sharepoint/v3/contenttype/forms"/>
  </ds:schemaRefs>
</ds:datastoreItem>
</file>

<file path=customXml/itemProps2.xml><?xml version="1.0" encoding="utf-8"?>
<ds:datastoreItem xmlns:ds="http://schemas.openxmlformats.org/officeDocument/2006/customXml" ds:itemID="{060D0129-E057-428F-8708-6AF11D4F9B5E}">
  <ds:schemaRefs>
    <ds:schemaRef ds:uri="http://schemas.openxmlformats.org/officeDocument/2006/bibliography"/>
  </ds:schemaRefs>
</ds:datastoreItem>
</file>

<file path=customXml/itemProps3.xml><?xml version="1.0" encoding="utf-8"?>
<ds:datastoreItem xmlns:ds="http://schemas.openxmlformats.org/officeDocument/2006/customXml" ds:itemID="{7942CBC1-F4CD-453E-9F45-AC360E34259E}">
  <ds:schemaRefs>
    <ds:schemaRef ds:uri="http://schemas.microsoft.com/office/2006/metadata/properties"/>
    <ds:schemaRef ds:uri="http://schemas.microsoft.com/office/infopath/2007/PartnerControls"/>
    <ds:schemaRef ds:uri="9f4a369d-2a9b-458c-990b-1dabbffab5f4"/>
  </ds:schemaRefs>
</ds:datastoreItem>
</file>

<file path=customXml/itemProps4.xml><?xml version="1.0" encoding="utf-8"?>
<ds:datastoreItem xmlns:ds="http://schemas.openxmlformats.org/officeDocument/2006/customXml" ds:itemID="{057A6072-3E12-46D9-9A09-38C650A50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a369d-2a9b-458c-990b-1dabbffab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10</Pages>
  <Words>6853</Words>
  <Characters>39067</Characters>
  <Application>Microsoft Office Word</Application>
  <DocSecurity>0</DocSecurity>
  <Lines>325</Lines>
  <Paragraphs>91</Paragraphs>
  <ScaleCrop>false</ScaleCrop>
  <Company/>
  <LinksUpToDate>false</LinksUpToDate>
  <CharactersWithSpaces>45829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Godoy</dc:creator>
  <cp:keywords/>
  <dc:description/>
  <cp:lastModifiedBy>Fernanda Godoy</cp:lastModifiedBy>
  <cp:revision>124</cp:revision>
  <dcterms:created xsi:type="dcterms:W3CDTF">2026-04-21T10:58:00Z</dcterms:created>
  <dcterms:modified xsi:type="dcterms:W3CDTF">2026-04-29T07:08:00Z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0x010100D568E47C6C18B74782A9381D92DC2D22</vt:lpwstr>
  </property>
  <property fmtid="{D5CDD505-2E9C-101B-9397-08002B2CF9AE}" pid="3" name="ZOTERO_PREF_1">
    <vt:lpwstr>&lt;data data-version="3" zotero-version="7.0.11"&gt;&lt;session id="gjvDrZ0r"/&gt;&lt;style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