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A606" w14:textId="77777777" w:rsidR="001318BC" w:rsidRDefault="001318BC" w:rsidP="001318BC">
      <w:pPr>
        <w:spacing w:before="120" w:line="276" w:lineRule="auto"/>
        <w:rPr>
          <w:b/>
          <w:sz w:val="32"/>
        </w:rPr>
      </w:pPr>
      <w:r>
        <w:rPr>
          <w:b/>
          <w:sz w:val="32"/>
        </w:rPr>
        <w:t>Supplementary Tables</w:t>
      </w:r>
    </w:p>
    <w:p w14:paraId="6A0CFF2E" w14:textId="77777777" w:rsidR="001318BC" w:rsidRDefault="001318BC" w:rsidP="001318BC">
      <w:r>
        <w:rPr>
          <w:b/>
        </w:rPr>
        <w:t>Supplementary Table 1. Quality-controlled protein panel.</w:t>
      </w:r>
      <w:r>
        <w:t xml:space="preserve"> Complete list of the 2,745 proteins retained after protein-level quality control.</w:t>
      </w:r>
    </w:p>
    <w:p w14:paraId="0FA68119" w14:textId="77777777" w:rsidR="001318BC" w:rsidRDefault="001318BC" w:rsidP="001318BC">
      <w:r>
        <w:rPr>
          <w:b/>
        </w:rPr>
        <w:t>Supplementary Table 2. Excluded proteins.</w:t>
      </w:r>
      <w:r>
        <w:t xml:space="preserve"> Proteins removed before analysis because sample-level missingness exceeded the prespecified threshold.</w:t>
      </w:r>
    </w:p>
    <w:p w14:paraId="01B35974" w14:textId="77777777" w:rsidR="001318BC" w:rsidRDefault="001318BC" w:rsidP="001318BC">
      <w:r>
        <w:rPr>
          <w:b/>
        </w:rPr>
        <w:t>Supplementary Table 3. Expanded baseline characteristics.</w:t>
      </w:r>
      <w:r>
        <w:t xml:space="preserve"> Full version of Table 1 with all tabulated baseline variables used in the harmonized analysis dataset.</w:t>
      </w:r>
    </w:p>
    <w:p w14:paraId="587B618D" w14:textId="77777777" w:rsidR="001318BC" w:rsidRDefault="001318BC" w:rsidP="001318BC">
      <w:r>
        <w:rPr>
          <w:b/>
        </w:rPr>
        <w:t>Supplementary Tables 4-7. Full proteome-wide Cox results for each endpoint.</w:t>
      </w:r>
      <w:r>
        <w:t xml:space="preserve"> Hazard ratios, confidence intervals, P values, and Bonferroni status for broad VHD, mitral regurgitation, aortic stenosis, and aortic regurgitation.</w:t>
      </w:r>
    </w:p>
    <w:p w14:paraId="105A30B9" w14:textId="77777777" w:rsidR="001318BC" w:rsidRDefault="001318BC" w:rsidP="001318BC">
      <w:r>
        <w:rPr>
          <w:b/>
        </w:rPr>
        <w:t>Supplementary Table 8. Pathway enrichment results.</w:t>
      </w:r>
      <w:r>
        <w:t xml:space="preserve"> Significantly enriched pathway terms derived from the Bonferroni-significant protein sets.</w:t>
      </w:r>
    </w:p>
    <w:p w14:paraId="6F0BF329" w14:textId="77777777" w:rsidR="001318BC" w:rsidRDefault="001318BC" w:rsidP="001318BC">
      <w:r>
        <w:rPr>
          <w:b/>
        </w:rPr>
        <w:t>Supplementary Table 9. cis-pQTL instrument summary.</w:t>
      </w:r>
      <w:r>
        <w:t xml:space="preserve"> Summary of the pQTL instruments used for the MR analyses.</w:t>
      </w:r>
    </w:p>
    <w:p w14:paraId="387C5073" w14:textId="77777777" w:rsidR="001318BC" w:rsidRDefault="001318BC" w:rsidP="001318BC">
      <w:r>
        <w:rPr>
          <w:b/>
        </w:rPr>
        <w:t>Supplementary Table 10. Full MR results.</w:t>
      </w:r>
      <w:r>
        <w:t xml:space="preserve"> Complete MR results for all tested protein-endpoint pairs.</w:t>
      </w:r>
    </w:p>
    <w:p w14:paraId="14271CA1" w14:textId="77777777" w:rsidR="001318BC" w:rsidRDefault="001318BC" w:rsidP="001318BC">
      <w:r>
        <w:rPr>
          <w:b/>
        </w:rPr>
        <w:t>Supplementary Table 11. MR-significant proteins.</w:t>
      </w:r>
      <w:r>
        <w:t xml:space="preserve"> Bonferroni- and false-discovery-rate significant MR results for broad VHD and aortic stenosis.</w:t>
      </w:r>
    </w:p>
    <w:p w14:paraId="3B81FF97" w14:textId="77777777" w:rsidR="001318BC" w:rsidRDefault="001318BC" w:rsidP="001318BC">
      <w:r>
        <w:rPr>
          <w:b/>
        </w:rPr>
        <w:t>Supplementary Table 12. Colocalization status.</w:t>
      </w:r>
      <w:r>
        <w:t xml:space="preserve"> Diagnostic summary showing why formal colocalization was not implemented in the final manuscript because full regional exposure summary statistics were unavailable.</w:t>
      </w:r>
    </w:p>
    <w:p w14:paraId="0537190E" w14:textId="77777777" w:rsidR="001318BC" w:rsidRDefault="001318BC" w:rsidP="001318BC">
      <w:r>
        <w:rPr>
          <w:b/>
        </w:rPr>
        <w:t>Supplementary Table 13. Druggability annotation.</w:t>
      </w:r>
      <w:r>
        <w:t xml:space="preserve"> Curated druggability status for MR-prioritized proteins.</w:t>
      </w:r>
    </w:p>
    <w:p w14:paraId="2DC8CF5B" w14:textId="77777777" w:rsidR="001318BC" w:rsidRDefault="001318BC" w:rsidP="001318BC">
      <w:r>
        <w:rPr>
          <w:b/>
        </w:rPr>
        <w:t>Supplementary Table 14. Sex-stratified Cox results.</w:t>
      </w:r>
      <w:r>
        <w:t xml:space="preserve"> Full sex-specific proteome-wide association results.</w:t>
      </w:r>
    </w:p>
    <w:p w14:paraId="0BC7A26A" w14:textId="77777777" w:rsidR="001318BC" w:rsidRDefault="001318BC" w:rsidP="001318BC">
      <w:r>
        <w:rPr>
          <w:b/>
        </w:rPr>
        <w:t>Supplementary Table 15. Protein-by-sex interaction tests.</w:t>
      </w:r>
      <w:r>
        <w:t xml:space="preserve"> Interaction coefficients, P values, and false discovery rate for the sex-interaction analysis.</w:t>
      </w:r>
    </w:p>
    <w:p w14:paraId="04AE7382" w14:textId="77777777" w:rsidR="001318BC" w:rsidRDefault="001318BC" w:rsidP="001318BC">
      <w:r>
        <w:rPr>
          <w:b/>
        </w:rPr>
        <w:t>Supplementary Table 16. LASSO-selected features and weights.</w:t>
      </w:r>
      <w:r>
        <w:t xml:space="preserve"> Nonzero coefficients selected by the endpoint-specific LASSO models.</w:t>
      </w:r>
    </w:p>
    <w:p w14:paraId="33920224" w14:textId="77777777" w:rsidR="001318BC" w:rsidRDefault="001318BC" w:rsidP="001318BC">
      <w:r>
        <w:rPr>
          <w:b/>
        </w:rPr>
        <w:t>Supplementary Table 17. Prediction model performance.</w:t>
      </w:r>
      <w:r>
        <w:t xml:space="preserve"> AUC, confidence intervals, DeLong comparison P values, detection rates, and retained feature counts for the clinical, protein-only, and combined models.</w:t>
      </w:r>
    </w:p>
    <w:p w14:paraId="0368F699" w14:textId="77777777" w:rsidR="001318BC" w:rsidRDefault="001318BC" w:rsidP="001318BC">
      <w:pPr>
        <w:rPr>
          <w:rFonts w:eastAsia="SimSun"/>
          <w:lang w:eastAsia="zh-CN"/>
        </w:rPr>
      </w:pPr>
    </w:p>
    <w:p w14:paraId="12BE3E91" w14:textId="77777777" w:rsidR="00DE6AE2" w:rsidRDefault="00DE6AE2"/>
    <w:sectPr w:rsidR="00DE6AE2" w:rsidSect="001318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BC"/>
    <w:rsid w:val="001318BC"/>
    <w:rsid w:val="00195413"/>
    <w:rsid w:val="003D0186"/>
    <w:rsid w:val="007278E4"/>
    <w:rsid w:val="008D5B2D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57FE"/>
  <w15:chartTrackingRefBased/>
  <w15:docId w15:val="{F581BD4F-326F-41B0-B848-D7408BD6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BC"/>
    <w:pPr>
      <w:spacing w:after="0" w:line="360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8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8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8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8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8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8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8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8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8BC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8BC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>Springer Nature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2026-06-09T06:17:00Z</dcterms:created>
  <dcterms:modified xsi:type="dcterms:W3CDTF">2026-06-09T06:17:00Z</dcterms:modified>
</cp:coreProperties>
</file>