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C85" w:rsidRDefault="00A03B32">
      <w:pPr>
        <w:widowControl/>
        <w:spacing w:before="120" w:after="240"/>
        <w:jc w:val="center"/>
        <w:rPr>
          <w:rFonts w:ascii="Times New Roman" w:eastAsia="宋体" w:hAnsi="Times New Roman" w:cs="Times New Roman"/>
          <w:kern w:val="0"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kern w:val="0"/>
          <w:sz w:val="44"/>
          <w:szCs w:val="44"/>
        </w:rPr>
        <w:t>Supplementary material</w:t>
      </w:r>
    </w:p>
    <w:p w:rsidR="00455C85" w:rsidRDefault="00A03B3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material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: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Profiles of derived features</w:t>
      </w:r>
    </w:p>
    <w:tbl>
      <w:tblPr>
        <w:tblStyle w:val="a9"/>
        <w:tblW w:w="14142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1418"/>
        <w:gridCol w:w="8647"/>
      </w:tblGrid>
      <w:tr w:rsidR="00455C85">
        <w:trPr>
          <w:trHeight w:val="690"/>
          <w:jc w:val="center"/>
        </w:trPr>
        <w:tc>
          <w:tcPr>
            <w:tcW w:w="1526" w:type="dxa"/>
          </w:tcPr>
          <w:p w:rsidR="00455C85" w:rsidRDefault="00A03B32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Category</w:t>
            </w:r>
          </w:p>
        </w:tc>
        <w:tc>
          <w:tcPr>
            <w:tcW w:w="2551" w:type="dxa"/>
          </w:tcPr>
          <w:p w:rsidR="00455C85" w:rsidRDefault="00A03B32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Images for extraction</w:t>
            </w:r>
          </w:p>
        </w:tc>
        <w:tc>
          <w:tcPr>
            <w:tcW w:w="1418" w:type="dxa"/>
          </w:tcPr>
          <w:p w:rsidR="00455C85" w:rsidRDefault="00A03B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Number (features)</w:t>
            </w:r>
          </w:p>
        </w:tc>
        <w:tc>
          <w:tcPr>
            <w:tcW w:w="8647" w:type="dxa"/>
          </w:tcPr>
          <w:p w:rsidR="00455C85" w:rsidRDefault="00A03B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Description</w:t>
            </w:r>
          </w:p>
        </w:tc>
      </w:tr>
      <w:tr w:rsidR="00455C85">
        <w:trPr>
          <w:trHeight w:val="340"/>
          <w:jc w:val="center"/>
        </w:trPr>
        <w:tc>
          <w:tcPr>
            <w:tcW w:w="1526" w:type="dxa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Arial" w:hAnsi="Times New Roman" w:cs="Times New Roman"/>
                <w:szCs w:val="21"/>
              </w:rPr>
              <w:t>DCE</w:t>
            </w:r>
            <w:r>
              <w:rPr>
                <w:rFonts w:ascii="Times New Roman" w:eastAsia="Arial" w:hAnsi="Times New Roman" w:cs="Times New Roman"/>
                <w:szCs w:val="21"/>
                <w:vertAlign w:val="subscript"/>
              </w:rPr>
              <w:t>shape</w:t>
            </w:r>
            <w:proofErr w:type="spellEnd"/>
          </w:p>
        </w:tc>
        <w:tc>
          <w:tcPr>
            <w:tcW w:w="2551" w:type="dxa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postcontrast phase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14</w:t>
            </w:r>
          </w:p>
        </w:tc>
        <w:tc>
          <w:tcPr>
            <w:tcW w:w="8647" w:type="dxa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The 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shape-based features were calculated on the first postcontrast DCE images.</w:t>
            </w: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 w:val="restart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Arial" w:hAnsi="Times New Roman" w:cs="Times New Roman"/>
                <w:szCs w:val="21"/>
              </w:rPr>
              <w:t>DCE</w:t>
            </w:r>
            <w:r>
              <w:rPr>
                <w:rFonts w:ascii="Times New Roman" w:eastAsia="Arial" w:hAnsi="Times New Roman" w:cs="Times New Roman"/>
                <w:szCs w:val="21"/>
                <w:vertAlign w:val="subscript"/>
              </w:rPr>
              <w:t>texture</w:t>
            </w:r>
            <w:proofErr w:type="spellEnd"/>
          </w:p>
        </w:tc>
        <w:tc>
          <w:tcPr>
            <w:tcW w:w="2551" w:type="dxa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Precontrast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phase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 w:val="restart"/>
          </w:tcPr>
          <w:p w:rsidR="00455C85" w:rsidRDefault="00A03B32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Arial" w:hAnsi="Times New Roman" w:cs="Times New Roman"/>
                <w:szCs w:val="21"/>
              </w:rPr>
              <w:t>The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9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3 texture features (including 18 first order features, 23 gray level co-occurrence matrix (GLCM) features, 13 gray level run length matrix (GLRLM) features, 13 gray level size zone matrix (GLSZM) features, 5 neighboring gray tone difference matrix (NGTDM) features, and 11 </w:t>
            </w:r>
            <w:bookmarkStart w:id="0" w:name="OLE_LINK28"/>
            <w:bookmarkStart w:id="1" w:name="OLE_LINK31"/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gray level dependence matrix (GLDM) </w:t>
            </w:r>
            <w:bookmarkEnd w:id="0"/>
            <w:bookmarkEnd w:id="1"/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features were calculated on these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four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series image sets to yield 3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2 features.</w:t>
            </w: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postcontrast phase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postcontrast phase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postcontrast phase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 w:val="restart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sequential</w:t>
            </w:r>
            <w:proofErr w:type="spellEnd"/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Mean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 w:val="restart"/>
          </w:tcPr>
          <w:p w:rsidR="00455C85" w:rsidRDefault="00A03B32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 xml:space="preserve">To characterize the textural changes on DCE images over time serials, we measured ten new </w:t>
            </w:r>
            <w:r>
              <w:rPr>
                <w:rFonts w:ascii="Times New Roman" w:eastAsia="Arial" w:hAnsi="Times New Roman" w:cs="Times New Roman"/>
                <w:szCs w:val="21"/>
              </w:rPr>
              <w:t>sequential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 xml:space="preserve"> features for each texture feature described in group b (supplementary Table S2). The first six features, including mean, variance, kurtosis, skewness, energy, and entropy, were extracted from each individual subject. The other four features, including Kendall-tau-b, conservation, stability, and dispersion, were calculated from the interactive information between the current subject and the remainder of the subjects. Therefore, a total of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 xml:space="preserve">30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Cs w:val="21"/>
                <w:vertAlign w:val="subscript"/>
              </w:rPr>
              <w:t>sequential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 xml:space="preserve"> features were extracted from 83 texture features.</w:t>
            </w: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Variance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Kurtosis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Skewness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Energy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Entropy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Kendall-tau-b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onservation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Stability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455C85">
        <w:trPr>
          <w:trHeight w:val="340"/>
          <w:jc w:val="center"/>
        </w:trPr>
        <w:tc>
          <w:tcPr>
            <w:tcW w:w="1526" w:type="dxa"/>
            <w:vMerge/>
          </w:tcPr>
          <w:p w:rsidR="00455C85" w:rsidRDefault="00455C85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bottom"/>
          </w:tcPr>
          <w:p w:rsidR="00455C85" w:rsidRDefault="00A03B32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ispersion</w:t>
            </w:r>
          </w:p>
        </w:tc>
        <w:tc>
          <w:tcPr>
            <w:tcW w:w="1418" w:type="dxa"/>
          </w:tcPr>
          <w:p w:rsidR="00455C85" w:rsidRDefault="00A03B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  <w:tc>
          <w:tcPr>
            <w:tcW w:w="8647" w:type="dxa"/>
            <w:vMerge/>
          </w:tcPr>
          <w:p w:rsidR="00455C85" w:rsidRDefault="00455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:rsidR="00455C85" w:rsidRDefault="00455C85" w:rsidP="00BA34D5">
      <w:pPr>
        <w:ind w:firstLineChars="500" w:firstLine="12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5C85" w:rsidRDefault="00455C85" w:rsidP="00BA34D5">
      <w:pPr>
        <w:ind w:firstLineChars="500" w:firstLine="12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5C85" w:rsidRDefault="00455C85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455C85" w:rsidRDefault="00A03B32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material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: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Formulas for the ten new sequential features</w:t>
      </w:r>
    </w:p>
    <w:tbl>
      <w:tblPr>
        <w:tblStyle w:val="a9"/>
        <w:tblW w:w="13178" w:type="dxa"/>
        <w:tblLayout w:type="fixed"/>
        <w:tblLook w:val="04A0" w:firstRow="1" w:lastRow="0" w:firstColumn="1" w:lastColumn="0" w:noHBand="0" w:noVBand="1"/>
      </w:tblPr>
      <w:tblGrid>
        <w:gridCol w:w="13178"/>
      </w:tblGrid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p denotes patient; t denotes the phase for the DCE image  </w:t>
            </w:r>
          </w:p>
        </w:tc>
      </w:tr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m:oMath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mean=</m:t>
              </m:r>
              <m:f>
                <m:f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t</m:t>
                      </m:r>
                    </m:sub>
                  </m:sSub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naryPr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t=1</m:t>
                  </m:r>
                </m:sub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t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pt</m:t>
                      </m:r>
                    </m:sub>
                  </m:sSub>
                </m:e>
              </m:nary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</w:p>
        </w:tc>
      </w:tr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>variance=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t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eastAsia="宋体" w:hAnsi="Cambria Math" w:cs="Times New Roman"/>
                        <w:i/>
                        <w:kern w:val="0"/>
                        <w:szCs w:val="21"/>
                      </w:rPr>
                    </m:ctrlPr>
                  </m:naryPr>
                  <m:sub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t=1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t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Cs w:val="21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(x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pt</m:t>
                            </m:r>
                          </m:sub>
                        </m:s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kern w:val="0"/>
                                    <w:szCs w:val="21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p∙</m:t>
                            </m:r>
                          </m:sub>
                        </m:s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m:oMath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skewness</m:t>
              </m:r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fPr>
                    <m:num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t</m:t>
                          </m:r>
                        </m:sub>
                      </m:sSub>
                    </m:den>
                  </m:f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naryPr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t=1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t</m:t>
                          </m:r>
                        </m:sub>
                      </m:sSub>
                    </m:sup>
                    <m:e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pt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kern w:val="0"/>
                                      <w:szCs w:val="21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Cs w:val="21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p∙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3</m:t>
                          </m:r>
                        </m:sup>
                      </m:sSup>
                    </m:e>
                  </m:nary>
                </m:num>
                <m:den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dPr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kern w:val="0"/>
                                      <w:szCs w:val="2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Cs w:val="21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i/>
                                          <w:kern w:val="0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t</m:t>
                                      </m:r>
                                    </m:sub>
                                  </m:sSub>
                                </m:den>
                              </m:f>
                              <m:nary>
                                <m:naryPr>
                                  <m:chr m:val="∑"/>
                                  <m:limLoc m:val="undOvr"/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kern w:val="0"/>
                                      <w:szCs w:val="21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Cs w:val="21"/>
                                    </w:rPr>
                                    <m:t>t=1</m:t>
                                  </m:r>
                                </m:sub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i/>
                                          <w:kern w:val="0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t</m:t>
                                      </m:r>
                                    </m:sub>
                                  </m:sSub>
                                </m:sup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i/>
                                          <w:kern w:val="0"/>
                                          <w:szCs w:val="21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(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宋体" w:hAnsi="Cambria Math" w:cs="Times New Roman"/>
                                              <w:i/>
                                              <w:kern w:val="0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宋体" w:hAnsi="Cambria Math" w:cs="Times New Roman"/>
                                              <w:kern w:val="0"/>
                                              <w:szCs w:val="21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宋体" w:hAnsi="Cambria Math" w:cs="Times New Roman"/>
                                              <w:kern w:val="0"/>
                                              <w:szCs w:val="21"/>
                                            </w:rPr>
                                            <m:t>pt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宋体" w:hAnsi="Cambria Math" w:cs="Times New Roman"/>
                                              <w:i/>
                                              <w:kern w:val="0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acc>
                                            <m:accPr>
                                              <m:chr m:val="̅"/>
                                              <m:ctrlPr>
                                                <w:rPr>
                                                  <w:rFonts w:ascii="Cambria Math" w:eastAsia="宋体" w:hAnsi="Cambria Math" w:cs="Times New Roman"/>
                                                  <w:i/>
                                                  <w:kern w:val="0"/>
                                                  <w:szCs w:val="21"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eastAsia="宋体" w:hAnsi="Cambria Math" w:cs="Times New Roman"/>
                                                  <w:kern w:val="0"/>
                                                  <w:szCs w:val="21"/>
                                                </w:rPr>
                                                <m:t>x</m:t>
                                              </m:r>
                                            </m:e>
                                          </m:acc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宋体" w:hAnsi="Cambria Math" w:cs="Times New Roman"/>
                                              <w:kern w:val="0"/>
                                              <w:szCs w:val="21"/>
                                            </w:rPr>
                                            <m:t>p∙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nary>
                            </m:e>
                          </m:rad>
                        </m:e>
                      </m:d>
                    </m:e>
                    <m:sup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3</m:t>
                      </m:r>
                    </m:sup>
                  </m:sSup>
                </m:den>
              </m:f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</w:p>
        </w:tc>
      </w:tr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m:oMath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kurtosis</m:t>
              </m:r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fPr>
                    <m:num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t</m:t>
                          </m:r>
                        </m:sub>
                      </m:sSub>
                    </m:den>
                  </m:f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naryPr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t=1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t</m:t>
                          </m:r>
                        </m:sub>
                      </m:sSub>
                    </m:sup>
                    <m:e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pt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kern w:val="0"/>
                                      <w:szCs w:val="21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Cs w:val="21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p∙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4</m:t>
                          </m:r>
                        </m:sup>
                      </m:sSup>
                    </m:e>
                  </m:nary>
                </m:num>
                <m:den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dPr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kern w:val="0"/>
                                      <w:szCs w:val="2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Cs w:val="21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i/>
                                          <w:kern w:val="0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t</m:t>
                                      </m:r>
                                    </m:sub>
                                  </m:sSub>
                                </m:den>
                              </m:f>
                              <m:nary>
                                <m:naryPr>
                                  <m:chr m:val="∑"/>
                                  <m:limLoc m:val="undOvr"/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kern w:val="0"/>
                                      <w:szCs w:val="21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Cs w:val="21"/>
                                    </w:rPr>
                                    <m:t>t=1</m:t>
                                  </m:r>
                                </m:sub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i/>
                                          <w:kern w:val="0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t</m:t>
                                      </m:r>
                                    </m:sub>
                                  </m:sSub>
                                </m:sup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i/>
                                          <w:kern w:val="0"/>
                                          <w:szCs w:val="21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(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宋体" w:hAnsi="Cambria Math" w:cs="Times New Roman"/>
                                              <w:i/>
                                              <w:kern w:val="0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宋体" w:hAnsi="Cambria Math" w:cs="Times New Roman"/>
                                              <w:kern w:val="0"/>
                                              <w:szCs w:val="21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宋体" w:hAnsi="Cambria Math" w:cs="Times New Roman"/>
                                              <w:kern w:val="0"/>
                                              <w:szCs w:val="21"/>
                                            </w:rPr>
                                            <m:t>pt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宋体" w:hAnsi="Cambria Math" w:cs="Times New Roman"/>
                                              <w:i/>
                                              <w:kern w:val="0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acc>
                                            <m:accPr>
                                              <m:chr m:val="̅"/>
                                              <m:ctrlPr>
                                                <w:rPr>
                                                  <w:rFonts w:ascii="Cambria Math" w:eastAsia="宋体" w:hAnsi="Cambria Math" w:cs="Times New Roman"/>
                                                  <w:i/>
                                                  <w:kern w:val="0"/>
                                                  <w:szCs w:val="21"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eastAsia="宋体" w:hAnsi="Cambria Math" w:cs="Times New Roman"/>
                                                  <w:kern w:val="0"/>
                                                  <w:szCs w:val="21"/>
                                                </w:rPr>
                                                <m:t>x</m:t>
                                              </m:r>
                                            </m:e>
                                          </m:acc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宋体" w:hAnsi="Cambria Math" w:cs="Times New Roman"/>
                                              <w:kern w:val="0"/>
                                              <w:szCs w:val="21"/>
                                            </w:rPr>
                                            <m:t>p∙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kern w:val="0"/>
                                          <w:szCs w:val="21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nary>
                            </m:e>
                          </m:rad>
                        </m:e>
                      </m:d>
                    </m:e>
                    <m:sup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</w:p>
        </w:tc>
      </w:tr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m:oMath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energy=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naryPr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t=1</m:t>
                  </m:r>
                </m:sub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t</m:t>
                      </m:r>
                    </m:sub>
                  </m:sSub>
                </m:sup>
                <m:e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pt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2</m:t>
                      </m:r>
                    </m:sup>
                  </m:sSup>
                </m:e>
              </m:nary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</w:p>
        </w:tc>
      </w:tr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>entropy=-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</m:ctrlPr>
                  </m:naryPr>
                  <m:sub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t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log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t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+</m:t>
                        </m:r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ϵ</m:t>
                        </m:r>
                      </m:e>
                    </m:d>
                  </m:e>
                </m:nary>
              </m:oMath>
            </m:oMathPara>
          </w:p>
          <w:p w:rsidR="00455C85" w:rsidRDefault="00455C8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</w:p>
          <w:p w:rsidR="00455C85" w:rsidRDefault="0001280F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</m:t>
                  </m:r>
                </m:sub>
              </m:sSub>
            </m:oMath>
            <w:r w:rsidR="00A03B32">
              <w:rPr>
                <w:rFonts w:ascii="Times New Roman" w:eastAsia="宋体" w:hAnsi="Times New Roman" w:cs="Times New Roman"/>
                <w:kern w:val="0"/>
                <w:szCs w:val="21"/>
              </w:rPr>
              <w:t> is the first order histogram with 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g</m:t>
                  </m:r>
                </m:sub>
              </m:sSub>
            </m:oMath>
            <w:r w:rsidR="00A03B32">
              <w:rPr>
                <w:rFonts w:ascii="Times New Roman" w:eastAsia="宋体" w:hAnsi="Times New Roman" w:cs="Times New Roman"/>
                <w:kern w:val="0"/>
                <w:szCs w:val="21"/>
              </w:rPr>
              <w:t> discrete intensity levels, where 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g</m:t>
                  </m:r>
                </m:sub>
              </m:sSub>
            </m:oMath>
            <w:r w:rsidR="00A03B32">
              <w:rPr>
                <w:rFonts w:ascii="Times New Roman" w:eastAsia="宋体" w:hAnsi="Times New Roman" w:cs="Times New Roman"/>
                <w:kern w:val="0"/>
                <w:szCs w:val="21"/>
              </w:rPr>
              <w:t> is the number of non-ze</w:t>
            </w:r>
            <w:proofErr w:type="spellStart"/>
            <w:r w:rsidR="00A03B32">
              <w:rPr>
                <w:rFonts w:ascii="Times New Roman" w:eastAsia="宋体" w:hAnsi="Times New Roman" w:cs="Times New Roman"/>
                <w:kern w:val="0"/>
                <w:szCs w:val="21"/>
              </w:rPr>
              <w:t>ro</w:t>
            </w:r>
            <w:proofErr w:type="spellEnd"/>
            <w:r w:rsidR="00A0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bins</w:t>
            </w:r>
          </w:p>
          <w:p w:rsidR="00455C85" w:rsidRDefault="0001280F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</m:t>
                  </m:r>
                </m:sub>
              </m:sSub>
            </m:oMath>
            <w:r w:rsidR="00A03B32">
              <w:rPr>
                <w:rFonts w:ascii="Times New Roman" w:eastAsia="宋体" w:hAnsi="Times New Roman" w:cs="Times New Roman"/>
                <w:kern w:val="0"/>
                <w:szCs w:val="21"/>
              </w:rPr>
              <w:t> is the normalized first order histogram and is equal to </w:t>
            </w:r>
            <m:oMath>
              <m:f>
                <m:f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t</m:t>
                      </m:r>
                    </m:sub>
                  </m:sSub>
                </m:den>
              </m:f>
            </m:oMath>
            <w:r w:rsidR="00A03B32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</w:p>
          <w:p w:rsidR="00455C85" w:rsidRDefault="00A03B32">
            <w:pPr>
              <w:pStyle w:val="ac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Here, ϵ is an arbitrarily small positive number (≈2.2×</w:t>
            </w:r>
            <m:oMath>
              <m:sSup>
                <m:sSup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-16</m:t>
                  </m:r>
                </m:sup>
              </m:sSup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).</w:t>
            </w:r>
          </w:p>
          <w:p w:rsidR="00455C85" w:rsidRDefault="00455C8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</w:p>
        </w:tc>
      </w:tr>
      <w:tr w:rsidR="00455C85">
        <w:tc>
          <w:tcPr>
            <w:tcW w:w="13178" w:type="dxa"/>
          </w:tcPr>
          <w:p w:rsidR="00455C85" w:rsidRDefault="00455C8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bookmarkStart w:id="2" w:name="OLE_LINK29"/>
            <w:bookmarkStart w:id="3" w:name="OLE_LINK30"/>
          </w:p>
          <w:p w:rsidR="00455C85" w:rsidRDefault="00455C8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</w:p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lastRenderedPageBreak/>
              <w:t>Kendall's tau-b</w:t>
            </w:r>
            <w:bookmarkEnd w:id="2"/>
            <w:bookmarkEnd w:id="3"/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</w:p>
          <w:p w:rsidR="00455C85" w:rsidRDefault="00A03B32">
            <w:pPr>
              <w:widowControl/>
              <w:ind w:firstLineChars="150" w:firstLine="315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Kendall's tau-b is a nonparametric measure of association based on the number of concordances and discordances in the paired observations. In this work, Kendall's tau-b was used to measure the </w:t>
            </w:r>
            <w:bookmarkStart w:id="4" w:name="OLE_LINK2"/>
            <w:bookmarkStart w:id="5" w:name="OLE_LINK1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coordinated </w:t>
            </w:r>
            <w:bookmarkEnd w:id="4"/>
            <w:bookmarkEnd w:id="5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consistency of changing features between one patient and the remaining patients. </w:t>
            </w:r>
          </w:p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The consistent coefficient between two patients (p and p’) at two time points (t and t’) was calculated as follows (Equation (1)):</w:t>
            </w:r>
          </w:p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m:oMath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I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p</m:t>
                      </m:r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'</m:t>
                      </m:r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'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pt</m:t>
                      </m:r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'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p</m:t>
                      </m:r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'</m:t>
                      </m:r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t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pt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 xml:space="preserve">         (1)</m:t>
              </m:r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(p=1, 2,…,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,  p’=p+1,p+2,…,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, t=1,2,…,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,  t’=t+1,t+2,…,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,)</w:t>
            </w:r>
          </w:p>
          <w:p w:rsidR="00455C85" w:rsidRDefault="00A03B32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where x is the value of one of the texture features,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is the number of patients, and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is the number of time points. Therefore,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*(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t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-1)/2 consistent coefficients in total were obtained for each pair of pa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tients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. </w:t>
            </w:r>
          </w:p>
          <w:p w:rsidR="00455C85" w:rsidRDefault="00A03B32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The consistent coefficients are subsequently subclassified into four groups, </w:t>
            </w:r>
            <m:oMath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I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 xml:space="preserve">&gt;0,  </m:t>
              </m:r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I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 xml:space="preserve">&lt;0,  </m:t>
              </m:r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I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 xml:space="preserve">=0 and </m:t>
              </m:r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I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→∞</m:t>
              </m:r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.   The corresponding number of items is: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&gt;0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 xml:space="preserve"> </m:t>
                  </m:r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&lt;0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 xml:space="preserve"> </m:t>
                  </m:r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=0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→∞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.</w:t>
            </w:r>
          </w:p>
          <w:p w:rsidR="00455C85" w:rsidRDefault="00A03B32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Kendall's tau-b was calculated as follows:</w:t>
            </w:r>
          </w:p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>τ=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&gt;0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&lt;0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&gt;0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&lt;0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=0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)×(</m:t>
                        </m:r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&gt;0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&lt;0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→∞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)</m:t>
                        </m:r>
                      </m:e>
                    </m:rad>
                  </m:den>
                </m:f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 xml:space="preserve">       (2)</m:t>
                </m:r>
              </m:oMath>
            </m:oMathPara>
          </w:p>
          <w:p w:rsidR="00455C85" w:rsidRDefault="00455C8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</w:p>
        </w:tc>
      </w:tr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lastRenderedPageBreak/>
              <w:t>Conservation</w:t>
            </w:r>
          </w:p>
          <w:p w:rsidR="00455C85" w:rsidRDefault="00A03B32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The conservation of patients was calculated as follows:</w:t>
            </w:r>
          </w:p>
          <w:p w:rsidR="00455C85" w:rsidRDefault="00455C85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455C85" w:rsidRDefault="0001280F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pp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'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t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t</m:t>
                                </m:r>
                              </m:sub>
                            </m:sSub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pt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p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'</m:t>
                                </m:r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t</m:t>
                                </m:r>
                              </m:sub>
                            </m:sSub>
                          </m:e>
                        </m:nary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-</m:t>
                        </m:r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t</m:t>
                                </m:r>
                              </m:sub>
                            </m:sSub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pt</m:t>
                                </m:r>
                              </m:sub>
                            </m:sSub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=1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t</m:t>
                                    </m:r>
                                  </m:sub>
                                </m:sSub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p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'</m:t>
                                    </m:r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t</m:t>
                                    </m:r>
                                  </m:sub>
                                </m:sSub>
                              </m:e>
                            </m:nary>
                          </m:e>
                        </m:nary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t</m:t>
                                </m:r>
                              </m:sub>
                            </m:sSub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=1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t</m:t>
                                    </m:r>
                                  </m:sub>
                                </m:sSub>
                              </m:sup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pt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nary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(</m:t>
                                </m:r>
                                <m:nary>
                                  <m:naryPr>
                                    <m:chr m:val="∑"/>
                                    <m:limLoc m:val="subSup"/>
                                    <m:ctrl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t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=1</m:t>
                                    </m:r>
                                  </m:sub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宋体" w:hAnsi="Cambria Math" w:cs="Times New Roman"/>
                                            <w:kern w:val="0"/>
                                            <w:szCs w:val="2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宋体" w:hAnsi="Cambria Math" w:cs="Times New Roman"/>
                                            <w:kern w:val="0"/>
                                            <w:szCs w:val="21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宋体" w:hAnsi="Cambria Math" w:cs="Times New Roman"/>
                                            <w:kern w:val="0"/>
                                            <w:szCs w:val="21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</m:sup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宋体" w:hAnsi="Cambria Math" w:cs="Times New Roman"/>
                                            <w:kern w:val="0"/>
                                            <w:szCs w:val="2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宋体" w:hAnsi="Cambria Math" w:cs="Times New Roman"/>
                                            <w:kern w:val="0"/>
                                            <w:szCs w:val="21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宋体" w:hAnsi="Cambria Math" w:cs="Times New Roman"/>
                                            <w:kern w:val="0"/>
                                            <w:szCs w:val="21"/>
                                          </w:rPr>
                                          <m:t>pt</m:t>
                                        </m:r>
                                      </m:sub>
                                    </m:sSub>
                                  </m:e>
                                </m:nary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t</m:t>
                                </m:r>
                              </m:sub>
                            </m:sSub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=1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t</m:t>
                                    </m:r>
                                  </m:sub>
                                </m:sSub>
                              </m:sup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p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'</m:t>
                                    </m:r>
                                    <m: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t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nary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kern w:val="0"/>
                                        <w:szCs w:val="21"/>
                                      </w:rPr>
                                    </m:ctrlPr>
                                  </m:dPr>
                                  <m:e>
                                    <m:nary>
                                      <m:naryPr>
                                        <m:chr m:val="∑"/>
                                        <m:limLoc m:val="undOvr"/>
                                        <m:ctrlPr>
                                          <w:rPr>
                                            <w:rFonts w:ascii="Cambria Math" w:eastAsia="宋体" w:hAnsi="Cambria Math" w:cs="Times New Roman"/>
                                            <w:kern w:val="0"/>
                                            <w:szCs w:val="21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eastAsia="宋体" w:hAnsi="Cambria Math" w:cs="Times New Roman"/>
                                            <w:kern w:val="0"/>
                                            <w:szCs w:val="21"/>
                                          </w:rPr>
                                          <m:t>p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="宋体" w:hAnsi="Cambria Math" w:cs="Times New Roman"/>
                                            <w:kern w:val="0"/>
                                            <w:szCs w:val="21"/>
                                          </w:rPr>
                                          <m:t>=1</m:t>
                                        </m:r>
                                      </m:sub>
                                      <m:sup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宋体" w:hAnsi="Cambria Math" w:cs="Times New Roman"/>
                                                <w:kern w:val="0"/>
                                                <w:szCs w:val="21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宋体" w:hAnsi="Cambria Math" w:cs="Times New Roman"/>
                                                <w:kern w:val="0"/>
                                                <w:szCs w:val="21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宋体" w:hAnsi="Cambria Math" w:cs="Times New Roman"/>
                                                <w:kern w:val="0"/>
                                                <w:szCs w:val="21"/>
                                              </w:rPr>
                                              <m:t>t</m:t>
                                            </m:r>
                                          </m:sub>
                                        </m:sSub>
                                      </m:sup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宋体" w:hAnsi="Cambria Math" w:cs="Times New Roman"/>
                                                <w:kern w:val="0"/>
                                                <w:szCs w:val="21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宋体" w:hAnsi="Cambria Math" w:cs="Times New Roman"/>
                                                <w:kern w:val="0"/>
                                                <w:szCs w:val="21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宋体" w:hAnsi="Cambria Math" w:cs="Times New Roman"/>
                                                <w:kern w:val="0"/>
                                                <w:szCs w:val="21"/>
                                              </w:rPr>
                                              <m:t>p</m:t>
                                            </m:r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="宋体" w:hAnsi="Cambria Math" w:cs="Times New Roman"/>
                                                <w:kern w:val="0"/>
                                                <w:szCs w:val="21"/>
                                              </w:rPr>
                                              <m:t>'</m:t>
                                            </m:r>
                                            <m:r>
                                              <w:rPr>
                                                <w:rFonts w:ascii="Cambria Math" w:eastAsia="宋体" w:hAnsi="Cambria Math" w:cs="Times New Roman"/>
                                                <w:kern w:val="0"/>
                                                <w:szCs w:val="21"/>
                                              </w:rPr>
                                              <m:t>t</m:t>
                                            </m:r>
                                          </m:sub>
                                        </m:sSub>
                                      </m:e>
                                    </m:nary>
                                  </m:e>
                                </m:d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宋体" w:hAnsi="Cambria Math" w:cs="Times New Roman"/>
                                    <w:kern w:val="0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 xml:space="preserve">  (3)</m:t>
                </m:r>
              </m:oMath>
            </m:oMathPara>
          </w:p>
          <w:p w:rsidR="00455C85" w:rsidRDefault="00A03B32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Here, the absolute value of the Pearson correlation coefficient was used because both positive and negative values indicate that the two patients are relatively conserved. </w:t>
            </w:r>
          </w:p>
          <w:p w:rsidR="00455C85" w:rsidRDefault="00455C85">
            <w:pPr>
              <w:widowControl/>
              <w:ind w:firstLineChars="150" w:firstLine="315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Stability</w:t>
            </w:r>
          </w:p>
          <w:p w:rsidR="00455C85" w:rsidRDefault="00A03B32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Stability was defined by Equation (4): </w:t>
            </w:r>
          </w:p>
          <w:p w:rsidR="00455C85" w:rsidRDefault="0001280F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S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pp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'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>=1-</m:t>
                </m:r>
                <m:func>
                  <m:funcPr>
                    <m:ctrl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max</m:t>
                    </m:r>
                  </m:fName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PCV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p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PCV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Cs w:val="21"/>
                              </w:rPr>
                              <m:t>p</m:t>
                            </m:r>
                          </m:sub>
                        </m:sSub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 xml:space="preserve">          (4)</m:t>
                </m:r>
              </m:oMath>
            </m:oMathPara>
          </w:p>
          <w:p w:rsidR="00455C85" w:rsidRDefault="00455C85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455C85" w:rsidRDefault="00A03B32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PCV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(or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PCV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'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) indicated the percentage of patients whose coefficient of variation (CV) did not exceed the CV of patient </w:t>
            </w:r>
            <m:oMath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p</m:t>
              </m:r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(or </w:t>
            </w:r>
            <m:oMath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p'</m:t>
              </m:r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).</w:t>
            </w:r>
          </w:p>
          <w:p w:rsidR="00455C85" w:rsidRDefault="00455C85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455C85" w:rsidRDefault="0001280F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PCV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number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 xml:space="preserve"> </m:t>
                    </m:r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of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 xml:space="preserve"> </m:t>
                    </m:r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patients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 xml:space="preserve"> </m:t>
                    </m:r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with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 xml:space="preserve"> </m:t>
                    </m:r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CV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&lt;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CV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p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total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 xml:space="preserve"> </m:t>
                    </m:r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number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 xml:space="preserve"> </m:t>
                    </m:r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of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 xml:space="preserve"> </m:t>
                    </m:r>
                    <m: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patinets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Cs w:val="21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1"/>
                      </w:rPr>
                      <m:t>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Cs w:val="21"/>
                  </w:rPr>
                  <m:t xml:space="preserve">   (5)</m:t>
                </m:r>
              </m:oMath>
            </m:oMathPara>
          </w:p>
        </w:tc>
      </w:tr>
      <w:tr w:rsidR="00455C85">
        <w:tc>
          <w:tcPr>
            <w:tcW w:w="13178" w:type="dxa"/>
          </w:tcPr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lastRenderedPageBreak/>
              <w:t>Dispersion</w:t>
            </w:r>
          </w:p>
          <w:p w:rsidR="00455C85" w:rsidRDefault="00A03B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Let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Max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=max⁡(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,…,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pT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)</m:t>
              </m:r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,</w:t>
            </w:r>
            <m:oMath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 xml:space="preserve">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Min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=min⁡(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,…,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pT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)</m:t>
              </m:r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,</w:t>
            </w:r>
            <m:oMath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 xml:space="preserve">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Max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'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=</m:t>
              </m:r>
              <m:func>
                <m:func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p'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p'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,…,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p'T</m:t>
                          </m:r>
                        </m:sub>
                      </m:sSub>
                    </m:e>
                  </m:d>
                </m:e>
              </m:func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Min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'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=</m:t>
              </m:r>
              <m:func>
                <m:func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min</m:t>
                  </m:r>
                </m:fName>
                <m:e>
                  <m:d>
                    <m:dPr>
                      <m:ctrl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p'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p'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,…,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p'T</m:t>
                          </m:r>
                        </m:sub>
                      </m:sSub>
                    </m:e>
                  </m:d>
                </m:e>
              </m:func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</w:p>
          <w:p w:rsidR="00455C85" w:rsidRDefault="00A03B32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We assumed that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Max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was larger than 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Max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'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,  and the dispersion was defined as follows:</w:t>
            </w:r>
          </w:p>
          <w:p w:rsidR="00455C85" w:rsidRDefault="0001280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D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pp'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</m:ctrlPr>
                    </m:eqArr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 xml:space="preserve">0                 if 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Max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≥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Max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p'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≥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Min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p'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≥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Min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</m:t>
                          </m:r>
                        </m:sub>
                      </m:sSub>
                    </m:e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Max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p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'-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Min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p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Max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p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Cs w:val="21"/>
                                </w:rPr>
                                <m:t>Min</m:t>
                              </m:r>
                            </m:e>
                            <m:sub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Cs w:val="21"/>
                                    </w:rPr>
                                    <m:t>p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Cs w:val="21"/>
                                    </w:rPr>
                                    <m:t>'</m:t>
                                  </m:r>
                                </m:sup>
                              </m:sSup>
                            </m:sub>
                          </m:sSub>
                        </m:den>
                      </m:f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 xml:space="preserve">     if 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Max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≥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Max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p'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≥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Min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≥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Min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'</m:t>
                          </m:r>
                        </m:sub>
                      </m:sSub>
                    </m:e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 xml:space="preserve">1                if 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Max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≥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Min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≥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Max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'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≥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Min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'</m:t>
                          </m:r>
                        </m:sub>
                      </m:sSub>
                    </m:e>
                  </m:eqArr>
                </m:e>
              </m:d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Cs w:val="21"/>
                </w:rPr>
                <m:t xml:space="preserve">     </m:t>
              </m:r>
            </m:oMath>
            <w:r w:rsidR="00A0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(6)</w:t>
            </w:r>
          </w:p>
        </w:tc>
      </w:tr>
    </w:tbl>
    <w:p w:rsidR="00455C85" w:rsidRDefault="00455C85">
      <w:pPr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280F" w:rsidRDefault="0001280F">
      <w:pPr>
        <w:jc w:val="left"/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</w:pPr>
      <w:bookmarkStart w:id="6" w:name="_GoBack"/>
      <w:bookmarkEnd w:id="6"/>
    </w:p>
    <w:p w:rsidR="0001280F" w:rsidRPr="00A03B32" w:rsidRDefault="0001280F" w:rsidP="0001280F">
      <w:pPr>
        <w:widowControl/>
        <w:spacing w:before="120" w:after="24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03B3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Supplementary material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A03B3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: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A03B32">
        <w:rPr>
          <w:rFonts w:ascii="Times New Roman" w:eastAsia="宋体" w:hAnsi="Times New Roman" w:cs="Times New Roman"/>
          <w:bCs/>
          <w:kern w:val="0"/>
          <w:sz w:val="24"/>
          <w:szCs w:val="24"/>
        </w:rPr>
        <w:t>The Rad-score Formula of Logistic Regression based on CE</w:t>
      </w:r>
      <w:r w:rsidRPr="00A03B32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1</w:t>
      </w:r>
      <w:r w:rsidRPr="00A03B3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</w:p>
    <w:p w:rsidR="0001280F" w:rsidRPr="00A03B32" w:rsidRDefault="0001280F" w:rsidP="0001280F">
      <w:pPr>
        <w:widowControl/>
        <w:spacing w:before="120" w:after="24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03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Rad-score1 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= 0.4252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＋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0.14261*X1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－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0.086037*X2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－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0.28119*X3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＋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0.092546*X4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＋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0.86661*X5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－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0.88947*X6</w:t>
      </w:r>
    </w:p>
    <w:p w:rsidR="0001280F" w:rsidRPr="00A03B32" w:rsidRDefault="0001280F" w:rsidP="0001280F">
      <w:pPr>
        <w:widowControl/>
        <w:spacing w:before="120" w:after="240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A03B3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Supplementary material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4</w:t>
      </w:r>
      <w:r w:rsidRPr="00A03B3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: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A03B3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The Rad-score Formula of liner SVM based on </w:t>
      </w:r>
      <w:proofErr w:type="spellStart"/>
      <w:r w:rsidRPr="00A03B32">
        <w:rPr>
          <w:rFonts w:ascii="Times New Roman" w:eastAsia="宋体" w:hAnsi="Times New Roman" w:cs="Times New Roman"/>
          <w:bCs/>
          <w:kern w:val="0"/>
          <w:sz w:val="24"/>
          <w:szCs w:val="24"/>
        </w:rPr>
        <w:t>CE</w:t>
      </w:r>
      <w:r w:rsidRPr="00A03B32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m</w:t>
      </w:r>
      <w:proofErr w:type="spellEnd"/>
      <w:r w:rsidRPr="00A03B3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</w:p>
    <w:p w:rsidR="0001280F" w:rsidRPr="00A03B32" w:rsidRDefault="0001280F" w:rsidP="0001280F">
      <w:pPr>
        <w:widowControl/>
        <w:spacing w:before="120" w:after="24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03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Rad-score2 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= 0.4252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＋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0.10267*Y1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－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0.16695*Y2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－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0.12109*Y3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－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0.14636*Y4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－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0.10759*Y5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＋</w:t>
      </w:r>
      <w:r w:rsidRPr="00A03B32">
        <w:rPr>
          <w:rFonts w:ascii="Times New Roman" w:eastAsia="宋体" w:hAnsi="Times New Roman" w:cs="Times New Roman"/>
          <w:kern w:val="0"/>
          <w:sz w:val="24"/>
          <w:szCs w:val="24"/>
        </w:rPr>
        <w:t>0.16895*Y6</w:t>
      </w:r>
    </w:p>
    <w:p w:rsidR="00455C85" w:rsidRPr="0001280F" w:rsidRDefault="00455C85">
      <w:pPr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5C85" w:rsidRDefault="00455C85">
      <w:pPr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5C85" w:rsidRDefault="00455C85">
      <w:pPr>
        <w:jc w:val="left"/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:rsidR="00455C85" w:rsidRDefault="00A03B3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material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0128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important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featues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derived from the CE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A03B32" w:rsidRDefault="00A03B32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"/>
        <w:tblW w:w="13977" w:type="dxa"/>
        <w:tblLayout w:type="fixed"/>
        <w:tblLook w:val="04A0" w:firstRow="1" w:lastRow="0" w:firstColumn="1" w:lastColumn="0" w:noHBand="0" w:noVBand="1"/>
      </w:tblPr>
      <w:tblGrid>
        <w:gridCol w:w="1134"/>
        <w:gridCol w:w="1384"/>
        <w:gridCol w:w="1559"/>
        <w:gridCol w:w="3261"/>
        <w:gridCol w:w="6639"/>
      </w:tblGrid>
      <w:tr w:rsidR="00455C85">
        <w:trPr>
          <w:trHeight w:val="283"/>
        </w:trPr>
        <w:tc>
          <w:tcPr>
            <w:tcW w:w="113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138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Image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155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Feature Type</w:t>
            </w:r>
          </w:p>
        </w:tc>
        <w:tc>
          <w:tcPr>
            <w:tcW w:w="326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Feature</w:t>
            </w:r>
          </w:p>
        </w:tc>
        <w:tc>
          <w:tcPr>
            <w:tcW w:w="663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Definition of the Feature</w:t>
            </w:r>
          </w:p>
        </w:tc>
      </w:tr>
      <w:tr w:rsidR="00455C85">
        <w:trPr>
          <w:trHeight w:val="283"/>
        </w:trPr>
        <w:tc>
          <w:tcPr>
            <w:tcW w:w="113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8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texture</w:t>
            </w:r>
            <w:proofErr w:type="spellEnd"/>
          </w:p>
        </w:tc>
        <w:tc>
          <w:tcPr>
            <w:tcW w:w="155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First Order</w:t>
            </w:r>
          </w:p>
        </w:tc>
        <w:tc>
          <w:tcPr>
            <w:tcW w:w="326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Range</w:t>
            </w:r>
          </w:p>
        </w:tc>
        <w:tc>
          <w:tcPr>
            <w:tcW w:w="663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The range of gray values in the ROI</w:t>
            </w:r>
          </w:p>
        </w:tc>
      </w:tr>
      <w:tr w:rsidR="00455C85">
        <w:trPr>
          <w:trHeight w:val="283"/>
        </w:trPr>
        <w:tc>
          <w:tcPr>
            <w:tcW w:w="113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texture</w:t>
            </w:r>
            <w:proofErr w:type="spellEnd"/>
          </w:p>
        </w:tc>
        <w:tc>
          <w:tcPr>
            <w:tcW w:w="155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First Order</w:t>
            </w:r>
          </w:p>
        </w:tc>
        <w:tc>
          <w:tcPr>
            <w:tcW w:w="326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Skewness</w:t>
            </w:r>
          </w:p>
        </w:tc>
        <w:tc>
          <w:tcPr>
            <w:tcW w:w="663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the asymmetry of the distribution of values about the Mean value</w:t>
            </w:r>
          </w:p>
        </w:tc>
      </w:tr>
      <w:tr w:rsidR="00455C85">
        <w:trPr>
          <w:trHeight w:val="283"/>
        </w:trPr>
        <w:tc>
          <w:tcPr>
            <w:tcW w:w="113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8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texture</w:t>
            </w:r>
            <w:proofErr w:type="spellEnd"/>
          </w:p>
        </w:tc>
        <w:tc>
          <w:tcPr>
            <w:tcW w:w="155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GLCM</w:t>
            </w:r>
          </w:p>
        </w:tc>
        <w:tc>
          <w:tcPr>
            <w:tcW w:w="326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Joint Entropy</w:t>
            </w:r>
          </w:p>
        </w:tc>
        <w:tc>
          <w:tcPr>
            <w:tcW w:w="663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a measure of the randomness/variability in neighborhood intensity values</w:t>
            </w:r>
          </w:p>
        </w:tc>
      </w:tr>
      <w:tr w:rsidR="00455C85">
        <w:trPr>
          <w:trHeight w:val="283"/>
        </w:trPr>
        <w:tc>
          <w:tcPr>
            <w:tcW w:w="113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8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texture</w:t>
            </w:r>
            <w:proofErr w:type="spellEnd"/>
          </w:p>
        </w:tc>
        <w:tc>
          <w:tcPr>
            <w:tcW w:w="155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GLSZM</w:t>
            </w:r>
          </w:p>
        </w:tc>
        <w:tc>
          <w:tcPr>
            <w:tcW w:w="326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Size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Zone Variance</w:t>
            </w:r>
          </w:p>
        </w:tc>
        <w:tc>
          <w:tcPr>
            <w:tcW w:w="663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measures the variance in zone size volumes for the zones</w:t>
            </w:r>
          </w:p>
        </w:tc>
      </w:tr>
      <w:tr w:rsidR="00455C85">
        <w:trPr>
          <w:trHeight w:val="283"/>
        </w:trPr>
        <w:tc>
          <w:tcPr>
            <w:tcW w:w="113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8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texture</w:t>
            </w:r>
            <w:proofErr w:type="spellEnd"/>
          </w:p>
        </w:tc>
        <w:tc>
          <w:tcPr>
            <w:tcW w:w="155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GLSZM</w:t>
            </w:r>
          </w:p>
        </w:tc>
        <w:tc>
          <w:tcPr>
            <w:tcW w:w="326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Large Area Emphasis</w:t>
            </w:r>
          </w:p>
        </w:tc>
        <w:tc>
          <w:tcPr>
            <w:tcW w:w="663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a measure of the distribution of large area size zones, with a greater value indicative of more larger size zones and more coarse textures</w:t>
            </w:r>
          </w:p>
        </w:tc>
      </w:tr>
      <w:tr w:rsidR="00455C85">
        <w:trPr>
          <w:trHeight w:val="283"/>
        </w:trPr>
        <w:tc>
          <w:tcPr>
            <w:tcW w:w="113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84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texture</w:t>
            </w:r>
            <w:proofErr w:type="spellEnd"/>
          </w:p>
        </w:tc>
        <w:tc>
          <w:tcPr>
            <w:tcW w:w="155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GLRL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326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Run Length Non-Uniformity</w:t>
            </w:r>
          </w:p>
        </w:tc>
        <w:tc>
          <w:tcPr>
            <w:tcW w:w="6639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measures the similarity of run lengths throughout the image, with a lower value indicating more homogeneity among run lengths in the image</w:t>
            </w:r>
          </w:p>
        </w:tc>
      </w:tr>
    </w:tbl>
    <w:p w:rsidR="00455C85" w:rsidRDefault="00455C85">
      <w:pPr>
        <w:widowControl/>
        <w:spacing w:before="120" w:after="24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455C85" w:rsidRDefault="00455C85">
      <w:pPr>
        <w:widowControl/>
        <w:spacing w:before="120" w:after="24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455C85" w:rsidRDefault="00455C85">
      <w:pPr>
        <w:widowControl/>
        <w:spacing w:before="120" w:after="24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455C85" w:rsidRDefault="00455C85">
      <w:pPr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:rsidR="00A03B32" w:rsidRDefault="00A03B32">
      <w:pPr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:rsidR="00455C85" w:rsidRDefault="00A03B3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material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0128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important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featues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derived from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03B32" w:rsidRDefault="00A03B3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"/>
        <w:tblW w:w="14709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2126"/>
        <w:gridCol w:w="2977"/>
        <w:gridCol w:w="7088"/>
      </w:tblGrid>
      <w:tr w:rsidR="00455C85">
        <w:trPr>
          <w:trHeight w:val="283"/>
        </w:trPr>
        <w:tc>
          <w:tcPr>
            <w:tcW w:w="110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141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Image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2126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Feature Type</w:t>
            </w:r>
          </w:p>
        </w:tc>
        <w:tc>
          <w:tcPr>
            <w:tcW w:w="297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Feature</w:t>
            </w:r>
          </w:p>
        </w:tc>
        <w:tc>
          <w:tcPr>
            <w:tcW w:w="7088" w:type="dxa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Definition of the Feature</w:t>
            </w:r>
          </w:p>
        </w:tc>
      </w:tr>
      <w:tr w:rsidR="00455C85">
        <w:trPr>
          <w:trHeight w:val="283"/>
        </w:trPr>
        <w:tc>
          <w:tcPr>
            <w:tcW w:w="110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Y1</w:t>
            </w:r>
          </w:p>
        </w:tc>
        <w:tc>
          <w:tcPr>
            <w:tcW w:w="141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sequential</w:t>
            </w:r>
            <w:proofErr w:type="spellEnd"/>
          </w:p>
        </w:tc>
        <w:tc>
          <w:tcPr>
            <w:tcW w:w="2126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Kurtosis_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firstorder</w:t>
            </w:r>
            <w:proofErr w:type="spellEnd"/>
          </w:p>
        </w:tc>
        <w:tc>
          <w:tcPr>
            <w:tcW w:w="2977" w:type="dxa"/>
            <w:vAlign w:val="center"/>
          </w:tcPr>
          <w:p w:rsidR="00455C85" w:rsidRDefault="00A03B3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Entropy</w:t>
            </w:r>
          </w:p>
        </w:tc>
        <w:tc>
          <w:tcPr>
            <w:tcW w:w="7088" w:type="dxa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specifies the uncertainty/randomness in the image values. It measures the average amount of information required to encode the image values</w:t>
            </w:r>
          </w:p>
        </w:tc>
      </w:tr>
      <w:tr w:rsidR="00455C85">
        <w:trPr>
          <w:trHeight w:val="283"/>
        </w:trPr>
        <w:tc>
          <w:tcPr>
            <w:tcW w:w="110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Y2</w:t>
            </w:r>
          </w:p>
        </w:tc>
        <w:tc>
          <w:tcPr>
            <w:tcW w:w="141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sequential</w:t>
            </w:r>
            <w:proofErr w:type="spellEnd"/>
          </w:p>
        </w:tc>
        <w:tc>
          <w:tcPr>
            <w:tcW w:w="2126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Entropy_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firstorder</w:t>
            </w:r>
            <w:proofErr w:type="spellEnd"/>
          </w:p>
        </w:tc>
        <w:tc>
          <w:tcPr>
            <w:tcW w:w="297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90percentile</w:t>
            </w:r>
          </w:p>
        </w:tc>
        <w:tc>
          <w:tcPr>
            <w:tcW w:w="7088" w:type="dxa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refers to the 90th percentile voxel value in ROI</w:t>
            </w:r>
          </w:p>
        </w:tc>
      </w:tr>
      <w:tr w:rsidR="00455C85">
        <w:trPr>
          <w:trHeight w:val="283"/>
        </w:trPr>
        <w:tc>
          <w:tcPr>
            <w:tcW w:w="110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Y3</w:t>
            </w:r>
          </w:p>
        </w:tc>
        <w:tc>
          <w:tcPr>
            <w:tcW w:w="141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sequential</w:t>
            </w:r>
            <w:proofErr w:type="spellEnd"/>
          </w:p>
        </w:tc>
        <w:tc>
          <w:tcPr>
            <w:tcW w:w="2126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Kurtosis_ GLDM</w:t>
            </w:r>
          </w:p>
        </w:tc>
        <w:tc>
          <w:tcPr>
            <w:tcW w:w="297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Small Dependence Low Gray Level Emphasis</w:t>
            </w:r>
          </w:p>
        </w:tc>
        <w:tc>
          <w:tcPr>
            <w:tcW w:w="7088" w:type="dxa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Measures the joint distribution of small dependence with lower gray-level values</w:t>
            </w:r>
          </w:p>
        </w:tc>
      </w:tr>
      <w:tr w:rsidR="00455C85">
        <w:trPr>
          <w:trHeight w:val="283"/>
        </w:trPr>
        <w:tc>
          <w:tcPr>
            <w:tcW w:w="110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Y4</w:t>
            </w:r>
          </w:p>
        </w:tc>
        <w:tc>
          <w:tcPr>
            <w:tcW w:w="141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sequential</w:t>
            </w:r>
            <w:proofErr w:type="spellEnd"/>
          </w:p>
        </w:tc>
        <w:tc>
          <w:tcPr>
            <w:tcW w:w="2126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Entropy_ GLCM</w:t>
            </w:r>
          </w:p>
        </w:tc>
        <w:tc>
          <w:tcPr>
            <w:tcW w:w="297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7" w:name="OLE_LINK5"/>
            <w:bookmarkStart w:id="8" w:name="OLE_LINK6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Cluster Prominenc</w:t>
            </w:r>
            <w:bookmarkEnd w:id="7"/>
            <w:bookmarkEnd w:id="8"/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</w:t>
            </w:r>
          </w:p>
        </w:tc>
        <w:tc>
          <w:tcPr>
            <w:tcW w:w="7088" w:type="dxa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a measure of the skewness and asymmetry of the GLCM</w:t>
            </w:r>
          </w:p>
        </w:tc>
      </w:tr>
      <w:tr w:rsidR="00455C85">
        <w:trPr>
          <w:trHeight w:val="283"/>
        </w:trPr>
        <w:tc>
          <w:tcPr>
            <w:tcW w:w="110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Y5</w:t>
            </w:r>
          </w:p>
        </w:tc>
        <w:tc>
          <w:tcPr>
            <w:tcW w:w="141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sequential</w:t>
            </w:r>
            <w:proofErr w:type="spellEnd"/>
          </w:p>
        </w:tc>
        <w:tc>
          <w:tcPr>
            <w:tcW w:w="2126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Dispersion_GLCM</w:t>
            </w:r>
            <w:proofErr w:type="spellEnd"/>
          </w:p>
        </w:tc>
        <w:tc>
          <w:tcPr>
            <w:tcW w:w="297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Inverse Difference Moment</w:t>
            </w:r>
          </w:p>
        </w:tc>
        <w:tc>
          <w:tcPr>
            <w:tcW w:w="7088" w:type="dxa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a measure of the local homogeneity of an image</w:t>
            </w:r>
          </w:p>
        </w:tc>
      </w:tr>
      <w:tr w:rsidR="00455C85">
        <w:trPr>
          <w:trHeight w:val="283"/>
        </w:trPr>
        <w:tc>
          <w:tcPr>
            <w:tcW w:w="1101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Y6</w:t>
            </w:r>
          </w:p>
        </w:tc>
        <w:tc>
          <w:tcPr>
            <w:tcW w:w="1417" w:type="dxa"/>
            <w:vAlign w:val="center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sequential</w:t>
            </w:r>
            <w:proofErr w:type="spellEnd"/>
          </w:p>
        </w:tc>
        <w:tc>
          <w:tcPr>
            <w:tcW w:w="2126" w:type="dxa"/>
            <w:vAlign w:val="center"/>
          </w:tcPr>
          <w:p w:rsidR="00455C85" w:rsidRDefault="00A03B3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St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ability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_GLRLM</w:t>
            </w:r>
            <w:proofErr w:type="spellEnd"/>
          </w:p>
        </w:tc>
        <w:tc>
          <w:tcPr>
            <w:tcW w:w="2977" w:type="dxa"/>
            <w:vAlign w:val="center"/>
          </w:tcPr>
          <w:p w:rsidR="00455C85" w:rsidRDefault="00A03B3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Gray Level Non-Uniformity Normalized</w:t>
            </w:r>
          </w:p>
        </w:tc>
        <w:tc>
          <w:tcPr>
            <w:tcW w:w="7088" w:type="dxa"/>
          </w:tcPr>
          <w:p w:rsidR="00455C85" w:rsidRDefault="00A03B32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404040"/>
                <w:szCs w:val="21"/>
                <w:shd w:val="clear" w:color="auto" w:fill="FCFCFC"/>
              </w:rPr>
              <w:t>measures the similarity of gray-level intensity values in the image, where a lower GLNN value correlates with a greater similarity in intensity values</w:t>
            </w:r>
          </w:p>
        </w:tc>
      </w:tr>
    </w:tbl>
    <w:p w:rsidR="00455C85" w:rsidRDefault="00455C85">
      <w:pPr>
        <w:widowControl/>
        <w:spacing w:before="120" w:after="240"/>
        <w:jc w:val="left"/>
        <w:rPr>
          <w:rFonts w:ascii="Times New Roman" w:eastAsia="宋体" w:hAnsi="Times New Roman" w:cs="Times New Roman"/>
          <w:b/>
          <w:bCs/>
          <w:color w:val="FF0000"/>
          <w:kern w:val="0"/>
          <w:sz w:val="28"/>
          <w:szCs w:val="28"/>
        </w:rPr>
      </w:pPr>
    </w:p>
    <w:sectPr w:rsidR="00455C8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SC Light">
    <w:altName w:val="微软雅黑"/>
    <w:charset w:val="50"/>
    <w:family w:val="auto"/>
    <w:pitch w:val="default"/>
    <w:sig w:usb0="00000000" w:usb1="00000000" w:usb2="00000010" w:usb3="00000000" w:csb0="003E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D24B2"/>
    <w:multiLevelType w:val="multilevel"/>
    <w:tmpl w:val="2DDD24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ne_stylename" w:val="ER1 New"/>
  </w:docVars>
  <w:rsids>
    <w:rsidRoot w:val="000E4097"/>
    <w:rsid w:val="00011229"/>
    <w:rsid w:val="0001280F"/>
    <w:rsid w:val="00027142"/>
    <w:rsid w:val="0003684A"/>
    <w:rsid w:val="000B7B14"/>
    <w:rsid w:val="000E4097"/>
    <w:rsid w:val="00112070"/>
    <w:rsid w:val="001148A8"/>
    <w:rsid w:val="0012070F"/>
    <w:rsid w:val="001236E9"/>
    <w:rsid w:val="00136E21"/>
    <w:rsid w:val="00155363"/>
    <w:rsid w:val="00157808"/>
    <w:rsid w:val="00166B76"/>
    <w:rsid w:val="001A3960"/>
    <w:rsid w:val="00210B2E"/>
    <w:rsid w:val="00242BB4"/>
    <w:rsid w:val="00291AAC"/>
    <w:rsid w:val="002B22DE"/>
    <w:rsid w:val="002D0ED1"/>
    <w:rsid w:val="002E7F90"/>
    <w:rsid w:val="00392158"/>
    <w:rsid w:val="003D5C31"/>
    <w:rsid w:val="003E574A"/>
    <w:rsid w:val="003F0897"/>
    <w:rsid w:val="003F3104"/>
    <w:rsid w:val="00411291"/>
    <w:rsid w:val="004540F0"/>
    <w:rsid w:val="00455C85"/>
    <w:rsid w:val="00474EBF"/>
    <w:rsid w:val="00497912"/>
    <w:rsid w:val="004E1B86"/>
    <w:rsid w:val="005366B7"/>
    <w:rsid w:val="00570BDB"/>
    <w:rsid w:val="005B446C"/>
    <w:rsid w:val="005C411A"/>
    <w:rsid w:val="005D3B92"/>
    <w:rsid w:val="005E2DED"/>
    <w:rsid w:val="005E6E90"/>
    <w:rsid w:val="00602DC5"/>
    <w:rsid w:val="006363B2"/>
    <w:rsid w:val="00644D38"/>
    <w:rsid w:val="006464D5"/>
    <w:rsid w:val="006674DC"/>
    <w:rsid w:val="00672240"/>
    <w:rsid w:val="00681235"/>
    <w:rsid w:val="00694057"/>
    <w:rsid w:val="006960CB"/>
    <w:rsid w:val="00697AAB"/>
    <w:rsid w:val="006B066D"/>
    <w:rsid w:val="006B5E57"/>
    <w:rsid w:val="006B6C10"/>
    <w:rsid w:val="006E69D8"/>
    <w:rsid w:val="00700D1B"/>
    <w:rsid w:val="007177CC"/>
    <w:rsid w:val="00725BB9"/>
    <w:rsid w:val="007266C2"/>
    <w:rsid w:val="00731CA4"/>
    <w:rsid w:val="007473E8"/>
    <w:rsid w:val="007520BD"/>
    <w:rsid w:val="00776369"/>
    <w:rsid w:val="007A1661"/>
    <w:rsid w:val="007B2313"/>
    <w:rsid w:val="007D3973"/>
    <w:rsid w:val="00832527"/>
    <w:rsid w:val="008347C4"/>
    <w:rsid w:val="008743B4"/>
    <w:rsid w:val="008A6666"/>
    <w:rsid w:val="008C3769"/>
    <w:rsid w:val="008E52AD"/>
    <w:rsid w:val="00941989"/>
    <w:rsid w:val="00956913"/>
    <w:rsid w:val="00986221"/>
    <w:rsid w:val="009B1554"/>
    <w:rsid w:val="009B19AE"/>
    <w:rsid w:val="009B57F3"/>
    <w:rsid w:val="009E72C5"/>
    <w:rsid w:val="009E7955"/>
    <w:rsid w:val="00A03B32"/>
    <w:rsid w:val="00A2776E"/>
    <w:rsid w:val="00A528B5"/>
    <w:rsid w:val="00A7342D"/>
    <w:rsid w:val="00A96332"/>
    <w:rsid w:val="00AB1ACD"/>
    <w:rsid w:val="00AF61CB"/>
    <w:rsid w:val="00B118AA"/>
    <w:rsid w:val="00B655EF"/>
    <w:rsid w:val="00B94FD0"/>
    <w:rsid w:val="00BA34D5"/>
    <w:rsid w:val="00BC3CA0"/>
    <w:rsid w:val="00BE7129"/>
    <w:rsid w:val="00C0204F"/>
    <w:rsid w:val="00C05063"/>
    <w:rsid w:val="00C62FD0"/>
    <w:rsid w:val="00C85EB2"/>
    <w:rsid w:val="00CC1415"/>
    <w:rsid w:val="00CF2D95"/>
    <w:rsid w:val="00CF4134"/>
    <w:rsid w:val="00D15AA0"/>
    <w:rsid w:val="00D15DB6"/>
    <w:rsid w:val="00D91AB7"/>
    <w:rsid w:val="00DC15B9"/>
    <w:rsid w:val="00DD3D59"/>
    <w:rsid w:val="00DD4C83"/>
    <w:rsid w:val="00E02F84"/>
    <w:rsid w:val="00E03259"/>
    <w:rsid w:val="00E03962"/>
    <w:rsid w:val="00EA68E8"/>
    <w:rsid w:val="00EB69B9"/>
    <w:rsid w:val="00EE041D"/>
    <w:rsid w:val="00EE401E"/>
    <w:rsid w:val="00F128C2"/>
    <w:rsid w:val="00F1308E"/>
    <w:rsid w:val="00F32D0A"/>
    <w:rsid w:val="00F703D6"/>
    <w:rsid w:val="00F862A3"/>
    <w:rsid w:val="00FB17A9"/>
    <w:rsid w:val="00FC2576"/>
    <w:rsid w:val="00FC6B1E"/>
    <w:rsid w:val="00FD3B8F"/>
    <w:rsid w:val="01732014"/>
    <w:rsid w:val="024235F4"/>
    <w:rsid w:val="0572266E"/>
    <w:rsid w:val="05D41503"/>
    <w:rsid w:val="09837BBD"/>
    <w:rsid w:val="0A62764C"/>
    <w:rsid w:val="0BA253E0"/>
    <w:rsid w:val="104B6BBE"/>
    <w:rsid w:val="11EC7D79"/>
    <w:rsid w:val="17F54BCA"/>
    <w:rsid w:val="182E4AB5"/>
    <w:rsid w:val="1B442C7E"/>
    <w:rsid w:val="1CBB233D"/>
    <w:rsid w:val="1DA445AF"/>
    <w:rsid w:val="21BA453F"/>
    <w:rsid w:val="21FF7EB7"/>
    <w:rsid w:val="2ED3494B"/>
    <w:rsid w:val="2FCA0273"/>
    <w:rsid w:val="361E439C"/>
    <w:rsid w:val="388713C7"/>
    <w:rsid w:val="395E1BA2"/>
    <w:rsid w:val="3C2C0E1B"/>
    <w:rsid w:val="3D534FF0"/>
    <w:rsid w:val="420C7663"/>
    <w:rsid w:val="51032FA4"/>
    <w:rsid w:val="519A4D58"/>
    <w:rsid w:val="535B075F"/>
    <w:rsid w:val="5418136C"/>
    <w:rsid w:val="5F780A10"/>
    <w:rsid w:val="5FAE4E30"/>
    <w:rsid w:val="643171B7"/>
    <w:rsid w:val="654D0D09"/>
    <w:rsid w:val="67C62995"/>
    <w:rsid w:val="69502AEF"/>
    <w:rsid w:val="6A573BC7"/>
    <w:rsid w:val="6B7773BA"/>
    <w:rsid w:val="6F2A700B"/>
    <w:rsid w:val="6F8C6F4A"/>
    <w:rsid w:val="72792357"/>
    <w:rsid w:val="728678CA"/>
    <w:rsid w:val="74DF5E3F"/>
    <w:rsid w:val="76A63C39"/>
    <w:rsid w:val="7A9D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E296C7"/>
  <w15:docId w15:val="{B556229A-12D6-447D-9160-3FC791FA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b">
    <w:name w:val="Hyperlink"/>
    <w:basedOn w:val="a0"/>
    <w:uiPriority w:val="99"/>
    <w:semiHidden/>
    <w:unhideWhenUsed/>
    <w:qFormat/>
    <w:rPr>
      <w:color w:val="0033DD"/>
      <w:u w:val="none"/>
    </w:rPr>
  </w:style>
  <w:style w:type="character" w:styleId="HTML">
    <w:name w:val="HTML Code"/>
    <w:basedOn w:val="a0"/>
    <w:uiPriority w:val="99"/>
    <w:semiHidden/>
    <w:unhideWhenUsed/>
    <w:qFormat/>
    <w:rPr>
      <w:rFonts w:ascii="Consolas" w:eastAsia="Consolas" w:hAnsi="Consolas" w:cs="Consolas"/>
      <w:color w:val="333333"/>
      <w:sz w:val="20"/>
      <w:szCs w:val="20"/>
      <w:shd w:val="clear" w:color="auto" w:fill="F7F7F7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Heiti SC Light" w:eastAsia="Heiti SC Light"/>
      <w:sz w:val="18"/>
      <w:szCs w:val="18"/>
    </w:rPr>
  </w:style>
  <w:style w:type="character" w:customStyle="1" w:styleId="ss">
    <w:name w:val="ss"/>
    <w:basedOn w:val="a0"/>
    <w:qFormat/>
    <w:rPr>
      <w:color w:val="BB6688"/>
    </w:rPr>
  </w:style>
  <w:style w:type="character" w:customStyle="1" w:styleId="st">
    <w:name w:val="st"/>
    <w:basedOn w:val="a0"/>
    <w:qFormat/>
    <w:rPr>
      <w:color w:val="4070A0"/>
    </w:rPr>
  </w:style>
  <w:style w:type="character" w:customStyle="1" w:styleId="er">
    <w:name w:val="er"/>
    <w:basedOn w:val="a0"/>
    <w:qFormat/>
    <w:rPr>
      <w:b/>
      <w:color w:val="FF0000"/>
    </w:rPr>
  </w:style>
  <w:style w:type="character" w:customStyle="1" w:styleId="ot">
    <w:name w:val="ot"/>
    <w:basedOn w:val="a0"/>
    <w:qFormat/>
    <w:rPr>
      <w:color w:val="007020"/>
    </w:rPr>
  </w:style>
  <w:style w:type="character" w:customStyle="1" w:styleId="pp">
    <w:name w:val="pp"/>
    <w:basedOn w:val="a0"/>
    <w:qFormat/>
    <w:rPr>
      <w:color w:val="BC7A00"/>
    </w:rPr>
  </w:style>
  <w:style w:type="character" w:customStyle="1" w:styleId="vs">
    <w:name w:val="vs"/>
    <w:basedOn w:val="a0"/>
    <w:qFormat/>
    <w:rPr>
      <w:color w:val="4070A0"/>
    </w:rPr>
  </w:style>
  <w:style w:type="character" w:customStyle="1" w:styleId="al">
    <w:name w:val="al"/>
    <w:basedOn w:val="a0"/>
    <w:qFormat/>
    <w:rPr>
      <w:b/>
      <w:color w:val="FF0000"/>
    </w:rPr>
  </w:style>
  <w:style w:type="character" w:customStyle="1" w:styleId="kw">
    <w:name w:val="kw"/>
    <w:basedOn w:val="a0"/>
    <w:qFormat/>
    <w:rPr>
      <w:b/>
      <w:color w:val="007020"/>
    </w:rPr>
  </w:style>
  <w:style w:type="character" w:customStyle="1" w:styleId="ch">
    <w:name w:val="ch"/>
    <w:basedOn w:val="a0"/>
    <w:qFormat/>
    <w:rPr>
      <w:color w:val="4070A0"/>
    </w:rPr>
  </w:style>
  <w:style w:type="character" w:customStyle="1" w:styleId="cf">
    <w:name w:val="cf"/>
    <w:basedOn w:val="a0"/>
    <w:qFormat/>
    <w:rPr>
      <w:b/>
      <w:color w:val="007020"/>
    </w:rPr>
  </w:style>
  <w:style w:type="character" w:customStyle="1" w:styleId="at">
    <w:name w:val="at"/>
    <w:basedOn w:val="a0"/>
    <w:qFormat/>
    <w:rPr>
      <w:color w:val="7D9029"/>
    </w:rPr>
  </w:style>
  <w:style w:type="character" w:customStyle="1" w:styleId="an">
    <w:name w:val="an"/>
    <w:basedOn w:val="a0"/>
    <w:qFormat/>
    <w:rPr>
      <w:b/>
      <w:i/>
      <w:color w:val="60A0B0"/>
    </w:rPr>
  </w:style>
  <w:style w:type="character" w:customStyle="1" w:styleId="bn">
    <w:name w:val="bn"/>
    <w:basedOn w:val="a0"/>
    <w:qFormat/>
    <w:rPr>
      <w:color w:val="40A070"/>
    </w:rPr>
  </w:style>
  <w:style w:type="character" w:customStyle="1" w:styleId="va">
    <w:name w:val="va"/>
    <w:basedOn w:val="a0"/>
    <w:qFormat/>
    <w:rPr>
      <w:color w:val="19177C"/>
    </w:rPr>
  </w:style>
  <w:style w:type="character" w:customStyle="1" w:styleId="co">
    <w:name w:val="co"/>
    <w:basedOn w:val="a0"/>
    <w:qFormat/>
    <w:rPr>
      <w:i/>
      <w:color w:val="60A0B0"/>
    </w:rPr>
  </w:style>
  <w:style w:type="character" w:customStyle="1" w:styleId="cn">
    <w:name w:val="cn"/>
    <w:basedOn w:val="a0"/>
    <w:qFormat/>
    <w:rPr>
      <w:color w:val="880000"/>
    </w:rPr>
  </w:style>
  <w:style w:type="character" w:customStyle="1" w:styleId="cv">
    <w:name w:val="cv"/>
    <w:basedOn w:val="a0"/>
    <w:rPr>
      <w:b/>
      <w:i/>
      <w:color w:val="60A0B0"/>
    </w:rPr>
  </w:style>
  <w:style w:type="character" w:customStyle="1" w:styleId="do">
    <w:name w:val="do"/>
    <w:basedOn w:val="a0"/>
    <w:rPr>
      <w:i/>
      <w:color w:val="BA2121"/>
    </w:rPr>
  </w:style>
  <w:style w:type="character" w:customStyle="1" w:styleId="dt">
    <w:name w:val="dt"/>
    <w:basedOn w:val="a0"/>
    <w:qFormat/>
    <w:rPr>
      <w:color w:val="902000"/>
    </w:rPr>
  </w:style>
  <w:style w:type="character" w:customStyle="1" w:styleId="dv">
    <w:name w:val="dv"/>
    <w:basedOn w:val="a0"/>
    <w:qFormat/>
    <w:rPr>
      <w:color w:val="40A070"/>
    </w:rPr>
  </w:style>
  <w:style w:type="character" w:customStyle="1" w:styleId="fl">
    <w:name w:val="fl"/>
    <w:basedOn w:val="a0"/>
    <w:qFormat/>
    <w:rPr>
      <w:color w:val="40A070"/>
    </w:rPr>
  </w:style>
  <w:style w:type="character" w:customStyle="1" w:styleId="fu">
    <w:name w:val="fu"/>
    <w:basedOn w:val="a0"/>
    <w:qFormat/>
    <w:rPr>
      <w:color w:val="06287E"/>
    </w:rPr>
  </w:style>
  <w:style w:type="character" w:customStyle="1" w:styleId="in">
    <w:name w:val="in"/>
    <w:basedOn w:val="a0"/>
    <w:qFormat/>
    <w:rPr>
      <w:b/>
      <w:i/>
      <w:color w:val="60A0B0"/>
    </w:rPr>
  </w:style>
  <w:style w:type="character" w:customStyle="1" w:styleId="op">
    <w:name w:val="op"/>
    <w:basedOn w:val="a0"/>
    <w:qFormat/>
    <w:rPr>
      <w:color w:val="666666"/>
    </w:rPr>
  </w:style>
  <w:style w:type="character" w:customStyle="1" w:styleId="sc">
    <w:name w:val="sc"/>
    <w:basedOn w:val="a0"/>
    <w:qFormat/>
    <w:rPr>
      <w:color w:val="4070A0"/>
    </w:rPr>
  </w:style>
  <w:style w:type="character" w:customStyle="1" w:styleId="wa">
    <w:name w:val="wa"/>
    <w:basedOn w:val="a0"/>
    <w:rPr>
      <w:b/>
      <w:i/>
      <w:color w:val="60A0B0"/>
    </w:rPr>
  </w:style>
  <w:style w:type="table" w:customStyle="1" w:styleId="1">
    <w:name w:val="网格型1"/>
    <w:basedOn w:val="a1"/>
    <w:uiPriority w:val="99"/>
    <w:unhideWhenUsed/>
    <w:rPr>
      <w:rFonts w:ascii="Cambria" w:eastAsia="Times New Roman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6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9F366D-E1CC-49E7-B567-EA06EE92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dc:description>NE.Rep</dc:description>
  <cp:lastModifiedBy>Administrator</cp:lastModifiedBy>
  <cp:revision>63</cp:revision>
  <dcterms:created xsi:type="dcterms:W3CDTF">2019-09-22T13:28:00Z</dcterms:created>
  <dcterms:modified xsi:type="dcterms:W3CDTF">2020-07-17T14:06:00Z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