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Supplementary Materials</w:t>
      </w:r>
    </w:p>
    <w:p>
      <w:pPr>
        <w:spacing w:after="20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For the manuscript: "The Affordable Intervention Cost Ceiling: a burden-derived economic framework for cardiovascular–kidney–metabolic prevention in China, Japan, and South Korea."</w:t>
      </w:r>
    </w:p>
    <w:p>
      <w:pPr>
        <w:spacing w:after="8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Contents: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S1. GBD 2023 CKM-related DALYs by country and disease category (central estimates and 95% UIs).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S2. Single-risk PAFs and two alternative joint-PAF methods (multiplicative and max-single), per country × cause.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S3. Monte Carlo simulation parameters (10,000 iterations, seed 20260201).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S4. Break-even effectiveness calculation per drug × country.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S5. Drug price concordance — original sources, access dates, product codes, currency conversions.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S6. CKM stage prevalence and hazard ratios — primary-source data from the three cohort studies cited.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S7. DALY valuation anchors — supply-side opportunity cost, 1× GDP per capita, and Ochalek et al. estimates.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Table S8. Sensitivity analysis: All-ages versus 30+ denominator (approximate).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Figure S1. Analytical flow — from GBD burden inputs to country-specific AICCs.</w:t>
      </w:r>
    </w:p>
    <w:p>
      <w:pPr>
        <w:spacing w:after="20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Supplementary Figure S2. Tornado diagram — parameter sensitivity for the Chinese AICC.</w:t>
      </w:r>
    </w:p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S1. GBD 2023 CKM-related DALYs by country and disease category (All ages, 2023)</w:t>
      </w:r>
    </w:p>
    <w:p>
      <w:pPr>
        <w:spacing w:after="16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All values are central estimates, both sexes combined (Male + Female summed). 95% UIs shown are sum-of-sex bounds. CKM disease categories per AHA 2023 CKM Presidential Advisory. Values directly extracted from the GBD 2023 "Number" metric for "DALYs (Disability-Adjusted Life Years)".</w:t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1400"/>
        <w:gridCol w:w="1400"/>
        <w:gridCol w:w="1400"/>
      </w:tblGrid>
      <w:tr>
        <w:trPr>
          <w:tblHeader/>
        </w:trP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CKM disease category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DALYs (millions)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95% UI low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95% UI high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Ischaemic heart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36.88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31.14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42.51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Stroke (ischaemic + haemorrhagic)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42.69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36.13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48.81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Type 2 diabetes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10.92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8.03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13.93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Chronic kidney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5.09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4.16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6.06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Hypertensive heart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5.00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3.19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6.62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China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Subtotal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100.58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82.65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117.94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Ischaemic heart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2.21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1.87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2.50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Stroke (ischaemic + haemorrhagic)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2.54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2.10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2.86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Type 2 diabetes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1.37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1.01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1.80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Chronic kidney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1.03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0.84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1.19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Hypertensive heart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0.23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0.17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0.28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Japan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Subtotal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7.38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5.98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8.63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Ischaemic heart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0.49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0.40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0.57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Stroke (ischaemic + haemorrhagic)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0.65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0.54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0.74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Type 2 diabetes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0.43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0.75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Chronic kidney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0.25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0.31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Hypertensive heart disease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0.08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0.05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0.13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Subtotal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2.04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1.61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2.49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Three-country total</w:t>
            </w:r>
          </w:p>
        </w:tc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110.00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90.24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129.06</w:t>
            </w:r>
          </w:p>
        </w:tc>
      </w:tr>
    </w:tbl>
    <w:p>
      <w:pPr>
        <w:spacing w:after="24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Data source: GBD 2023, Institute for Health Metrics and Evaluation (https://ghdx.healthdata.org). Extracted from files IHME-GBD_2023_DATA-a94a6759 (China+Japan) and IHME-GBD_2023_DATA-c36d9034 (Rep. of Korea), accessed by the corresponding author. Totals may not sum exactly due to rounding.</w:t>
      </w:r>
    </w:p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S2. Single-risk PAFs and joint-PAF methods by country × cause</w:t>
      </w:r>
    </w:p>
    <w:p>
      <w:pPr>
        <w:spacing w:after="16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Single-risk PAFs are from the GBD 2023 "Percent" metric for DALYs (All ages, sex-combined via attributable-number weighting). Multiplicative joint PAF = 1 − ∏(1 − PAF_k). Max single-risk PAF = max_k(PAF_k), reported as a conservative lower bound. "—" indicates the risk-factor is not attributed to that cause in GBD.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000"/>
        <w:gridCol w:w="1000"/>
        <w:gridCol w:w="1000"/>
        <w:gridCol w:w="1000"/>
        <w:gridCol w:w="1000"/>
        <w:gridCol w:w="1100"/>
        <w:gridCol w:w="900"/>
      </w:tblGrid>
      <w:tr>
        <w:trPr>
          <w:tblHeader/>
        </w:trP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Cause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SBP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FPG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BMI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LDL-C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KidneyDys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Joint mult.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Joint max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IHD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0.533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0.132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0.079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0.342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0.123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0.784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0.533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Stroke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0.600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0.102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0.027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0.132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0.090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0.724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0.600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T2D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0.484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CKD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0.215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0.350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0.149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HHD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0.353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IHD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0.532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0.142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0.070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0.326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0.190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0.796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0.532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Stroke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0.570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0.134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0.021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0.156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0.103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0.724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0.570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T2D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0.430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CKD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0.304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0.428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0.207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HHD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0.315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IHD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0.406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0.144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0.081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0.315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0.128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0.721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0.406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Stroke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0.462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0.113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0.027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0.149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0.075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0.634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0.462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T2D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0.463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CKD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0.186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0.370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0.158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  <w:tr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HHD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0.345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—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1.000</w:t>
            </w:r>
          </w:p>
        </w:tc>
      </w:tr>
    </w:tbl>
    <w:p>
      <w:pPr>
        <w:spacing w:after="240" w:before="0" w:line="300"/>
        <w:jc w:val="left"/>
      </w:pPr>
      <w:r>
        <w:rPr>
          <w:rFonts w:ascii="Arial" w:cs="Arial" w:eastAsia="Arial" w:hAnsi="Arial"/>
          <w:sz w:val="17"/>
          <w:szCs w:val="17"/>
        </w:rPr>
        <w:t xml:space="preserve">Country-level joint PAFs applied to each cause, then weighted by cause DALY share, give country-level attributable burden shares: China 80.4% (mult) / 65.9% (max); Japan 84.4% / 71.2%; Rep. of Korea 81.7% / 68.7%. For CKD, T2D, and HHD, joint PAF reaches 1.000 under both methods because at least one single risk factor (Kidney dysfunction for CKD; FPG for T2D; SBP for HHD) has PAF = 1.000 in GBD — reflecting definitional closure.</w:t>
      </w:r>
    </w:p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S3. Monte Carlo simulation parameters</w:t>
      </w:r>
    </w:p>
    <w:p>
      <w:pPr>
        <w:spacing w:after="16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10,000 iterations, seed 20260201. Python 3.11 / NumPy 1.26.</w:t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1600"/>
        <w:gridCol w:w="2000"/>
        <w:gridCol w:w="2000"/>
      </w:tblGrid>
      <w:tr>
        <w:trPr>
          <w:tblHeader/>
        </w:trP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Parameter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Distribution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Central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95% range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Attributable DALY, China (mult)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Normal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80.8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66.4–92.9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GBD 2023 UI × joint PAF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Attributable DALY, Japan (mult)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Normal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6.2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5.05–7.28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GBD 2023 UI × joint PAF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Attributable DALY, Korea (mult)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Normal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1.67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1.31–2.04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GBD 2023 UI × joint PAF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DALY valuation, China (supply)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Triangular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$6,390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$4,500–$8,150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Ochalek 2018 + Herrera-Araujo 2020 correction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DALY valuation, Japan (supply)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Triangular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$26,280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$22,000–$31,000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Shiroiwa 2013 WTP → 2023 USD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DALY valuation, Korea (supply)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Triangular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$21,460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$18,000–$25,300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Bae 2018 Model 3 → 2023 USD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Antihypertensive real-world RRR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Normal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0.138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0.110–0.165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Ettehad 2016 × Naderi 2012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Statin real-world RRR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Normal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0.121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0.099–0.143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CTT 2010 × Naderi 2012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SGLT2i real-world RRR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Normal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0.121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0.088–0.154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SMART-C pooled × adherence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Population, China (All ages)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Fixed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1,430.6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—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GBD 2023 age-structure sum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Population, Japan (All ages)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Fixed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124.7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—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GBD 2023 age-structure sum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Population, Korea (All ages)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Fixed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51.7 M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—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GBD 2023 age-structure sum</w:t>
            </w:r>
          </w:p>
        </w:tc>
      </w:tr>
      <w:tr>
        <w:tc>
          <w:tcPr>
            <w:tcW w:type="dxa" w:w="2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Discount rate (10-year)</w:t>
            </w:r>
          </w:p>
        </w:tc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Fixed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3%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—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WHO-CHOICE convention</w:t>
            </w:r>
          </w:p>
        </w:tc>
      </w:tr>
    </w:tbl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S4. Break-even effectiveness per drug × country</w:t>
      </w:r>
    </w:p>
    <w:p>
      <w:pPr>
        <w:spacing w:after="16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Break-even effectiveness η* = (annual price × population) / (class-level attributable DALY × DALY value). Status: PASS = η* &lt; real-world effectiveness; CONCERN = η* ≥ real-world effectiveness. All monetary values in 2023 USD.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100"/>
        <w:gridCol w:w="1200"/>
        <w:gridCol w:w="1000"/>
        <w:gridCol w:w="1100"/>
        <w:gridCol w:w="900"/>
        <w:gridCol w:w="1100"/>
      </w:tblGrid>
      <w:tr>
        <w:trPr>
          <w:tblHeader/>
        </w:trP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Drug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Class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Price $/yr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AICC $/yr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η* (%)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η used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Amlodipine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Anti-HTN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3.61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361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2.0%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13.8%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PASS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Atorvastatin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Statin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9.79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361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12.0%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PASS (razor)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 pre-VBP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SGLT2i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224.77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361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110%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 post-VBP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SGLT2i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14.43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361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7.0%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Amlodipine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Anti-HTN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28.06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1,313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4.6%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13.8%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PASS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Atorvastatin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Statin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28.97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1,313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3.9%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 (razor)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 branded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SGLT2i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365.26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1,313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48.7%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 gen T2DM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SGLT2i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187.05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1,313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51.0%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Amlodipine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Anti-HTN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52.54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691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21.0%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13.8%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F3E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Atorvastatin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Statin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186.97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691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180.1%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 (severe)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Rep.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Dapagliflozin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SGLT2i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109.84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691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59.8%</w:t>
            </w:r>
          </w:p>
        </w:tc>
        <w:tc>
          <w:tcPr>
            <w:tcW w:type="dxa" w:w="9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12.1%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FFEB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CONCERN</w:t>
            </w:r>
          </w:p>
        </w:tc>
      </w:tr>
    </w:tbl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S5. Drug price concordance (April 2026 prices, USD 2023 conversion)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500"/>
        <w:gridCol w:w="1200"/>
        <w:gridCol w:w="1300"/>
        <w:gridCol w:w="1700"/>
        <w:gridCol w:w="1100"/>
        <w:gridCol w:w="1500"/>
      </w:tblGrid>
      <w:tr>
        <w:trPr>
          <w:tblHeader/>
        </w:trP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Molecule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Local price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Product code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USD/yr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Amlodipine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 mg bes.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¥0.07/tab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VBP (non-disc.)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3.61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NHSA VBP 2025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Atorvastatin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¥0.19/tab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VBP (non-disc.)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9.79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NHSA VBP rounds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China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Dapagliflozin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¥0.28/tab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11th VBP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14.43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NHSA Oct 2025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Amlodipine OD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¥10.80/tab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YJ generic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28.06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MHLW Apr 2026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Atorvastatin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¥10.80–11.50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YJ generic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28.06–29.88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MHLW Apr 2026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 generic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¥74.00/tab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YJ 3969019F1022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187.05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MHLW Dec 2025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Japan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Forxiga (brand)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¥140.60/tab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YJ 3969019F2023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365.26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MHLW 令和8年3月5日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Rep. Korea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Amlodipine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₩188/tab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642101120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52.54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HIRA 2025-08-01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Rep. Korea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Atorvastatin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₩669/tab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643503650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186.97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HIRA 2025-08-01</w:t>
            </w:r>
          </w:p>
        </w:tc>
      </w:tr>
      <w:tr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Rep. Korea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Dapagliflozin</w:t>
            </w:r>
          </w:p>
        </w:tc>
        <w:tc>
          <w:tcPr>
            <w:tcW w:type="dxa" w:w="1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 mg</w:t>
            </w:r>
          </w:p>
        </w:tc>
        <w:tc>
          <w:tcPr>
            <w:tcW w:type="dxa" w:w="13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₩393/tab</w:t>
            </w:r>
          </w:p>
        </w:tc>
        <w:tc>
          <w:tcPr>
            <w:tcW w:type="dxa" w:w="17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640007870</w:t>
            </w:r>
          </w:p>
        </w:tc>
        <w:tc>
          <w:tcPr>
            <w:tcW w:type="dxa" w:w="11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109.84</w:t>
            </w:r>
          </w:p>
        </w:tc>
        <w:tc>
          <w:tcPr>
            <w:tcW w:type="dxa" w:w="15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HIRA 2025-08-01</w:t>
            </w:r>
          </w:p>
        </w:tc>
      </w:tr>
    </w:tbl>
    <w:p>
      <w:pPr>
        <w:spacing w:after="24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IMF IFS 2023 annual averages: CNY 6.4409/USD, JPY 140.49/USD, KRW 1,305.36/USD. HIRA listing Excel file (약제급여목록및급여상한금액표_2025-08-01.xlsx) available on request for direct verification of the three Korean SKUs.</w:t>
      </w:r>
    </w:p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S6. CKM stage prevalence and hazard ratios — primary-source data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000"/>
        <w:gridCol w:w="1000"/>
        <w:gridCol w:w="1000"/>
        <w:gridCol w:w="1000"/>
        <w:gridCol w:w="2000"/>
      </w:tblGrid>
      <w:tr>
        <w:trPr>
          <w:tblHeader/>
        </w:trPr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Stage 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Stage 1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Stage 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Stage 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Stage 4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 — prev. %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18.8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19.4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42.0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11.2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8.6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Zheng 2025, n=33,685</w:t>
            </w:r>
          </w:p>
        </w:tc>
      </w:tr>
      <w:tr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 — prev. %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10.71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9.13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65.04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6.57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8.54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Fujimoto 2026 Analysis 1, n=386,551</w:t>
            </w:r>
          </w:p>
        </w:tc>
      </w:tr>
      <w:tr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Korea — prev. %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17.4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15.7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57.5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6.3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3.1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Kim HJ 2025 KJIM, n=1,497,913</w:t>
            </w:r>
          </w:p>
        </w:tc>
      </w:tr>
      <w:tr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 HR — CV death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0.86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1.07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1.92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3.16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Fujimoto 2026 Table 4</w:t>
            </w:r>
          </w:p>
        </w:tc>
      </w:tr>
      <w:tr>
        <w:tc>
          <w:tcPr>
            <w:tcW w:type="dxa" w:w="14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Korea HR — composite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1.00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1.09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1.36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1.72</w:t>
            </w:r>
          </w:p>
        </w:tc>
        <w:tc>
          <w:tcPr>
            <w:tcW w:type="dxa" w:w="1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2.70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Kim HJ 2025 Model 3</w:t>
            </w:r>
          </w:p>
        </w:tc>
      </w:tr>
    </w:tbl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S7. DALY valuation anchors (USD 2023 per DALY averted)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200"/>
        <w:gridCol w:w="2200"/>
      </w:tblGrid>
      <w:tr>
        <w:trPr>
          <w:tblHeader/>
        </w:trP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Supply-side (primary)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1× GDP per capita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Ochalek 2018 elasticity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$6,390 (95% UI $4,500–$8,150)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$12,720 (2023)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$3,710–$5,560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$26,280 (95% UI $22,000–$31,000)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$33,850 (2023)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$19,400–$27,800</w:t>
            </w:r>
          </w:p>
        </w:tc>
      </w:tr>
      <w:tr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$21,460 (95% UI $18,000–$25,300)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$33,120 (2023)</w:t>
            </w:r>
          </w:p>
        </w:tc>
        <w:tc>
          <w:tcPr>
            <w:tcW w:type="dxa" w:w="22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$17,200–$24,700</w:t>
            </w:r>
          </w:p>
        </w:tc>
      </w:tr>
    </w:tbl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Table S8. Sensitivity analysis: All-ages versus 30+ denominator (approximate)</w:t>
      </w:r>
    </w:p>
    <w:p>
      <w:pPr>
        <w:spacing w:after="16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The main analysis uses the All-ages denominator (per GBD 2023 extraction). As a transparency check, we approximate the 30+ subset AICC under the assumption that ≥95% of CKM-related DALYs accrue in ages 30+ while the 30+ share of total population is 70–75%. Under these assumptions, the 30+ AICC is approximately 1.30–1.40× the All-ages AICC.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1800"/>
        <w:gridCol w:w="2000"/>
      </w:tblGrid>
      <w:tr>
        <w:trPr>
          <w:tblHeader/>
        </w:trPr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Country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All-ages AICC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 approx. low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30+ approx. high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Change direction</w:t>
            </w:r>
          </w:p>
        </w:tc>
      </w:tr>
      <w:tr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China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$361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$470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$505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+30–40%</w:t>
            </w:r>
          </w:p>
        </w:tc>
      </w:tr>
      <w:tr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Japan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$1,313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$1,710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$1,840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+30–40%</w:t>
            </w:r>
          </w:p>
        </w:tc>
      </w:tr>
      <w:tr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Rep. of Korea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$691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$900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$970</w:t>
            </w:r>
          </w:p>
        </w:tc>
        <w:tc>
          <w:tcPr>
            <w:tcW w:type="dxa" w:w="2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left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+30–40%</w:t>
            </w:r>
          </w:p>
        </w:tc>
      </w:tr>
    </w:tbl>
    <w:p>
      <w:pPr>
        <w:spacing w:after="24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The heterogeneity pattern across the three countries is preserved: China-to-Japan ratio and China-to-Korea ratio are unchanged by the denominator choice. All drug margins scale proportionally. A formal 30+ sensitivity would require age-disaggregated GBD data download; we provide the approximation here to demonstrate that the headline conclusion — heterogeneous procurement success — is robust to this methodological choice.</w:t>
      </w:r>
    </w:p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Figure S1. Analytical flow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Step 1: GBD 2023 CKM-related DALYs (Table S1, 9 CSV files aggregated).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   ↓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Step 2: Mediation-adjusted multiplicative joint PAF (Table S2).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   ↓ Attributable DALY (80.8 / 6.2 / 1.67 M)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Step 3: DALY valuation applied (Table S7, three anchors).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   ↓ WTP envelope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Step 4: All-ages population scaling (GBD 2023).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   ↓ AICC per person per year ($361 / $1,313 / $691)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Step 5: 10,000-iteration Monte Carlo uncertainty propagation (Table S3).</w:t>
      </w:r>
    </w:p>
    <w:p>
      <w:pPr>
        <w:spacing w:after="6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   ↓ 95% UI</w:t>
      </w:r>
    </w:p>
    <w:p>
      <w:pPr>
        <w:spacing w:after="24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Step 6: Comparison with actual April-2026 drug prices (Table S5) → margins per country × drug (Table 2; Figure 3).</w:t>
      </w:r>
    </w:p>
    <w:p>
      <w:r>
        <w:br w:type="page"/>
      </w:r>
    </w:p>
    <w:p>
      <w:pP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Supplementary Figure S2. Tornado diagram — parameter sensitivity for the Chinese AICC</w:t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00"/>
        <w:gridCol w:w="1600"/>
        <w:gridCol w:w="1800"/>
      </w:tblGrid>
      <w:tr>
        <w:trPr>
          <w:tblHeader/>
        </w:trPr>
        <w:tc>
          <w:tcPr>
            <w:tcW w:type="dxa" w:w="3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Parameter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Low scenario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High scenario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Fold variation</w:t>
            </w:r>
          </w:p>
        </w:tc>
      </w:tr>
      <w:tr>
        <w:tc>
          <w:tcPr>
            <w:tcW w:type="dxa" w:w="3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DALY valuation ($4,500 → $8,150)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$261/p/yr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$465/p/yr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1.8×</w:t>
            </w:r>
          </w:p>
        </w:tc>
      </w:tr>
      <w:tr>
        <w:tc>
          <w:tcPr>
            <w:tcW w:type="dxa" w:w="3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PAF method (mult → max)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$296/p/yr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$361/p/yr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1.2×</w:t>
            </w:r>
          </w:p>
        </w:tc>
      </w:tr>
      <w:tr>
        <w:tc>
          <w:tcPr>
            <w:tcW w:type="dxa" w:w="3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Attributable DALY (GBD 95% UI)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$328/p/yr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$395/p/yr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1.2×</w:t>
            </w:r>
          </w:p>
        </w:tc>
      </w:tr>
      <w:tr>
        <w:tc>
          <w:tcPr>
            <w:tcW w:type="dxa" w:w="30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Real-world RRR (±20%)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$353/p/yr</w:t>
            </w:r>
          </w:p>
        </w:tc>
        <w:tc>
          <w:tcPr>
            <w:tcW w:type="dxa" w:w="16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$370/p/yr</w:t>
            </w:r>
          </w:p>
        </w:tc>
        <w:tc>
          <w:tcPr>
            <w:tcW w:type="dxa" w:w="1800"/>
            <w:tcBorders>
              <w:top w:val="single" w:color="BFBFBF" w:sz="2"/>
              <w:left w:val="single" w:color="BFBFBF" w:sz="2"/>
              <w:bottom w:val="single" w:color="BFBFBF" w:sz="2"/>
              <w:right w:val="single" w:color="BFBFBF" w:sz="2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60"/>
              <w:jc w:val="center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1.05×</w:t>
            </w:r>
          </w:p>
        </w:tc>
      </w:tr>
    </w:tbl>
    <w:p>
      <w:pPr>
        <w:spacing w:after="240" w:before="0" w:line="300"/>
        <w:jc w:val="left"/>
      </w:pPr>
      <w:r>
        <w:rPr>
          <w:rFonts w:ascii="Arial" w:cs="Arial" w:eastAsia="Arial" w:hAnsi="Arial"/>
          <w:sz w:val="18"/>
          <w:szCs w:val="18"/>
        </w:rPr>
        <w:t xml:space="preserve">Base-case AICC for China = $361. Under all tested parameter combinations, generic amlodipine at $3.61/year remained more than 70-fold below the AICC; post-VBP dapagliflozin at $14.43/year remained at 18-fold or better.</w:t>
      </w:r>
    </w:p>
    <w:p>
      <w:pPr>
        <w:spacing w:after="40" w:before="0" w:line="300"/>
        <w:jc w:val="left"/>
      </w:pPr>
      <w:r>
        <w:rPr>
          <w:rFonts w:ascii="Arial" w:cs="Arial" w:eastAsia="Arial" w:hAnsi="Arial"/>
          <w:sz w:val="22"/>
          <w:szCs w:val="22"/>
        </w:rPr>
        <w:t xml:space="preserve">End of Supplementary Materials.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Materials v33</dc:title>
  <dc:creator>Manuscript preparation</dc:creator>
  <cp:lastModifiedBy>Un-named</cp:lastModifiedBy>
  <cp:revision>1</cp:revision>
  <dcterms:created xsi:type="dcterms:W3CDTF">2026-04-18T14:18:12.405Z</dcterms:created>
  <dcterms:modified xsi:type="dcterms:W3CDTF">2026-04-18T14:18:12.406Z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