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AC4241" w14:textId="0B164EA7" w:rsidR="00410A00" w:rsidRPr="00642DEB" w:rsidRDefault="00642DEB" w:rsidP="00642DEB">
      <w:pPr>
        <w:jc w:val="center"/>
        <w:rPr>
          <w:rFonts w:ascii="Arial" w:hAnsi="Arial" w:cs="Arial"/>
          <w:b/>
          <w:bCs/>
          <w:lang w:val="en-US"/>
        </w:rPr>
      </w:pPr>
      <w:r w:rsidRPr="00642DEB">
        <w:rPr>
          <w:rFonts w:ascii="Arial" w:hAnsi="Arial" w:cs="Arial"/>
          <w:b/>
          <w:bCs/>
          <w:lang w:val="en-US"/>
        </w:rPr>
        <w:t>Supplementary Material</w:t>
      </w:r>
    </w:p>
    <w:p w14:paraId="7F38118F" w14:textId="77777777" w:rsidR="00642DEB" w:rsidRPr="00642DEB" w:rsidRDefault="00642DEB">
      <w:pPr>
        <w:rPr>
          <w:lang w:val="en-US"/>
        </w:rPr>
      </w:pPr>
    </w:p>
    <w:p w14:paraId="3CFD58E5" w14:textId="77777777" w:rsidR="00DD6BBC" w:rsidRDefault="00DD6BBC" w:rsidP="00DD6BBC">
      <w:pPr>
        <w:spacing w:line="276" w:lineRule="auto"/>
        <w:jc w:val="both"/>
        <w:rPr>
          <w:rFonts w:ascii="Arial" w:hAnsi="Arial" w:cs="Arial"/>
          <w:b/>
          <w:bCs/>
          <w:lang w:val="en-US"/>
        </w:rPr>
      </w:pPr>
      <w:r w:rsidRPr="000B08A4">
        <w:rPr>
          <w:rFonts w:ascii="Arial" w:hAnsi="Arial" w:cs="Arial"/>
          <w:b/>
          <w:bCs/>
          <w:lang w:val="en-US"/>
        </w:rPr>
        <w:t>Microglia-to-Neuron Mitochondrial Transfer Supports Neuronal Metabolism and Protects Against Neurodegeneration</w:t>
      </w:r>
    </w:p>
    <w:p w14:paraId="5E4811F2" w14:textId="77777777" w:rsidR="00DD6BBC" w:rsidRPr="001C657A" w:rsidRDefault="00DD6BBC" w:rsidP="00DD6BBC">
      <w:pPr>
        <w:spacing w:line="276" w:lineRule="auto"/>
        <w:jc w:val="both"/>
        <w:rPr>
          <w:rFonts w:ascii="Arial" w:hAnsi="Arial" w:cs="Arial"/>
          <w:lang w:val="en-US"/>
        </w:rPr>
      </w:pPr>
    </w:p>
    <w:p w14:paraId="0DE55911" w14:textId="77777777" w:rsidR="00DD6BBC" w:rsidRPr="00EA3C21" w:rsidRDefault="00DD6BBC" w:rsidP="00DD6BBC">
      <w:pPr>
        <w:spacing w:line="276" w:lineRule="auto"/>
        <w:jc w:val="both"/>
        <w:rPr>
          <w:rFonts w:ascii="Arial" w:hAnsi="Arial" w:cs="Arial"/>
        </w:rPr>
      </w:pPr>
      <w:proofErr w:type="spellStart"/>
      <w:r w:rsidRPr="007E5907">
        <w:rPr>
          <w:rFonts w:ascii="Arial" w:hAnsi="Arial" w:cs="Arial"/>
        </w:rPr>
        <w:t>Monara</w:t>
      </w:r>
      <w:proofErr w:type="spellEnd"/>
      <w:r w:rsidRPr="007E5907">
        <w:rPr>
          <w:rFonts w:ascii="Arial" w:hAnsi="Arial" w:cs="Arial"/>
        </w:rPr>
        <w:t xml:space="preserve"> </w:t>
      </w:r>
      <w:proofErr w:type="spellStart"/>
      <w:r w:rsidRPr="007E5907">
        <w:rPr>
          <w:rFonts w:ascii="Arial" w:hAnsi="Arial" w:cs="Arial"/>
        </w:rPr>
        <w:t>Kaélle</w:t>
      </w:r>
      <w:proofErr w:type="spellEnd"/>
      <w:r w:rsidRPr="007E5907">
        <w:rPr>
          <w:rFonts w:ascii="Arial" w:hAnsi="Arial" w:cs="Arial"/>
        </w:rPr>
        <w:t xml:space="preserve"> Sérvulo Cruz Angelim</w:t>
      </w:r>
      <w:r w:rsidRPr="007E5907">
        <w:rPr>
          <w:rFonts w:ascii="Arial" w:hAnsi="Arial" w:cs="Arial"/>
          <w:vertAlign w:val="superscript"/>
        </w:rPr>
        <w:t>1</w:t>
      </w:r>
      <w:r w:rsidRPr="007E5907">
        <w:rPr>
          <w:rFonts w:ascii="Arial" w:hAnsi="Arial" w:cs="Arial"/>
        </w:rPr>
        <w:t xml:space="preserve">*; </w:t>
      </w:r>
      <w:proofErr w:type="spellStart"/>
      <w:r w:rsidRPr="007E5907">
        <w:rPr>
          <w:rFonts w:ascii="Arial" w:hAnsi="Arial" w:cs="Arial"/>
        </w:rPr>
        <w:t>Lincon</w:t>
      </w:r>
      <w:proofErr w:type="spellEnd"/>
      <w:r w:rsidRPr="007E5907">
        <w:rPr>
          <w:rFonts w:ascii="Arial" w:hAnsi="Arial" w:cs="Arial"/>
        </w:rPr>
        <w:t xml:space="preserve"> Felipe Lima Silva</w:t>
      </w:r>
      <w:r w:rsidRPr="007E5907">
        <w:rPr>
          <w:rFonts w:ascii="Arial" w:hAnsi="Arial" w:cs="Arial"/>
          <w:vertAlign w:val="superscript"/>
        </w:rPr>
        <w:t>1</w:t>
      </w:r>
      <w:r w:rsidRPr="007E5907">
        <w:rPr>
          <w:rFonts w:ascii="Arial" w:hAnsi="Arial" w:cs="Arial"/>
        </w:rPr>
        <w:t>; Gisele Castro</w:t>
      </w:r>
      <w:r w:rsidRPr="007E5907">
        <w:rPr>
          <w:rFonts w:ascii="Arial" w:hAnsi="Arial" w:cs="Arial"/>
          <w:vertAlign w:val="superscript"/>
        </w:rPr>
        <w:t>1</w:t>
      </w:r>
      <w:r w:rsidRPr="007E5907">
        <w:rPr>
          <w:rFonts w:ascii="Arial" w:hAnsi="Arial" w:cs="Arial"/>
        </w:rPr>
        <w:t xml:space="preserve">; </w:t>
      </w:r>
      <w:proofErr w:type="spellStart"/>
      <w:r w:rsidRPr="007E5907">
        <w:rPr>
          <w:rFonts w:ascii="Arial" w:hAnsi="Arial" w:cs="Arial"/>
        </w:rPr>
        <w:t>Wilias</w:t>
      </w:r>
      <w:proofErr w:type="spellEnd"/>
      <w:r w:rsidRPr="007E5907">
        <w:rPr>
          <w:rFonts w:ascii="Arial" w:hAnsi="Arial" w:cs="Arial"/>
        </w:rPr>
        <w:t xml:space="preserve"> Silva Santos Greison</w:t>
      </w:r>
      <w:r w:rsidRPr="007E5907">
        <w:rPr>
          <w:rFonts w:ascii="Arial" w:hAnsi="Arial" w:cs="Arial"/>
          <w:vertAlign w:val="superscript"/>
        </w:rPr>
        <w:t>1</w:t>
      </w:r>
      <w:r w:rsidRPr="007E5907">
        <w:rPr>
          <w:rFonts w:ascii="Arial" w:hAnsi="Arial" w:cs="Arial"/>
        </w:rPr>
        <w:t>; Rodrigo Dias Requião</w:t>
      </w:r>
      <w:r w:rsidRPr="007E5907">
        <w:rPr>
          <w:rFonts w:ascii="Arial" w:hAnsi="Arial" w:cs="Arial"/>
          <w:vertAlign w:val="superscript"/>
        </w:rPr>
        <w:t>1</w:t>
      </w:r>
      <w:r w:rsidRPr="007E5907">
        <w:rPr>
          <w:rFonts w:ascii="Arial" w:hAnsi="Arial" w:cs="Arial"/>
        </w:rPr>
        <w:t>, Guilherme Augusto da Silva Nogueira</w:t>
      </w:r>
      <w:r w:rsidRPr="007E5907">
        <w:rPr>
          <w:rFonts w:ascii="Arial" w:hAnsi="Arial" w:cs="Arial"/>
          <w:vertAlign w:val="superscript"/>
        </w:rPr>
        <w:t>2</w:t>
      </w:r>
      <w:r w:rsidRPr="007E5907">
        <w:rPr>
          <w:rFonts w:ascii="Arial" w:hAnsi="Arial" w:cs="Arial"/>
        </w:rPr>
        <w:t>, Thiago Pereira Campos</w:t>
      </w:r>
      <w:r w:rsidRPr="007E5907">
        <w:rPr>
          <w:rFonts w:ascii="Arial" w:hAnsi="Arial" w:cs="Arial"/>
          <w:vertAlign w:val="superscript"/>
        </w:rPr>
        <w:t>3</w:t>
      </w:r>
      <w:r w:rsidRPr="007E5907">
        <w:rPr>
          <w:rFonts w:ascii="Arial" w:hAnsi="Arial" w:cs="Arial"/>
        </w:rPr>
        <w:t>, Célia Bresil</w:t>
      </w:r>
      <w:r w:rsidRPr="007E5907">
        <w:rPr>
          <w:rFonts w:ascii="Arial" w:hAnsi="Arial" w:cs="Arial"/>
          <w:vertAlign w:val="superscript"/>
        </w:rPr>
        <w:t>1</w:t>
      </w:r>
      <w:r w:rsidRPr="007E5907">
        <w:rPr>
          <w:rFonts w:ascii="Arial" w:hAnsi="Arial" w:cs="Arial"/>
        </w:rPr>
        <w:t xml:space="preserve">, Mariana </w:t>
      </w:r>
      <w:proofErr w:type="spellStart"/>
      <w:r w:rsidRPr="007E5907">
        <w:rPr>
          <w:rFonts w:ascii="Arial" w:hAnsi="Arial" w:cs="Arial"/>
        </w:rPr>
        <w:t>Ozello</w:t>
      </w:r>
      <w:proofErr w:type="spellEnd"/>
      <w:r w:rsidRPr="007E5907">
        <w:rPr>
          <w:rFonts w:ascii="Arial" w:hAnsi="Arial" w:cs="Arial"/>
        </w:rPr>
        <w:t xml:space="preserve"> Baratti</w:t>
      </w:r>
      <w:r w:rsidRPr="007E5907">
        <w:rPr>
          <w:rFonts w:ascii="Arial" w:hAnsi="Arial" w:cs="Arial"/>
          <w:vertAlign w:val="superscript"/>
        </w:rPr>
        <w:t>4</w:t>
      </w:r>
      <w:r w:rsidRPr="007E5907">
        <w:rPr>
          <w:rFonts w:ascii="Arial" w:hAnsi="Arial" w:cs="Arial"/>
        </w:rPr>
        <w:t xml:space="preserve">, Webster </w:t>
      </w:r>
      <w:r w:rsidRPr="00EA3C21">
        <w:rPr>
          <w:rFonts w:ascii="Arial" w:hAnsi="Arial" w:cs="Arial"/>
        </w:rPr>
        <w:t>Leonardo Guimarães da Costa</w:t>
      </w:r>
      <w:r w:rsidRPr="00EA3C21">
        <w:rPr>
          <w:rFonts w:ascii="Arial" w:hAnsi="Arial" w:cs="Arial"/>
          <w:vertAlign w:val="superscript"/>
        </w:rPr>
        <w:t>1</w:t>
      </w:r>
      <w:r w:rsidRPr="00EA3C21">
        <w:rPr>
          <w:rFonts w:ascii="Arial" w:hAnsi="Arial" w:cs="Arial"/>
        </w:rPr>
        <w:t>, Matheus Barbosa</w:t>
      </w:r>
      <w:r w:rsidRPr="00EA3C21">
        <w:rPr>
          <w:rFonts w:ascii="Arial" w:hAnsi="Arial" w:cs="Arial"/>
          <w:vertAlign w:val="superscript"/>
        </w:rPr>
        <w:t>1</w:t>
      </w:r>
      <w:r w:rsidRPr="00EA3C21">
        <w:rPr>
          <w:rFonts w:ascii="Arial" w:hAnsi="Arial" w:cs="Arial"/>
        </w:rPr>
        <w:t xml:space="preserve">, </w:t>
      </w:r>
      <w:bookmarkStart w:id="0" w:name="OLE_LINK6"/>
      <w:r w:rsidRPr="00EA3C21">
        <w:rPr>
          <w:rFonts w:ascii="Arial" w:hAnsi="Arial" w:cs="Arial"/>
        </w:rPr>
        <w:t>Francisco Breno Silva Teófilo</w:t>
      </w:r>
      <w:r w:rsidRPr="00EA3C21">
        <w:rPr>
          <w:rFonts w:ascii="Arial" w:hAnsi="Arial" w:cs="Arial"/>
          <w:vertAlign w:val="superscript"/>
        </w:rPr>
        <w:t>5</w:t>
      </w:r>
      <w:bookmarkEnd w:id="0"/>
      <w:r w:rsidRPr="00EA3C21">
        <w:rPr>
          <w:rFonts w:ascii="Arial" w:hAnsi="Arial" w:cs="Arial"/>
        </w:rPr>
        <w:t>, Hernandes F. Carvalho</w:t>
      </w:r>
      <w:r w:rsidRPr="00EA3C21">
        <w:rPr>
          <w:rFonts w:ascii="Arial" w:hAnsi="Arial" w:cs="Arial"/>
          <w:vertAlign w:val="superscript"/>
        </w:rPr>
        <w:t>5</w:t>
      </w:r>
      <w:r w:rsidRPr="00EA3C21">
        <w:rPr>
          <w:rFonts w:ascii="Arial" w:hAnsi="Arial" w:cs="Arial"/>
        </w:rPr>
        <w:t>, Lício A. Velloso</w:t>
      </w:r>
      <w:r w:rsidRPr="00EA3C21">
        <w:rPr>
          <w:rFonts w:ascii="Arial" w:hAnsi="Arial" w:cs="Arial"/>
          <w:vertAlign w:val="superscript"/>
        </w:rPr>
        <w:t>6</w:t>
      </w:r>
      <w:r w:rsidRPr="00EA3C21">
        <w:rPr>
          <w:rFonts w:ascii="Arial" w:hAnsi="Arial" w:cs="Arial"/>
        </w:rPr>
        <w:t>, Pedro M. Moraes-Vieira</w:t>
      </w:r>
      <w:r w:rsidRPr="00EA3C21">
        <w:rPr>
          <w:rFonts w:ascii="Arial" w:hAnsi="Arial" w:cs="Arial"/>
          <w:vertAlign w:val="superscript"/>
        </w:rPr>
        <w:t>1,6,7*</w:t>
      </w:r>
      <w:r w:rsidRPr="00EA3C21">
        <w:rPr>
          <w:rFonts w:ascii="Arial" w:hAnsi="Arial" w:cs="Arial"/>
        </w:rPr>
        <w:t xml:space="preserve"> </w:t>
      </w:r>
    </w:p>
    <w:p w14:paraId="3296A716" w14:textId="77777777" w:rsidR="00DD6BBC" w:rsidRPr="00EA3C21" w:rsidRDefault="00DD6BBC" w:rsidP="00DD6BBC">
      <w:pPr>
        <w:spacing w:line="276" w:lineRule="auto"/>
        <w:jc w:val="both"/>
        <w:rPr>
          <w:rFonts w:ascii="Arial" w:hAnsi="Arial" w:cs="Arial"/>
        </w:rPr>
      </w:pPr>
    </w:p>
    <w:p w14:paraId="5894BC86" w14:textId="77777777" w:rsidR="00DD6BBC" w:rsidRPr="00EA3C21" w:rsidRDefault="00DD6BBC" w:rsidP="00DD6BBC">
      <w:pPr>
        <w:spacing w:line="276" w:lineRule="auto"/>
        <w:jc w:val="both"/>
        <w:rPr>
          <w:rFonts w:ascii="Arial" w:hAnsi="Arial" w:cs="Arial"/>
          <w:lang w:val="en-US"/>
        </w:rPr>
      </w:pPr>
      <w:r w:rsidRPr="00EA3C21">
        <w:rPr>
          <w:rFonts w:ascii="Arial" w:hAnsi="Arial" w:cs="Arial"/>
          <w:vertAlign w:val="superscript"/>
          <w:lang w:val="en-US"/>
        </w:rPr>
        <w:t xml:space="preserve">1 </w:t>
      </w:r>
      <w:r w:rsidRPr="00EA3C21">
        <w:rPr>
          <w:rFonts w:ascii="Arial" w:hAnsi="Arial" w:cs="Arial"/>
          <w:lang w:val="en-US"/>
        </w:rPr>
        <w:t xml:space="preserve">Laboratory of Immunometabolism, Institute of Biology, University of Campinas, São Paulo, Brazil </w:t>
      </w:r>
    </w:p>
    <w:p w14:paraId="5D115019" w14:textId="77777777" w:rsidR="00DD6BBC" w:rsidRPr="00EA3C21" w:rsidRDefault="00DD6BBC" w:rsidP="00DD6BBC">
      <w:pPr>
        <w:spacing w:line="276" w:lineRule="auto"/>
        <w:jc w:val="both"/>
        <w:rPr>
          <w:rFonts w:ascii="Arial" w:hAnsi="Arial" w:cs="Arial"/>
          <w:lang w:val="en-US"/>
        </w:rPr>
      </w:pPr>
      <w:r w:rsidRPr="00EA3C21">
        <w:rPr>
          <w:rFonts w:ascii="Arial" w:hAnsi="Arial" w:cs="Arial"/>
          <w:vertAlign w:val="superscript"/>
          <w:lang w:val="en-US"/>
        </w:rPr>
        <w:t>2</w:t>
      </w:r>
      <w:r w:rsidRPr="00EA3C21">
        <w:rPr>
          <w:rFonts w:ascii="Arial" w:hAnsi="Arial" w:cs="Arial"/>
          <w:lang w:val="en-US"/>
        </w:rPr>
        <w:t xml:space="preserve"> Cell Signaling Laboratory, School of Medical Sciences, University of Campinas, São Paulo, Brazil </w:t>
      </w:r>
    </w:p>
    <w:p w14:paraId="7C3AACBD" w14:textId="77777777" w:rsidR="00DD6BBC" w:rsidRPr="00EA3C21" w:rsidRDefault="00DD6BBC" w:rsidP="00DD6BBC">
      <w:pPr>
        <w:pBdr>
          <w:top w:val="nil"/>
          <w:left w:val="nil"/>
          <w:bottom w:val="nil"/>
          <w:right w:val="nil"/>
          <w:between w:val="nil"/>
        </w:pBdr>
        <w:spacing w:line="276" w:lineRule="auto"/>
        <w:jc w:val="both"/>
        <w:rPr>
          <w:rFonts w:ascii="Arial" w:hAnsi="Arial" w:cs="Arial"/>
          <w:lang w:val="en-US"/>
        </w:rPr>
      </w:pPr>
      <w:r w:rsidRPr="00EA3C21">
        <w:rPr>
          <w:rFonts w:ascii="Arial" w:hAnsi="Arial" w:cs="Arial"/>
          <w:vertAlign w:val="superscript"/>
          <w:lang w:val="en-US"/>
        </w:rPr>
        <w:t>3</w:t>
      </w:r>
      <w:r w:rsidRPr="00EA3C21">
        <w:rPr>
          <w:rFonts w:ascii="Arial" w:hAnsi="Arial" w:cs="Arial"/>
          <w:lang w:val="en-US"/>
        </w:rPr>
        <w:t xml:space="preserve"> Physics Department, Federal University of Ceará, Fortaleza, Ceará, Brazil</w:t>
      </w:r>
    </w:p>
    <w:p w14:paraId="7201D0CF" w14:textId="77777777" w:rsidR="00DD6BBC" w:rsidRPr="00EA3C21" w:rsidRDefault="00DD6BBC" w:rsidP="00DD6BBC">
      <w:pPr>
        <w:spacing w:line="276" w:lineRule="auto"/>
        <w:jc w:val="both"/>
        <w:rPr>
          <w:rFonts w:ascii="Arial" w:hAnsi="Arial" w:cs="Arial"/>
          <w:lang w:val="en-US"/>
        </w:rPr>
      </w:pPr>
      <w:r w:rsidRPr="00EA3C21">
        <w:rPr>
          <w:rFonts w:ascii="Arial" w:hAnsi="Arial" w:cs="Arial"/>
          <w:vertAlign w:val="superscript"/>
          <w:lang w:val="en-US"/>
        </w:rPr>
        <w:t>4</w:t>
      </w:r>
      <w:r w:rsidRPr="00EA3C21">
        <w:rPr>
          <w:rFonts w:ascii="Arial" w:hAnsi="Arial" w:cs="Arial"/>
          <w:lang w:val="en-US"/>
        </w:rPr>
        <w:t xml:space="preserve"> Institute of Biology, University of Campinas, São Paulo, Brazil </w:t>
      </w:r>
    </w:p>
    <w:p w14:paraId="4AB482AB" w14:textId="77777777" w:rsidR="00DD6BBC" w:rsidRPr="00EA3C21" w:rsidRDefault="00DD6BBC" w:rsidP="00DD6BBC">
      <w:pPr>
        <w:spacing w:line="276" w:lineRule="auto"/>
        <w:jc w:val="both"/>
        <w:rPr>
          <w:rFonts w:ascii="Arial" w:hAnsi="Arial" w:cs="Arial"/>
          <w:lang w:val="en-US"/>
        </w:rPr>
      </w:pPr>
      <w:r w:rsidRPr="00EA3C21">
        <w:rPr>
          <w:rFonts w:ascii="Arial" w:hAnsi="Arial" w:cs="Arial"/>
          <w:vertAlign w:val="superscript"/>
          <w:lang w:val="en-US"/>
        </w:rPr>
        <w:t>5</w:t>
      </w:r>
      <w:r w:rsidRPr="00EA3C21">
        <w:rPr>
          <w:rFonts w:ascii="Arial" w:hAnsi="Arial" w:cs="Arial"/>
          <w:lang w:val="en-US"/>
        </w:rPr>
        <w:t xml:space="preserve"> Extracellular Matrix and Gene Expression Regulation Laboratory, University of Campinas, São Paulo, Brazil </w:t>
      </w:r>
    </w:p>
    <w:p w14:paraId="0A05C280" w14:textId="77777777" w:rsidR="00DD6BBC" w:rsidRPr="00EA3C21" w:rsidRDefault="00DD6BBC" w:rsidP="00DD6BBC">
      <w:pPr>
        <w:spacing w:line="276" w:lineRule="auto"/>
        <w:jc w:val="both"/>
        <w:rPr>
          <w:rFonts w:ascii="Arial" w:hAnsi="Arial" w:cs="Arial"/>
          <w:lang w:val="en-US"/>
        </w:rPr>
      </w:pPr>
      <w:r w:rsidRPr="00EA3C21">
        <w:rPr>
          <w:rFonts w:ascii="Arial" w:hAnsi="Arial" w:cs="Arial"/>
          <w:vertAlign w:val="superscript"/>
          <w:lang w:val="en-US"/>
        </w:rPr>
        <w:t>6</w:t>
      </w:r>
      <w:r w:rsidRPr="00EA3C21">
        <w:rPr>
          <w:rFonts w:ascii="Arial" w:hAnsi="Arial" w:cs="Arial"/>
          <w:lang w:val="en-US"/>
        </w:rPr>
        <w:t xml:space="preserve"> Obesity and Comorbidities Research Center (OCRC), Campinas, São Paulo, Brazil.</w:t>
      </w:r>
    </w:p>
    <w:p w14:paraId="1A035CF4" w14:textId="77777777" w:rsidR="00DD6BBC" w:rsidRPr="005343D9" w:rsidRDefault="00DD6BBC" w:rsidP="00DD6BBC">
      <w:pPr>
        <w:spacing w:line="276" w:lineRule="auto"/>
        <w:jc w:val="both"/>
        <w:rPr>
          <w:rFonts w:ascii="Arial" w:hAnsi="Arial" w:cs="Arial"/>
          <w:lang w:val="en-US"/>
        </w:rPr>
      </w:pPr>
      <w:r w:rsidRPr="00EA3C21">
        <w:rPr>
          <w:rFonts w:ascii="Arial" w:hAnsi="Arial" w:cs="Arial"/>
          <w:vertAlign w:val="superscript"/>
          <w:lang w:val="en-US"/>
        </w:rPr>
        <w:t>7</w:t>
      </w:r>
      <w:r w:rsidRPr="00EA3C21">
        <w:rPr>
          <w:rFonts w:ascii="Arial" w:hAnsi="Arial" w:cs="Arial"/>
          <w:lang w:val="en-US"/>
        </w:rPr>
        <w:t xml:space="preserve"> Experimental Medicine Research Cluster (EMRC), Campinas, São</w:t>
      </w:r>
      <w:r w:rsidRPr="005343D9">
        <w:rPr>
          <w:rFonts w:ascii="Arial" w:hAnsi="Arial" w:cs="Arial"/>
          <w:lang w:val="en-US"/>
        </w:rPr>
        <w:t xml:space="preserve"> Paulo, Brazil.</w:t>
      </w:r>
    </w:p>
    <w:p w14:paraId="0E11B5D0" w14:textId="77777777" w:rsidR="00DD6BBC" w:rsidRPr="005343D9" w:rsidRDefault="00DD6BBC" w:rsidP="00DD6BBC">
      <w:pPr>
        <w:spacing w:line="276" w:lineRule="auto"/>
        <w:jc w:val="both"/>
        <w:rPr>
          <w:rFonts w:ascii="Arial" w:hAnsi="Arial" w:cs="Arial"/>
          <w:b/>
          <w:bCs/>
          <w:lang w:val="en-US"/>
        </w:rPr>
      </w:pPr>
    </w:p>
    <w:p w14:paraId="5878B6BE" w14:textId="77777777" w:rsidR="00DD6BBC" w:rsidRPr="001C657A" w:rsidRDefault="00DD6BBC" w:rsidP="00DD6BBC">
      <w:pPr>
        <w:spacing w:line="276" w:lineRule="auto"/>
        <w:jc w:val="both"/>
        <w:rPr>
          <w:rFonts w:ascii="Arial" w:hAnsi="Arial" w:cs="Arial"/>
          <w:b/>
          <w:bCs/>
          <w:lang w:val="en-US"/>
        </w:rPr>
      </w:pPr>
      <w:r w:rsidRPr="001C657A">
        <w:rPr>
          <w:rFonts w:ascii="Arial" w:hAnsi="Arial" w:cs="Arial"/>
          <w:i/>
          <w:iCs/>
          <w:color w:val="000000" w:themeColor="text1"/>
          <w:lang w:val="en-US"/>
        </w:rPr>
        <w:t xml:space="preserve">* Corresponding authors: </w:t>
      </w:r>
      <w:hyperlink r:id="rId4" w:history="1">
        <w:r w:rsidRPr="001C657A">
          <w:rPr>
            <w:rStyle w:val="Hyperlink"/>
            <w:rFonts w:ascii="Arial" w:hAnsi="Arial" w:cs="Arial"/>
            <w:color w:val="000000" w:themeColor="text1"/>
            <w:lang w:val="en-US"/>
          </w:rPr>
          <w:t>monara.kaelle@gmail.com</w:t>
        </w:r>
      </w:hyperlink>
      <w:r w:rsidRPr="001C657A">
        <w:rPr>
          <w:rFonts w:ascii="Arial" w:hAnsi="Arial" w:cs="Arial"/>
          <w:color w:val="000000" w:themeColor="text1"/>
          <w:lang w:val="en-US"/>
        </w:rPr>
        <w:t xml:space="preserve">; </w:t>
      </w:r>
      <w:hyperlink r:id="rId5" w:history="1">
        <w:r w:rsidRPr="001C657A">
          <w:rPr>
            <w:rStyle w:val="Hyperlink"/>
            <w:rFonts w:ascii="Arial" w:hAnsi="Arial" w:cs="Arial"/>
            <w:color w:val="000000" w:themeColor="text1"/>
            <w:lang w:val="en-US"/>
          </w:rPr>
          <w:t>pmvieira@unicamp.br</w:t>
        </w:r>
      </w:hyperlink>
      <w:r w:rsidRPr="001C657A">
        <w:rPr>
          <w:rFonts w:ascii="Arial" w:hAnsi="Arial" w:cs="Arial"/>
          <w:i/>
          <w:iCs/>
          <w:color w:val="000000" w:themeColor="text1"/>
          <w:lang w:val="en-US"/>
        </w:rPr>
        <w:t xml:space="preserve"> </w:t>
      </w:r>
    </w:p>
    <w:p w14:paraId="075BB149" w14:textId="77777777" w:rsidR="00642DEB" w:rsidRPr="00642DEB" w:rsidRDefault="00642DEB">
      <w:pPr>
        <w:rPr>
          <w:lang w:val="en-US"/>
        </w:rPr>
      </w:pPr>
    </w:p>
    <w:p w14:paraId="3B52F5A9" w14:textId="77777777" w:rsidR="00642DEB" w:rsidRDefault="00642DEB" w:rsidP="00642DEB">
      <w:pPr>
        <w:spacing w:line="276" w:lineRule="auto"/>
        <w:jc w:val="both"/>
        <w:rPr>
          <w:rFonts w:ascii="Arial" w:hAnsi="Arial" w:cs="Arial"/>
          <w:b/>
          <w:bCs/>
          <w:lang w:val="en-US"/>
        </w:rPr>
      </w:pPr>
    </w:p>
    <w:p w14:paraId="41D637C3" w14:textId="77777777" w:rsidR="00642DEB" w:rsidRDefault="00642DEB" w:rsidP="00642DEB">
      <w:pPr>
        <w:spacing w:line="276" w:lineRule="auto"/>
        <w:jc w:val="both"/>
        <w:rPr>
          <w:rFonts w:ascii="Arial" w:hAnsi="Arial" w:cs="Arial"/>
          <w:b/>
          <w:bCs/>
          <w:lang w:val="en-US"/>
        </w:rPr>
      </w:pPr>
    </w:p>
    <w:p w14:paraId="169D3845" w14:textId="77777777" w:rsidR="00642DEB" w:rsidRDefault="00642DEB" w:rsidP="00642DEB">
      <w:pPr>
        <w:spacing w:line="276" w:lineRule="auto"/>
        <w:jc w:val="both"/>
        <w:rPr>
          <w:rFonts w:ascii="Arial" w:hAnsi="Arial" w:cs="Arial"/>
          <w:b/>
          <w:bCs/>
          <w:lang w:val="en-US"/>
        </w:rPr>
      </w:pPr>
    </w:p>
    <w:p w14:paraId="793586A2" w14:textId="77777777" w:rsidR="00642DEB" w:rsidRDefault="00642DEB" w:rsidP="00642DEB">
      <w:pPr>
        <w:spacing w:line="276" w:lineRule="auto"/>
        <w:jc w:val="both"/>
        <w:rPr>
          <w:rFonts w:ascii="Arial" w:hAnsi="Arial" w:cs="Arial"/>
          <w:b/>
          <w:bCs/>
          <w:lang w:val="en-US"/>
        </w:rPr>
      </w:pPr>
    </w:p>
    <w:p w14:paraId="25691641" w14:textId="77777777" w:rsidR="00642DEB" w:rsidRDefault="00642DEB" w:rsidP="00642DEB">
      <w:pPr>
        <w:spacing w:line="276" w:lineRule="auto"/>
        <w:jc w:val="both"/>
        <w:rPr>
          <w:rFonts w:ascii="Arial" w:hAnsi="Arial" w:cs="Arial"/>
          <w:b/>
          <w:bCs/>
          <w:lang w:val="en-US"/>
        </w:rPr>
      </w:pPr>
    </w:p>
    <w:p w14:paraId="28109C42" w14:textId="77777777" w:rsidR="00642DEB" w:rsidRDefault="00642DEB" w:rsidP="00642DEB">
      <w:pPr>
        <w:spacing w:line="276" w:lineRule="auto"/>
        <w:jc w:val="both"/>
        <w:rPr>
          <w:rFonts w:ascii="Arial" w:hAnsi="Arial" w:cs="Arial"/>
          <w:b/>
          <w:bCs/>
          <w:lang w:val="en-US"/>
        </w:rPr>
      </w:pPr>
    </w:p>
    <w:p w14:paraId="6D463905" w14:textId="77777777" w:rsidR="00642DEB" w:rsidRDefault="00642DEB" w:rsidP="00642DEB">
      <w:pPr>
        <w:spacing w:line="276" w:lineRule="auto"/>
        <w:jc w:val="both"/>
        <w:rPr>
          <w:rFonts w:ascii="Arial" w:hAnsi="Arial" w:cs="Arial"/>
          <w:b/>
          <w:bCs/>
          <w:lang w:val="en-US"/>
        </w:rPr>
      </w:pPr>
    </w:p>
    <w:p w14:paraId="22A4CAEF" w14:textId="77777777" w:rsidR="00642DEB" w:rsidRDefault="00642DEB" w:rsidP="00642DEB">
      <w:pPr>
        <w:spacing w:line="276" w:lineRule="auto"/>
        <w:jc w:val="both"/>
        <w:rPr>
          <w:rFonts w:ascii="Arial" w:hAnsi="Arial" w:cs="Arial"/>
          <w:b/>
          <w:bCs/>
          <w:lang w:val="en-US"/>
        </w:rPr>
      </w:pPr>
    </w:p>
    <w:p w14:paraId="43813660" w14:textId="77777777" w:rsidR="00642DEB" w:rsidRDefault="00642DEB" w:rsidP="00642DEB">
      <w:pPr>
        <w:spacing w:line="276" w:lineRule="auto"/>
        <w:jc w:val="both"/>
        <w:rPr>
          <w:rFonts w:ascii="Arial" w:hAnsi="Arial" w:cs="Arial"/>
          <w:b/>
          <w:bCs/>
          <w:lang w:val="en-US"/>
        </w:rPr>
      </w:pPr>
    </w:p>
    <w:p w14:paraId="2E2C9151" w14:textId="77777777" w:rsidR="00642DEB" w:rsidRDefault="00642DEB" w:rsidP="00642DEB">
      <w:pPr>
        <w:spacing w:line="276" w:lineRule="auto"/>
        <w:jc w:val="both"/>
        <w:rPr>
          <w:rFonts w:ascii="Arial" w:hAnsi="Arial" w:cs="Arial"/>
          <w:b/>
          <w:bCs/>
          <w:lang w:val="en-US"/>
        </w:rPr>
      </w:pPr>
    </w:p>
    <w:p w14:paraId="7F81A759" w14:textId="77777777" w:rsidR="00642DEB" w:rsidRDefault="00642DEB" w:rsidP="00642DEB">
      <w:pPr>
        <w:spacing w:line="276" w:lineRule="auto"/>
        <w:jc w:val="both"/>
        <w:rPr>
          <w:rFonts w:ascii="Arial" w:hAnsi="Arial" w:cs="Arial"/>
          <w:b/>
          <w:bCs/>
          <w:lang w:val="en-US"/>
        </w:rPr>
      </w:pPr>
    </w:p>
    <w:p w14:paraId="47745A36" w14:textId="77777777" w:rsidR="00642DEB" w:rsidRDefault="00642DEB" w:rsidP="00642DEB">
      <w:pPr>
        <w:spacing w:line="276" w:lineRule="auto"/>
        <w:jc w:val="both"/>
        <w:rPr>
          <w:rFonts w:ascii="Arial" w:hAnsi="Arial" w:cs="Arial"/>
          <w:b/>
          <w:bCs/>
          <w:lang w:val="en-US"/>
        </w:rPr>
      </w:pPr>
    </w:p>
    <w:p w14:paraId="33413D34" w14:textId="77777777" w:rsidR="00642DEB" w:rsidRDefault="00642DEB" w:rsidP="00642DEB">
      <w:pPr>
        <w:spacing w:line="276" w:lineRule="auto"/>
        <w:jc w:val="both"/>
        <w:rPr>
          <w:rFonts w:ascii="Arial" w:hAnsi="Arial" w:cs="Arial"/>
          <w:b/>
          <w:bCs/>
          <w:lang w:val="en-US"/>
        </w:rPr>
      </w:pPr>
    </w:p>
    <w:p w14:paraId="6D22B207" w14:textId="77777777" w:rsidR="00642DEB" w:rsidRDefault="00642DEB" w:rsidP="00642DEB">
      <w:pPr>
        <w:spacing w:line="276" w:lineRule="auto"/>
        <w:jc w:val="both"/>
        <w:rPr>
          <w:rFonts w:ascii="Arial" w:hAnsi="Arial" w:cs="Arial"/>
          <w:b/>
          <w:bCs/>
          <w:lang w:val="en-US"/>
        </w:rPr>
      </w:pPr>
    </w:p>
    <w:p w14:paraId="1BEDE606" w14:textId="77777777" w:rsidR="00642DEB" w:rsidRDefault="00642DEB" w:rsidP="00642DEB">
      <w:pPr>
        <w:spacing w:line="276" w:lineRule="auto"/>
        <w:jc w:val="both"/>
        <w:rPr>
          <w:rFonts w:ascii="Arial" w:hAnsi="Arial" w:cs="Arial"/>
          <w:b/>
          <w:bCs/>
          <w:lang w:val="en-US"/>
        </w:rPr>
      </w:pPr>
    </w:p>
    <w:p w14:paraId="2215DF28" w14:textId="77777777" w:rsidR="00642DEB" w:rsidRDefault="00642DEB" w:rsidP="00642DEB">
      <w:pPr>
        <w:spacing w:line="276" w:lineRule="auto"/>
        <w:jc w:val="both"/>
        <w:rPr>
          <w:rFonts w:ascii="Arial" w:hAnsi="Arial" w:cs="Arial"/>
          <w:b/>
          <w:bCs/>
          <w:lang w:val="en-US"/>
        </w:rPr>
      </w:pPr>
    </w:p>
    <w:p w14:paraId="04CA5498" w14:textId="77777777" w:rsidR="00642DEB" w:rsidRDefault="00642DEB" w:rsidP="00642DEB">
      <w:pPr>
        <w:spacing w:line="276" w:lineRule="auto"/>
        <w:jc w:val="both"/>
        <w:rPr>
          <w:rFonts w:ascii="Arial" w:hAnsi="Arial" w:cs="Arial"/>
          <w:b/>
          <w:bCs/>
          <w:lang w:val="en-US"/>
        </w:rPr>
      </w:pPr>
    </w:p>
    <w:p w14:paraId="0C8207C2" w14:textId="16103FF2" w:rsidR="00642DEB" w:rsidRDefault="00642DEB" w:rsidP="00642DEB">
      <w:pPr>
        <w:spacing w:line="276" w:lineRule="auto"/>
        <w:jc w:val="both"/>
        <w:rPr>
          <w:rFonts w:ascii="Arial" w:hAnsi="Arial" w:cs="Arial"/>
          <w:b/>
          <w:bCs/>
          <w:lang w:val="en-US"/>
        </w:rPr>
      </w:pPr>
      <w:r w:rsidRPr="00642DEB">
        <w:rPr>
          <w:rFonts w:ascii="Arial" w:hAnsi="Arial" w:cs="Arial"/>
          <w:b/>
          <w:bCs/>
          <w:noProof/>
          <w:lang w:val="en-US"/>
        </w:rPr>
        <w:lastRenderedPageBreak/>
        <w:drawing>
          <wp:inline distT="0" distB="0" distL="0" distR="0" wp14:anchorId="0871E5C8" wp14:editId="6B61534F">
            <wp:extent cx="4184384" cy="5727561"/>
            <wp:effectExtent l="0" t="0" r="0" b="635"/>
            <wp:docPr id="56125396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53962" name=""/>
                    <pic:cNvPicPr/>
                  </pic:nvPicPr>
                  <pic:blipFill>
                    <a:blip r:embed="rId6"/>
                    <a:stretch>
                      <a:fillRect/>
                    </a:stretch>
                  </pic:blipFill>
                  <pic:spPr>
                    <a:xfrm>
                      <a:off x="0" y="0"/>
                      <a:ext cx="4195503" cy="5742781"/>
                    </a:xfrm>
                    <a:prstGeom prst="rect">
                      <a:avLst/>
                    </a:prstGeom>
                  </pic:spPr>
                </pic:pic>
              </a:graphicData>
            </a:graphic>
          </wp:inline>
        </w:drawing>
      </w:r>
    </w:p>
    <w:p w14:paraId="3EC6A9CC" w14:textId="611C0F40"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Supplementary Figure 1. Microglia release mitochondria upon contact with neuronal cells.</w:t>
      </w:r>
    </w:p>
    <w:p w14:paraId="666CD6CA" w14:textId="7777777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(A)</w:t>
      </w:r>
      <w:r w:rsidRPr="00642DEB">
        <w:rPr>
          <w:rFonts w:ascii="Arial" w:hAnsi="Arial" w:cs="Arial"/>
          <w:lang w:val="en-US"/>
        </w:rPr>
        <w:t xml:space="preserve"> Representative images of co-cultures between Dendra2</w:t>
      </w:r>
      <w:r w:rsidRPr="00642DEB">
        <w:rPr>
          <w:rFonts w:ascii="Arial" w:hAnsi="Arial" w:cs="Arial"/>
          <w:vertAlign w:val="superscript"/>
          <w:lang w:val="en-US"/>
        </w:rPr>
        <w:t>+</w:t>
      </w:r>
      <w:r w:rsidRPr="00642DEB">
        <w:rPr>
          <w:rFonts w:ascii="Arial" w:hAnsi="Arial" w:cs="Arial"/>
          <w:lang w:val="en-US"/>
        </w:rPr>
        <w:t xml:space="preserve"> primary microglia and different neuronal cell types: Clu189 cells, primary neurons, and the Neuro2a cell line. Images are shown as merge, Dendra2 channel (green), and brightfield. Numerous extracellular Dendra2</w:t>
      </w:r>
      <w:r w:rsidRPr="00642DEB">
        <w:rPr>
          <w:rFonts w:ascii="Arial" w:hAnsi="Arial" w:cs="Arial"/>
          <w:vertAlign w:val="superscript"/>
          <w:lang w:val="en-US"/>
        </w:rPr>
        <w:t>+</w:t>
      </w:r>
      <w:r w:rsidRPr="00642DEB">
        <w:rPr>
          <w:rFonts w:ascii="Arial" w:hAnsi="Arial" w:cs="Arial"/>
          <w:lang w:val="en-US"/>
        </w:rPr>
        <w:t xml:space="preserve"> mitochondrial particles are detected in the Dendra2 channel, indicating mitochondrial release by microglia in the presence of neuronal cells. </w:t>
      </w:r>
    </w:p>
    <w:p w14:paraId="787901DC" w14:textId="7777777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(B)</w:t>
      </w:r>
      <w:r w:rsidRPr="00642DEB">
        <w:rPr>
          <w:rFonts w:ascii="Arial" w:hAnsi="Arial" w:cs="Arial"/>
          <w:lang w:val="en-US"/>
        </w:rPr>
        <w:t xml:space="preserve"> Validation of cell identity in culture. Clu189 neuronal cells are positive for the neuronal marker MAP2 (red). Primary microglia are positive for the microglial marker Iba1 (magenta).</w:t>
      </w:r>
    </w:p>
    <w:p w14:paraId="55494623" w14:textId="77777777" w:rsidR="00642DEB" w:rsidRPr="00642DEB" w:rsidRDefault="00642DEB" w:rsidP="00642DEB">
      <w:pPr>
        <w:spacing w:line="276" w:lineRule="auto"/>
        <w:jc w:val="both"/>
        <w:rPr>
          <w:rFonts w:ascii="Arial" w:hAnsi="Arial" w:cs="Arial"/>
          <w:lang w:val="en-US"/>
        </w:rPr>
      </w:pPr>
    </w:p>
    <w:p w14:paraId="3F62EF9A" w14:textId="77777777" w:rsidR="00651F32" w:rsidRDefault="00651F32" w:rsidP="00642DEB">
      <w:pPr>
        <w:spacing w:line="276" w:lineRule="auto"/>
        <w:jc w:val="both"/>
        <w:rPr>
          <w:rFonts w:ascii="Arial" w:hAnsi="Arial" w:cs="Arial"/>
          <w:b/>
          <w:bCs/>
          <w:lang w:val="en-US"/>
        </w:rPr>
      </w:pPr>
    </w:p>
    <w:p w14:paraId="6C083661" w14:textId="77777777" w:rsidR="00651F32" w:rsidRDefault="00651F32" w:rsidP="00642DEB">
      <w:pPr>
        <w:spacing w:line="276" w:lineRule="auto"/>
        <w:jc w:val="both"/>
        <w:rPr>
          <w:rFonts w:ascii="Arial" w:hAnsi="Arial" w:cs="Arial"/>
          <w:b/>
          <w:bCs/>
          <w:lang w:val="en-US"/>
        </w:rPr>
      </w:pPr>
    </w:p>
    <w:p w14:paraId="35213EAE" w14:textId="77777777" w:rsidR="00651F32" w:rsidRDefault="00651F32" w:rsidP="00642DEB">
      <w:pPr>
        <w:spacing w:line="276" w:lineRule="auto"/>
        <w:jc w:val="both"/>
        <w:rPr>
          <w:rFonts w:ascii="Arial" w:hAnsi="Arial" w:cs="Arial"/>
          <w:b/>
          <w:bCs/>
          <w:lang w:val="en-US"/>
        </w:rPr>
      </w:pPr>
    </w:p>
    <w:p w14:paraId="4268F518" w14:textId="188E08D3" w:rsidR="00651F32" w:rsidRDefault="007F1C9A" w:rsidP="00642DEB">
      <w:pPr>
        <w:spacing w:line="276" w:lineRule="auto"/>
        <w:jc w:val="both"/>
        <w:rPr>
          <w:rFonts w:ascii="Arial" w:hAnsi="Arial" w:cs="Arial"/>
          <w:b/>
          <w:bCs/>
          <w:lang w:val="en-US"/>
        </w:rPr>
      </w:pPr>
      <w:r w:rsidRPr="007F1C9A">
        <w:rPr>
          <w:rFonts w:ascii="Arial" w:hAnsi="Arial" w:cs="Arial"/>
          <w:b/>
          <w:bCs/>
          <w:noProof/>
          <w:lang w:val="en-US"/>
        </w:rPr>
        <w:lastRenderedPageBreak/>
        <w:drawing>
          <wp:inline distT="0" distB="0" distL="0" distR="0" wp14:anchorId="1BF53A5B" wp14:editId="089F68BA">
            <wp:extent cx="5250264" cy="5632427"/>
            <wp:effectExtent l="0" t="0" r="0" b="0"/>
            <wp:docPr id="5070581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058155" name=""/>
                    <pic:cNvPicPr/>
                  </pic:nvPicPr>
                  <pic:blipFill>
                    <a:blip r:embed="rId7"/>
                    <a:stretch>
                      <a:fillRect/>
                    </a:stretch>
                  </pic:blipFill>
                  <pic:spPr>
                    <a:xfrm>
                      <a:off x="0" y="0"/>
                      <a:ext cx="5263596" cy="5646730"/>
                    </a:xfrm>
                    <a:prstGeom prst="rect">
                      <a:avLst/>
                    </a:prstGeom>
                  </pic:spPr>
                </pic:pic>
              </a:graphicData>
            </a:graphic>
          </wp:inline>
        </w:drawing>
      </w:r>
    </w:p>
    <w:p w14:paraId="7714983C" w14:textId="576E6D6E"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Supplementary Figure 2. Quantification of mitochondrial morphology and validation of gene knockdown.</w:t>
      </w:r>
    </w:p>
    <w:p w14:paraId="6C2128BC" w14:textId="7777777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(A)</w:t>
      </w:r>
      <w:r w:rsidRPr="00642DEB">
        <w:rPr>
          <w:rFonts w:ascii="Arial" w:hAnsi="Arial" w:cs="Arial"/>
          <w:lang w:val="en-US"/>
        </w:rPr>
        <w:t xml:space="preserve"> Representative confocal images of Dendra2-labeled mitochondria (green) in microglia under different stimulation conditions (Naïve, Palmitate, LPS O111:B4, and Mdivi-1 + M1), with nuclei stained with DAPI (blue). Quantification of mitochondrial morphology was performed using the Mitochondrial Analyzer plugin in ImageJ/FIJI. </w:t>
      </w:r>
    </w:p>
    <w:p w14:paraId="4F24A690" w14:textId="7777777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(B)</w:t>
      </w:r>
      <w:r w:rsidRPr="00642DEB">
        <w:rPr>
          <w:rFonts w:ascii="Arial" w:hAnsi="Arial" w:cs="Arial"/>
          <w:lang w:val="en-US"/>
        </w:rPr>
        <w:t xml:space="preserve"> Representative images and quantitative analysis of mitochondrial morphology in microglia treated with LPS O55:B5 compared to naïve control. LPS O55:B5 induces greater mitochondrial fragmentation than LPS O111:B4, as indicated by reduced branch number, branch length, and junctions, with a trend toward increased mitochondrial count per cell.</w:t>
      </w:r>
    </w:p>
    <w:p w14:paraId="4C16BC4D" w14:textId="7777777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(C)</w:t>
      </w:r>
      <w:r w:rsidRPr="00642DEB">
        <w:rPr>
          <w:rFonts w:ascii="Arial" w:hAnsi="Arial" w:cs="Arial"/>
          <w:lang w:val="en-US"/>
        </w:rPr>
        <w:t xml:space="preserve"> qPCR validation of CRISPR-Cas9–mediated knockdown of candidate genes in Clu189 neurons. Gene expression levels are shown as fold change relative to control (GFP-targeting guide RNA).</w:t>
      </w:r>
    </w:p>
    <w:p w14:paraId="1F42B595" w14:textId="77777777" w:rsidR="00642DEB" w:rsidRPr="00642DEB" w:rsidRDefault="00642DEB" w:rsidP="00642DEB">
      <w:pPr>
        <w:spacing w:line="276" w:lineRule="auto"/>
        <w:jc w:val="both"/>
        <w:rPr>
          <w:rFonts w:ascii="Arial" w:hAnsi="Arial" w:cs="Arial"/>
          <w:lang w:val="en-US"/>
        </w:rPr>
      </w:pPr>
      <w:r w:rsidRPr="00642DEB">
        <w:rPr>
          <w:rFonts w:ascii="Arial" w:hAnsi="Arial" w:cs="Arial"/>
          <w:lang w:val="en-US"/>
        </w:rPr>
        <w:t xml:space="preserve">Statistical analysis: unpaired t-test; </w:t>
      </w:r>
      <w:r w:rsidRPr="00642DEB">
        <w:rPr>
          <w:rFonts w:ascii="Arial" w:hAnsi="Arial" w:cs="Arial"/>
          <w:i/>
          <w:iCs/>
          <w:lang w:val="en-US"/>
        </w:rPr>
        <w:t>p</w:t>
      </w:r>
      <w:r w:rsidRPr="00642DEB">
        <w:rPr>
          <w:rFonts w:ascii="Arial" w:hAnsi="Arial" w:cs="Arial"/>
          <w:lang w:val="en-US"/>
        </w:rPr>
        <w:t xml:space="preserve"> &lt; 0.05.</w:t>
      </w:r>
    </w:p>
    <w:p w14:paraId="5D3CE646" w14:textId="357071BB" w:rsidR="00642DEB" w:rsidRPr="00642DEB" w:rsidRDefault="00E4723A" w:rsidP="00642DEB">
      <w:pPr>
        <w:spacing w:line="276" w:lineRule="auto"/>
        <w:jc w:val="both"/>
        <w:rPr>
          <w:rFonts w:ascii="Arial" w:hAnsi="Arial" w:cs="Arial"/>
          <w:lang w:val="en-US"/>
        </w:rPr>
      </w:pPr>
      <w:r w:rsidRPr="00E4723A">
        <w:rPr>
          <w:rFonts w:ascii="Arial" w:hAnsi="Arial" w:cs="Arial"/>
          <w:noProof/>
          <w:lang w:val="en-US"/>
        </w:rPr>
        <w:lastRenderedPageBreak/>
        <w:drawing>
          <wp:inline distT="0" distB="0" distL="0" distR="0" wp14:anchorId="35C7D326" wp14:editId="754A2E4E">
            <wp:extent cx="5400040" cy="6725920"/>
            <wp:effectExtent l="0" t="0" r="0" b="5080"/>
            <wp:docPr id="9978116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11603" name=""/>
                    <pic:cNvPicPr/>
                  </pic:nvPicPr>
                  <pic:blipFill>
                    <a:blip r:embed="rId8"/>
                    <a:stretch>
                      <a:fillRect/>
                    </a:stretch>
                  </pic:blipFill>
                  <pic:spPr>
                    <a:xfrm>
                      <a:off x="0" y="0"/>
                      <a:ext cx="5400040" cy="6725920"/>
                    </a:xfrm>
                    <a:prstGeom prst="rect">
                      <a:avLst/>
                    </a:prstGeom>
                  </pic:spPr>
                </pic:pic>
              </a:graphicData>
            </a:graphic>
          </wp:inline>
        </w:drawing>
      </w:r>
    </w:p>
    <w:p w14:paraId="045B00C5" w14:textId="7777777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Supplementary Figure 3. Isolated microglia-derived mitochondria are internalized by neurons and modulate neuronal metabolism and gene expression.</w:t>
      </w:r>
    </w:p>
    <w:p w14:paraId="5AE34EEC" w14:textId="75F6E4AE"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(A)</w:t>
      </w:r>
      <w:r w:rsidRPr="00642DEB">
        <w:rPr>
          <w:rFonts w:ascii="Arial" w:hAnsi="Arial" w:cs="Arial"/>
          <w:lang w:val="en-US"/>
        </w:rPr>
        <w:t xml:space="preserve"> Transmission electron microscopy (TEM) image of mitochondria isolated from primary microglia, confirming intact mitochondrial ultrastructure</w:t>
      </w:r>
      <w:r w:rsidR="00E4723A">
        <w:rPr>
          <w:rFonts w:ascii="Arial" w:hAnsi="Arial" w:cs="Arial"/>
          <w:lang w:val="en-US"/>
        </w:rPr>
        <w:t xml:space="preserve"> (upper panel)</w:t>
      </w:r>
      <w:r w:rsidRPr="00642DEB">
        <w:rPr>
          <w:rFonts w:ascii="Arial" w:hAnsi="Arial" w:cs="Arial"/>
          <w:lang w:val="en-US"/>
        </w:rPr>
        <w:t>.  Western blot analysis of mitochondrial proteins (NDUFS1, UQCRC2, TOMM20) in isolated mitochondrial fractions, microglial supernatants, and whole microglial lysates following the indicated stimuli (Ctrl, BSA/Palm, LPS, Mdivi-1 + M1). Mitochondrial proteins are enriched in the isolated mitochondrial fraction compared to supernatant controls</w:t>
      </w:r>
      <w:r w:rsidR="00E4723A">
        <w:rPr>
          <w:rFonts w:ascii="Arial" w:hAnsi="Arial" w:cs="Arial"/>
          <w:lang w:val="en-US"/>
        </w:rPr>
        <w:t xml:space="preserve"> (lower panel)</w:t>
      </w:r>
      <w:r w:rsidRPr="00642DEB">
        <w:rPr>
          <w:rFonts w:ascii="Arial" w:hAnsi="Arial" w:cs="Arial"/>
          <w:lang w:val="en-US"/>
        </w:rPr>
        <w:t>.</w:t>
      </w:r>
    </w:p>
    <w:p w14:paraId="5D57985D" w14:textId="45480AF3"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lastRenderedPageBreak/>
        <w:t>(</w:t>
      </w:r>
      <w:r w:rsidR="00E4723A">
        <w:rPr>
          <w:rFonts w:ascii="Arial" w:hAnsi="Arial" w:cs="Arial"/>
          <w:b/>
          <w:bCs/>
          <w:lang w:val="en-US"/>
        </w:rPr>
        <w:t>B</w:t>
      </w:r>
      <w:r w:rsidRPr="00642DEB">
        <w:rPr>
          <w:rFonts w:ascii="Arial" w:hAnsi="Arial" w:cs="Arial"/>
          <w:b/>
          <w:bCs/>
          <w:lang w:val="en-US"/>
        </w:rPr>
        <w:t>)</w:t>
      </w:r>
      <w:r w:rsidRPr="00642DEB">
        <w:rPr>
          <w:rFonts w:ascii="Arial" w:hAnsi="Arial" w:cs="Arial"/>
          <w:lang w:val="en-US"/>
        </w:rPr>
        <w:t xml:space="preserve"> Representative confocal images of Clu189 neurons incubated with isolated microglia-derived mitochondria (Dendra2</w:t>
      </w:r>
      <w:r w:rsidRPr="00642DEB">
        <w:rPr>
          <w:rFonts w:ascii="Arial" w:hAnsi="Arial" w:cs="Arial"/>
          <w:vertAlign w:val="superscript"/>
          <w:lang w:val="en-US"/>
        </w:rPr>
        <w:t>+</w:t>
      </w:r>
      <w:r w:rsidRPr="00642DEB">
        <w:rPr>
          <w:rFonts w:ascii="Arial" w:hAnsi="Arial" w:cs="Arial"/>
          <w:lang w:val="en-US"/>
        </w:rPr>
        <w:t>, green). Nuclei are stained with DAPI (blue) and F-actin with phalloidin (magenta). 3D reconstruction (panel b; top-down and orthogonal views) confirms intracellular localization of Dendra2</w:t>
      </w:r>
      <w:r w:rsidRPr="00642DEB">
        <w:rPr>
          <w:rFonts w:ascii="Arial" w:hAnsi="Arial" w:cs="Arial"/>
          <w:vertAlign w:val="superscript"/>
          <w:lang w:val="en-US"/>
        </w:rPr>
        <w:t>+</w:t>
      </w:r>
      <w:r w:rsidRPr="00642DEB">
        <w:rPr>
          <w:rFonts w:ascii="Arial" w:hAnsi="Arial" w:cs="Arial"/>
          <w:lang w:val="en-US"/>
        </w:rPr>
        <w:t xml:space="preserve"> mitochondria within neuronal </w:t>
      </w:r>
      <w:proofErr w:type="spellStart"/>
      <w:r w:rsidRPr="00642DEB">
        <w:rPr>
          <w:rFonts w:ascii="Arial" w:hAnsi="Arial" w:cs="Arial"/>
          <w:lang w:val="en-US"/>
        </w:rPr>
        <w:t>somata</w:t>
      </w:r>
      <w:proofErr w:type="spellEnd"/>
      <w:r w:rsidRPr="00642DEB">
        <w:rPr>
          <w:rFonts w:ascii="Arial" w:hAnsi="Arial" w:cs="Arial"/>
          <w:lang w:val="en-US"/>
        </w:rPr>
        <w:t>.</w:t>
      </w:r>
    </w:p>
    <w:p w14:paraId="047CFF75" w14:textId="55A50E38"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w:t>
      </w:r>
      <w:r w:rsidR="00E4723A">
        <w:rPr>
          <w:rFonts w:ascii="Arial" w:hAnsi="Arial" w:cs="Arial"/>
          <w:b/>
          <w:bCs/>
          <w:lang w:val="en-US"/>
        </w:rPr>
        <w:t>C</w:t>
      </w:r>
      <w:r w:rsidRPr="00642DEB">
        <w:rPr>
          <w:rFonts w:ascii="Arial" w:hAnsi="Arial" w:cs="Arial"/>
          <w:b/>
          <w:bCs/>
          <w:lang w:val="en-US"/>
        </w:rPr>
        <w:t>)</w:t>
      </w:r>
      <w:r w:rsidRPr="00642DEB">
        <w:rPr>
          <w:rFonts w:ascii="Arial" w:hAnsi="Arial" w:cs="Arial"/>
          <w:lang w:val="en-US"/>
        </w:rPr>
        <w:t xml:space="preserve"> Seahorse extracellular acidification rate (ECAR) analysis of Clu189 neurons treated with vehicle or rotenone and supplemented with mitochondria isolated from microglia exposed to the indicated stimuli. Glycolysis and glycolytic capacity are expressed as fold change relative to vehicle-treated control neurons.</w:t>
      </w:r>
    </w:p>
    <w:p w14:paraId="4A60CC8C" w14:textId="24DC2186"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w:t>
      </w:r>
      <w:r w:rsidR="00E4723A">
        <w:rPr>
          <w:rFonts w:ascii="Arial" w:hAnsi="Arial" w:cs="Arial"/>
          <w:b/>
          <w:bCs/>
          <w:lang w:val="en-US"/>
        </w:rPr>
        <w:t>D</w:t>
      </w:r>
      <w:r w:rsidRPr="00642DEB">
        <w:rPr>
          <w:rFonts w:ascii="Arial" w:hAnsi="Arial" w:cs="Arial"/>
          <w:b/>
          <w:bCs/>
          <w:lang w:val="en-US"/>
        </w:rPr>
        <w:t>)</w:t>
      </w:r>
      <w:r w:rsidRPr="00642DEB">
        <w:rPr>
          <w:rFonts w:ascii="Arial" w:hAnsi="Arial" w:cs="Arial"/>
          <w:lang w:val="en-US"/>
        </w:rPr>
        <w:t xml:space="preserve"> Flow cytometry analysis of mitochondrial ROS using </w:t>
      </w:r>
      <w:proofErr w:type="spellStart"/>
      <w:r w:rsidRPr="00642DEB">
        <w:rPr>
          <w:rFonts w:ascii="Arial" w:hAnsi="Arial" w:cs="Arial"/>
          <w:lang w:val="en-US"/>
        </w:rPr>
        <w:t>MitoSOX</w:t>
      </w:r>
      <w:proofErr w:type="spellEnd"/>
      <w:r w:rsidRPr="00642DEB">
        <w:rPr>
          <w:rFonts w:ascii="Arial" w:hAnsi="Arial" w:cs="Arial"/>
          <w:lang w:val="en-US"/>
        </w:rPr>
        <w:t xml:space="preserve"> in undifferentiated Clu189 neurons co-cultured with microglia under the indicated conditions.</w:t>
      </w:r>
    </w:p>
    <w:p w14:paraId="7E93F4AB" w14:textId="6B81B74D"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w:t>
      </w:r>
      <w:r w:rsidR="00E4723A">
        <w:rPr>
          <w:rFonts w:ascii="Arial" w:hAnsi="Arial" w:cs="Arial"/>
          <w:b/>
          <w:bCs/>
          <w:lang w:val="en-US"/>
        </w:rPr>
        <w:t>E</w:t>
      </w:r>
      <w:r w:rsidRPr="00642DEB">
        <w:rPr>
          <w:rFonts w:ascii="Arial" w:hAnsi="Arial" w:cs="Arial"/>
          <w:b/>
          <w:bCs/>
          <w:lang w:val="en-US"/>
        </w:rPr>
        <w:t>)</w:t>
      </w:r>
      <w:r w:rsidRPr="00642DEB">
        <w:rPr>
          <w:rFonts w:ascii="Arial" w:hAnsi="Arial" w:cs="Arial"/>
          <w:lang w:val="en-US"/>
        </w:rPr>
        <w:t xml:space="preserve"> </w:t>
      </w:r>
      <w:proofErr w:type="spellStart"/>
      <w:r w:rsidRPr="00642DEB">
        <w:rPr>
          <w:rFonts w:ascii="Arial" w:hAnsi="Arial" w:cs="Arial"/>
          <w:lang w:val="en-US"/>
        </w:rPr>
        <w:t>Amplex</w:t>
      </w:r>
      <w:proofErr w:type="spellEnd"/>
      <w:r w:rsidRPr="00642DEB">
        <w:rPr>
          <w:rFonts w:ascii="Arial" w:hAnsi="Arial" w:cs="Arial"/>
          <w:lang w:val="en-US"/>
        </w:rPr>
        <w:t xml:space="preserve"> Red assay measuring H</w:t>
      </w:r>
      <w:r w:rsidRPr="00642DEB">
        <w:rPr>
          <w:rFonts w:ascii="Cambria Math" w:hAnsi="Cambria Math" w:cs="Cambria Math"/>
          <w:lang w:val="en-US"/>
        </w:rPr>
        <w:t>₂</w:t>
      </w:r>
      <w:r w:rsidRPr="00642DEB">
        <w:rPr>
          <w:rFonts w:ascii="Arial" w:hAnsi="Arial" w:cs="Arial"/>
          <w:lang w:val="en-US"/>
        </w:rPr>
        <w:t>O</w:t>
      </w:r>
      <w:r w:rsidRPr="00642DEB">
        <w:rPr>
          <w:rFonts w:ascii="Cambria Math" w:hAnsi="Cambria Math" w:cs="Cambria Math"/>
          <w:lang w:val="en-US"/>
        </w:rPr>
        <w:t>₂</w:t>
      </w:r>
      <w:r w:rsidRPr="00642DEB">
        <w:rPr>
          <w:rFonts w:ascii="Arial" w:hAnsi="Arial" w:cs="Arial"/>
          <w:lang w:val="en-US"/>
        </w:rPr>
        <w:t>-derived fluorescence in differentiated Clu189 neurons treated with isolated microglia-derived mitochondria (</w:t>
      </w:r>
      <w:proofErr w:type="spellStart"/>
      <w:r w:rsidRPr="00642DEB">
        <w:rPr>
          <w:rFonts w:ascii="Arial" w:hAnsi="Arial" w:cs="Arial"/>
          <w:lang w:val="en-US"/>
        </w:rPr>
        <w:t>microglia:neuron</w:t>
      </w:r>
      <w:proofErr w:type="spellEnd"/>
      <w:r w:rsidRPr="00642DEB">
        <w:rPr>
          <w:rFonts w:ascii="Arial" w:hAnsi="Arial" w:cs="Arial"/>
          <w:lang w:val="en-US"/>
        </w:rPr>
        <w:t xml:space="preserve"> ratio 2:1). Data are expressed as fold change relative to control (Clu189 vehicle treated with no mitochondria).</w:t>
      </w:r>
    </w:p>
    <w:p w14:paraId="0D1E2DD9" w14:textId="48BBD72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w:t>
      </w:r>
      <w:r w:rsidR="00E4723A">
        <w:rPr>
          <w:rFonts w:ascii="Arial" w:hAnsi="Arial" w:cs="Arial"/>
          <w:b/>
          <w:bCs/>
          <w:lang w:val="en-US"/>
        </w:rPr>
        <w:t>F</w:t>
      </w:r>
      <w:r w:rsidRPr="00642DEB">
        <w:rPr>
          <w:rFonts w:ascii="Arial" w:hAnsi="Arial" w:cs="Arial"/>
          <w:b/>
          <w:bCs/>
          <w:lang w:val="en-US"/>
        </w:rPr>
        <w:t>)</w:t>
      </w:r>
      <w:r w:rsidRPr="00642DEB">
        <w:rPr>
          <w:rFonts w:ascii="Arial" w:hAnsi="Arial" w:cs="Arial"/>
          <w:lang w:val="en-US"/>
        </w:rPr>
        <w:t xml:space="preserve"> qPCR analysis of </w:t>
      </w:r>
      <w:proofErr w:type="spellStart"/>
      <w:r w:rsidRPr="00642DEB">
        <w:rPr>
          <w:rFonts w:ascii="Arial" w:hAnsi="Arial" w:cs="Arial"/>
          <w:lang w:val="en-US"/>
        </w:rPr>
        <w:t>AgRP</w:t>
      </w:r>
      <w:proofErr w:type="spellEnd"/>
      <w:r w:rsidRPr="00642DEB">
        <w:rPr>
          <w:rFonts w:ascii="Arial" w:hAnsi="Arial" w:cs="Arial"/>
          <w:lang w:val="en-US"/>
        </w:rPr>
        <w:t xml:space="preserve"> (Clu189 neurons) and POMC (POMC neuronal lineage) gene expression following treatment with isolated microglia-derived mitochondria under vehicle or rotenone conditions.</w:t>
      </w:r>
    </w:p>
    <w:p w14:paraId="59D19CB2" w14:textId="69E4F29C"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w:t>
      </w:r>
      <w:r w:rsidR="00E4723A">
        <w:rPr>
          <w:rFonts w:ascii="Arial" w:hAnsi="Arial" w:cs="Arial"/>
          <w:b/>
          <w:bCs/>
          <w:lang w:val="en-US"/>
        </w:rPr>
        <w:t>G</w:t>
      </w:r>
      <w:r w:rsidRPr="00642DEB">
        <w:rPr>
          <w:rFonts w:ascii="Arial" w:hAnsi="Arial" w:cs="Arial"/>
          <w:b/>
          <w:bCs/>
          <w:lang w:val="en-US"/>
        </w:rPr>
        <w:t>)</w:t>
      </w:r>
      <w:r w:rsidRPr="00642DEB">
        <w:rPr>
          <w:rFonts w:ascii="Arial" w:hAnsi="Arial" w:cs="Arial"/>
          <w:lang w:val="en-US"/>
        </w:rPr>
        <w:t xml:space="preserve"> qPCR analysis of TNF-α expression in </w:t>
      </w:r>
      <w:proofErr w:type="spellStart"/>
      <w:r w:rsidRPr="00642DEB">
        <w:rPr>
          <w:rFonts w:ascii="Arial" w:hAnsi="Arial" w:cs="Arial"/>
          <w:lang w:val="en-US"/>
        </w:rPr>
        <w:t>AgRP</w:t>
      </w:r>
      <w:proofErr w:type="spellEnd"/>
      <w:r w:rsidRPr="00642DEB">
        <w:rPr>
          <w:rFonts w:ascii="Arial" w:hAnsi="Arial" w:cs="Arial"/>
          <w:lang w:val="en-US"/>
        </w:rPr>
        <w:t xml:space="preserve"> and POMC neuronal lineages after exposure to microglia-derived mitochondria.</w:t>
      </w:r>
    </w:p>
    <w:p w14:paraId="597541B6" w14:textId="77777777" w:rsidR="00642DEB" w:rsidRPr="00642DEB" w:rsidRDefault="00642DEB" w:rsidP="00642DEB">
      <w:pPr>
        <w:spacing w:line="276" w:lineRule="auto"/>
        <w:jc w:val="both"/>
        <w:rPr>
          <w:rFonts w:ascii="Arial" w:hAnsi="Arial" w:cs="Arial"/>
          <w:lang w:val="en-US"/>
        </w:rPr>
      </w:pPr>
      <w:r w:rsidRPr="00642DEB">
        <w:rPr>
          <w:rFonts w:ascii="Arial" w:hAnsi="Arial" w:cs="Arial"/>
          <w:lang w:val="en-US"/>
        </w:rPr>
        <w:t xml:space="preserve">Statistical analysis: unpaired t-test or one-way ANOVA as appropriate; data represent mean ± SEM; </w:t>
      </w:r>
      <w:r w:rsidRPr="00642DEB">
        <w:rPr>
          <w:rFonts w:ascii="Arial" w:hAnsi="Arial" w:cs="Arial"/>
          <w:i/>
          <w:iCs/>
          <w:lang w:val="en-US"/>
        </w:rPr>
        <w:t>p</w:t>
      </w:r>
      <w:r w:rsidRPr="00642DEB">
        <w:rPr>
          <w:rFonts w:ascii="Arial" w:hAnsi="Arial" w:cs="Arial"/>
          <w:lang w:val="en-US"/>
        </w:rPr>
        <w:t xml:space="preserve"> &lt; 0.05.</w:t>
      </w:r>
    </w:p>
    <w:p w14:paraId="0266D649" w14:textId="77777777" w:rsidR="00642DEB" w:rsidRPr="00642DEB" w:rsidRDefault="00642DEB" w:rsidP="00642DEB">
      <w:pPr>
        <w:spacing w:line="276" w:lineRule="auto"/>
        <w:jc w:val="both"/>
        <w:rPr>
          <w:rFonts w:ascii="Arial" w:hAnsi="Arial" w:cs="Arial"/>
          <w:lang w:val="en-US"/>
        </w:rPr>
      </w:pPr>
    </w:p>
    <w:p w14:paraId="6A647805" w14:textId="77777777" w:rsidR="007F1C9A" w:rsidRDefault="007F1C9A" w:rsidP="00642DEB">
      <w:pPr>
        <w:spacing w:line="276" w:lineRule="auto"/>
        <w:jc w:val="both"/>
        <w:rPr>
          <w:rFonts w:ascii="Arial" w:hAnsi="Arial" w:cs="Arial"/>
          <w:b/>
          <w:bCs/>
          <w:lang w:val="en-US"/>
        </w:rPr>
      </w:pPr>
    </w:p>
    <w:p w14:paraId="34A24509" w14:textId="77777777" w:rsidR="007F1C9A" w:rsidRDefault="007F1C9A" w:rsidP="00642DEB">
      <w:pPr>
        <w:spacing w:line="276" w:lineRule="auto"/>
        <w:jc w:val="both"/>
        <w:rPr>
          <w:rFonts w:ascii="Arial" w:hAnsi="Arial" w:cs="Arial"/>
          <w:b/>
          <w:bCs/>
          <w:lang w:val="en-US"/>
        </w:rPr>
      </w:pPr>
    </w:p>
    <w:p w14:paraId="25642083" w14:textId="77777777" w:rsidR="007F1C9A" w:rsidRDefault="007F1C9A" w:rsidP="00642DEB">
      <w:pPr>
        <w:spacing w:line="276" w:lineRule="auto"/>
        <w:jc w:val="both"/>
        <w:rPr>
          <w:rFonts w:ascii="Arial" w:hAnsi="Arial" w:cs="Arial"/>
          <w:b/>
          <w:bCs/>
          <w:lang w:val="en-US"/>
        </w:rPr>
      </w:pPr>
    </w:p>
    <w:p w14:paraId="6ABA728F" w14:textId="77777777" w:rsidR="007F1C9A" w:rsidRDefault="007F1C9A" w:rsidP="00642DEB">
      <w:pPr>
        <w:spacing w:line="276" w:lineRule="auto"/>
        <w:jc w:val="both"/>
        <w:rPr>
          <w:rFonts w:ascii="Arial" w:hAnsi="Arial" w:cs="Arial"/>
          <w:b/>
          <w:bCs/>
          <w:lang w:val="en-US"/>
        </w:rPr>
      </w:pPr>
    </w:p>
    <w:p w14:paraId="12371033" w14:textId="77777777" w:rsidR="007F1C9A" w:rsidRDefault="007F1C9A" w:rsidP="00642DEB">
      <w:pPr>
        <w:spacing w:line="276" w:lineRule="auto"/>
        <w:jc w:val="both"/>
        <w:rPr>
          <w:rFonts w:ascii="Arial" w:hAnsi="Arial" w:cs="Arial"/>
          <w:b/>
          <w:bCs/>
          <w:lang w:val="en-US"/>
        </w:rPr>
      </w:pPr>
    </w:p>
    <w:p w14:paraId="5A0B25DB" w14:textId="77777777" w:rsidR="007F1C9A" w:rsidRDefault="007F1C9A" w:rsidP="00642DEB">
      <w:pPr>
        <w:spacing w:line="276" w:lineRule="auto"/>
        <w:jc w:val="both"/>
        <w:rPr>
          <w:rFonts w:ascii="Arial" w:hAnsi="Arial" w:cs="Arial"/>
          <w:b/>
          <w:bCs/>
          <w:lang w:val="en-US"/>
        </w:rPr>
      </w:pPr>
    </w:p>
    <w:p w14:paraId="4920B27F" w14:textId="77777777" w:rsidR="007F1C9A" w:rsidRDefault="007F1C9A" w:rsidP="00642DEB">
      <w:pPr>
        <w:spacing w:line="276" w:lineRule="auto"/>
        <w:jc w:val="both"/>
        <w:rPr>
          <w:rFonts w:ascii="Arial" w:hAnsi="Arial" w:cs="Arial"/>
          <w:b/>
          <w:bCs/>
          <w:lang w:val="en-US"/>
        </w:rPr>
      </w:pPr>
    </w:p>
    <w:p w14:paraId="0BE9D704" w14:textId="77777777" w:rsidR="007F1C9A" w:rsidRDefault="007F1C9A" w:rsidP="00642DEB">
      <w:pPr>
        <w:spacing w:line="276" w:lineRule="auto"/>
        <w:jc w:val="both"/>
        <w:rPr>
          <w:rFonts w:ascii="Arial" w:hAnsi="Arial" w:cs="Arial"/>
          <w:b/>
          <w:bCs/>
          <w:lang w:val="en-US"/>
        </w:rPr>
      </w:pPr>
    </w:p>
    <w:p w14:paraId="4EEFAF27" w14:textId="77777777" w:rsidR="007F1C9A" w:rsidRDefault="007F1C9A" w:rsidP="00642DEB">
      <w:pPr>
        <w:spacing w:line="276" w:lineRule="auto"/>
        <w:jc w:val="both"/>
        <w:rPr>
          <w:rFonts w:ascii="Arial" w:hAnsi="Arial" w:cs="Arial"/>
          <w:b/>
          <w:bCs/>
          <w:lang w:val="en-US"/>
        </w:rPr>
      </w:pPr>
    </w:p>
    <w:p w14:paraId="34A1C6AE" w14:textId="77777777" w:rsidR="007F1C9A" w:rsidRDefault="007F1C9A" w:rsidP="00642DEB">
      <w:pPr>
        <w:spacing w:line="276" w:lineRule="auto"/>
        <w:jc w:val="both"/>
        <w:rPr>
          <w:rFonts w:ascii="Arial" w:hAnsi="Arial" w:cs="Arial"/>
          <w:b/>
          <w:bCs/>
          <w:lang w:val="en-US"/>
        </w:rPr>
      </w:pPr>
    </w:p>
    <w:p w14:paraId="37B0C024" w14:textId="77777777" w:rsidR="007F1C9A" w:rsidRDefault="007F1C9A" w:rsidP="00642DEB">
      <w:pPr>
        <w:spacing w:line="276" w:lineRule="auto"/>
        <w:jc w:val="both"/>
        <w:rPr>
          <w:rFonts w:ascii="Arial" w:hAnsi="Arial" w:cs="Arial"/>
          <w:b/>
          <w:bCs/>
          <w:lang w:val="en-US"/>
        </w:rPr>
      </w:pPr>
    </w:p>
    <w:p w14:paraId="1E7144B3" w14:textId="77777777" w:rsidR="007F1C9A" w:rsidRDefault="007F1C9A" w:rsidP="00642DEB">
      <w:pPr>
        <w:spacing w:line="276" w:lineRule="auto"/>
        <w:jc w:val="both"/>
        <w:rPr>
          <w:rFonts w:ascii="Arial" w:hAnsi="Arial" w:cs="Arial"/>
          <w:b/>
          <w:bCs/>
          <w:lang w:val="en-US"/>
        </w:rPr>
      </w:pPr>
    </w:p>
    <w:p w14:paraId="1AC6DE6A" w14:textId="77777777" w:rsidR="007F1C9A" w:rsidRDefault="007F1C9A" w:rsidP="00642DEB">
      <w:pPr>
        <w:spacing w:line="276" w:lineRule="auto"/>
        <w:jc w:val="both"/>
        <w:rPr>
          <w:rFonts w:ascii="Arial" w:hAnsi="Arial" w:cs="Arial"/>
          <w:b/>
          <w:bCs/>
          <w:lang w:val="en-US"/>
        </w:rPr>
      </w:pPr>
    </w:p>
    <w:p w14:paraId="2E667114" w14:textId="77777777" w:rsidR="007F1C9A" w:rsidRDefault="007F1C9A" w:rsidP="00642DEB">
      <w:pPr>
        <w:spacing w:line="276" w:lineRule="auto"/>
        <w:jc w:val="both"/>
        <w:rPr>
          <w:rFonts w:ascii="Arial" w:hAnsi="Arial" w:cs="Arial"/>
          <w:b/>
          <w:bCs/>
          <w:lang w:val="en-US"/>
        </w:rPr>
      </w:pPr>
    </w:p>
    <w:p w14:paraId="2968A588" w14:textId="77777777" w:rsidR="007F1C9A" w:rsidRDefault="007F1C9A" w:rsidP="00642DEB">
      <w:pPr>
        <w:spacing w:line="276" w:lineRule="auto"/>
        <w:jc w:val="both"/>
        <w:rPr>
          <w:rFonts w:ascii="Arial" w:hAnsi="Arial" w:cs="Arial"/>
          <w:b/>
          <w:bCs/>
          <w:lang w:val="en-US"/>
        </w:rPr>
      </w:pPr>
    </w:p>
    <w:p w14:paraId="452A3B74" w14:textId="77777777" w:rsidR="007F1C9A" w:rsidRDefault="007F1C9A" w:rsidP="00642DEB">
      <w:pPr>
        <w:spacing w:line="276" w:lineRule="auto"/>
        <w:jc w:val="both"/>
        <w:rPr>
          <w:rFonts w:ascii="Arial" w:hAnsi="Arial" w:cs="Arial"/>
          <w:b/>
          <w:bCs/>
          <w:lang w:val="en-US"/>
        </w:rPr>
      </w:pPr>
    </w:p>
    <w:p w14:paraId="7502D5B2" w14:textId="77777777" w:rsidR="007F1C9A" w:rsidRDefault="007F1C9A" w:rsidP="00642DEB">
      <w:pPr>
        <w:spacing w:line="276" w:lineRule="auto"/>
        <w:jc w:val="both"/>
        <w:rPr>
          <w:rFonts w:ascii="Arial" w:hAnsi="Arial" w:cs="Arial"/>
          <w:b/>
          <w:bCs/>
          <w:lang w:val="en-US"/>
        </w:rPr>
      </w:pPr>
    </w:p>
    <w:p w14:paraId="3A528365" w14:textId="77777777" w:rsidR="007F1C9A" w:rsidRDefault="007F1C9A" w:rsidP="00642DEB">
      <w:pPr>
        <w:spacing w:line="276" w:lineRule="auto"/>
        <w:jc w:val="both"/>
        <w:rPr>
          <w:rFonts w:ascii="Arial" w:hAnsi="Arial" w:cs="Arial"/>
          <w:b/>
          <w:bCs/>
          <w:lang w:val="en-US"/>
        </w:rPr>
      </w:pPr>
    </w:p>
    <w:p w14:paraId="0E7B76D9" w14:textId="77777777" w:rsidR="007F1C9A" w:rsidRDefault="007F1C9A" w:rsidP="00642DEB">
      <w:pPr>
        <w:spacing w:line="276" w:lineRule="auto"/>
        <w:jc w:val="both"/>
        <w:rPr>
          <w:rFonts w:ascii="Arial" w:hAnsi="Arial" w:cs="Arial"/>
          <w:b/>
          <w:bCs/>
          <w:lang w:val="en-US"/>
        </w:rPr>
      </w:pPr>
    </w:p>
    <w:p w14:paraId="41A13253" w14:textId="77777777" w:rsidR="007F1C9A" w:rsidRDefault="007F1C9A" w:rsidP="00642DEB">
      <w:pPr>
        <w:spacing w:line="276" w:lineRule="auto"/>
        <w:jc w:val="both"/>
        <w:rPr>
          <w:rFonts w:ascii="Arial" w:hAnsi="Arial" w:cs="Arial"/>
          <w:b/>
          <w:bCs/>
          <w:lang w:val="en-US"/>
        </w:rPr>
      </w:pPr>
    </w:p>
    <w:p w14:paraId="0DA3F293" w14:textId="77777777" w:rsidR="007F1C9A" w:rsidRDefault="007F1C9A" w:rsidP="00642DEB">
      <w:pPr>
        <w:spacing w:line="276" w:lineRule="auto"/>
        <w:jc w:val="both"/>
        <w:rPr>
          <w:rFonts w:ascii="Arial" w:hAnsi="Arial" w:cs="Arial"/>
          <w:b/>
          <w:bCs/>
          <w:lang w:val="en-US"/>
        </w:rPr>
      </w:pPr>
    </w:p>
    <w:p w14:paraId="6E1E22A3" w14:textId="77777777" w:rsidR="007F1C9A" w:rsidRDefault="007F1C9A" w:rsidP="00642DEB">
      <w:pPr>
        <w:spacing w:line="276" w:lineRule="auto"/>
        <w:jc w:val="both"/>
        <w:rPr>
          <w:rFonts w:ascii="Arial" w:hAnsi="Arial" w:cs="Arial"/>
          <w:b/>
          <w:bCs/>
          <w:lang w:val="en-US"/>
        </w:rPr>
      </w:pPr>
    </w:p>
    <w:p w14:paraId="173915F8" w14:textId="77777777" w:rsidR="007F1C9A" w:rsidRDefault="007F1C9A" w:rsidP="00642DEB">
      <w:pPr>
        <w:spacing w:line="276" w:lineRule="auto"/>
        <w:jc w:val="both"/>
        <w:rPr>
          <w:rFonts w:ascii="Arial" w:hAnsi="Arial" w:cs="Arial"/>
          <w:b/>
          <w:bCs/>
          <w:lang w:val="en-US"/>
        </w:rPr>
      </w:pPr>
    </w:p>
    <w:p w14:paraId="7200EEF0" w14:textId="77777777" w:rsidR="007F1C9A" w:rsidRDefault="007F1C9A" w:rsidP="00642DEB">
      <w:pPr>
        <w:spacing w:line="276" w:lineRule="auto"/>
        <w:jc w:val="both"/>
        <w:rPr>
          <w:rFonts w:ascii="Arial" w:hAnsi="Arial" w:cs="Arial"/>
          <w:b/>
          <w:bCs/>
          <w:lang w:val="en-US"/>
        </w:rPr>
      </w:pPr>
    </w:p>
    <w:p w14:paraId="00ECF5F3" w14:textId="77777777" w:rsidR="007F1C9A" w:rsidRDefault="007F1C9A" w:rsidP="00642DEB">
      <w:pPr>
        <w:spacing w:line="276" w:lineRule="auto"/>
        <w:jc w:val="both"/>
        <w:rPr>
          <w:rFonts w:ascii="Arial" w:hAnsi="Arial" w:cs="Arial"/>
          <w:b/>
          <w:bCs/>
          <w:lang w:val="en-US"/>
        </w:rPr>
      </w:pPr>
    </w:p>
    <w:p w14:paraId="3C22C4F3" w14:textId="32455069" w:rsidR="007F1C9A" w:rsidRDefault="007F1C9A" w:rsidP="00642DEB">
      <w:pPr>
        <w:spacing w:line="276" w:lineRule="auto"/>
        <w:jc w:val="both"/>
        <w:rPr>
          <w:rFonts w:ascii="Arial" w:hAnsi="Arial" w:cs="Arial"/>
          <w:b/>
          <w:bCs/>
          <w:lang w:val="en-US"/>
        </w:rPr>
      </w:pPr>
      <w:r w:rsidRPr="007F1C9A">
        <w:rPr>
          <w:rFonts w:ascii="Arial" w:hAnsi="Arial" w:cs="Arial"/>
          <w:b/>
          <w:bCs/>
          <w:noProof/>
          <w:lang w:val="en-US"/>
        </w:rPr>
        <w:drawing>
          <wp:inline distT="0" distB="0" distL="0" distR="0" wp14:anchorId="282AA5DF" wp14:editId="3F69DB02">
            <wp:extent cx="5400040" cy="3429000"/>
            <wp:effectExtent l="0" t="0" r="0" b="0"/>
            <wp:docPr id="203278630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86300" name=""/>
                    <pic:cNvPicPr/>
                  </pic:nvPicPr>
                  <pic:blipFill>
                    <a:blip r:embed="rId9"/>
                    <a:stretch>
                      <a:fillRect/>
                    </a:stretch>
                  </pic:blipFill>
                  <pic:spPr>
                    <a:xfrm>
                      <a:off x="0" y="0"/>
                      <a:ext cx="5400040" cy="3429000"/>
                    </a:xfrm>
                    <a:prstGeom prst="rect">
                      <a:avLst/>
                    </a:prstGeom>
                  </pic:spPr>
                </pic:pic>
              </a:graphicData>
            </a:graphic>
          </wp:inline>
        </w:drawing>
      </w:r>
    </w:p>
    <w:p w14:paraId="3E3768F7" w14:textId="1DA41E15"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Supplementary Figure 4. Astrocytes do not internalize microglia-derived mitochondria in the arcuate nucleus.</w:t>
      </w:r>
    </w:p>
    <w:p w14:paraId="6EC29948" w14:textId="7777777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(A)</w:t>
      </w:r>
      <w:r w:rsidRPr="00642DEB">
        <w:rPr>
          <w:rFonts w:ascii="Arial" w:hAnsi="Arial" w:cs="Arial"/>
          <w:lang w:val="en-US"/>
        </w:rPr>
        <w:t xml:space="preserve"> Representative confocal images of the arcuate nucleus from </w:t>
      </w:r>
      <w:proofErr w:type="spellStart"/>
      <w:r w:rsidRPr="00642DEB">
        <w:rPr>
          <w:rFonts w:ascii="Arial" w:hAnsi="Arial" w:cs="Arial"/>
          <w:lang w:val="en-US"/>
        </w:rPr>
        <w:t>LyzM-CrePham</w:t>
      </w:r>
      <w:proofErr w:type="spellEnd"/>
      <w:r w:rsidRPr="00642DEB">
        <w:rPr>
          <w:rFonts w:ascii="Arial" w:hAnsi="Arial" w:cs="Arial"/>
          <w:vertAlign w:val="superscript"/>
          <w:lang w:val="en-US"/>
        </w:rPr>
        <w:t>+</w:t>
      </w:r>
      <w:r w:rsidRPr="00642DEB">
        <w:rPr>
          <w:rFonts w:ascii="Arial" w:hAnsi="Arial" w:cs="Arial"/>
          <w:lang w:val="en-US"/>
        </w:rPr>
        <w:t xml:space="preserve"> mice showing astrocytes labeled with GFAP (magenta), microglia-derived Dendra2</w:t>
      </w:r>
      <w:r w:rsidRPr="00642DEB">
        <w:rPr>
          <w:rFonts w:ascii="Arial" w:hAnsi="Arial" w:cs="Arial"/>
          <w:vertAlign w:val="superscript"/>
          <w:lang w:val="en-US"/>
        </w:rPr>
        <w:t>+</w:t>
      </w:r>
      <w:r w:rsidRPr="00642DEB">
        <w:rPr>
          <w:rFonts w:ascii="Arial" w:hAnsi="Arial" w:cs="Arial"/>
          <w:lang w:val="en-US"/>
        </w:rPr>
        <w:t xml:space="preserve"> mitochondria (green), and nuclei stained with DAPI (blue). Dendra2</w:t>
      </w:r>
      <w:r w:rsidRPr="00642DEB">
        <w:rPr>
          <w:rFonts w:ascii="Arial" w:hAnsi="Arial" w:cs="Arial"/>
          <w:vertAlign w:val="superscript"/>
          <w:lang w:val="en-US"/>
        </w:rPr>
        <w:t>+</w:t>
      </w:r>
      <w:r w:rsidRPr="00642DEB">
        <w:rPr>
          <w:rFonts w:ascii="Arial" w:hAnsi="Arial" w:cs="Arial"/>
          <w:lang w:val="en-US"/>
        </w:rPr>
        <w:t xml:space="preserve"> mitochondrial signal is not detected within GFAP</w:t>
      </w:r>
      <w:r w:rsidRPr="00642DEB">
        <w:rPr>
          <w:rFonts w:ascii="Arial" w:hAnsi="Arial" w:cs="Arial"/>
          <w:vertAlign w:val="superscript"/>
          <w:lang w:val="en-US"/>
        </w:rPr>
        <w:t>+</w:t>
      </w:r>
      <w:r w:rsidRPr="00642DEB">
        <w:rPr>
          <w:rFonts w:ascii="Arial" w:hAnsi="Arial" w:cs="Arial"/>
          <w:lang w:val="en-US"/>
        </w:rPr>
        <w:t xml:space="preserve"> astrocytes, indicating lack of mitochondrial uptake by astrocytes in this region. </w:t>
      </w:r>
    </w:p>
    <w:p w14:paraId="3A7F4FED" w14:textId="7777777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(B)</w:t>
      </w:r>
      <w:r w:rsidRPr="00642DEB">
        <w:rPr>
          <w:rFonts w:ascii="Arial" w:hAnsi="Arial" w:cs="Arial"/>
          <w:lang w:val="en-US"/>
        </w:rPr>
        <w:t xml:space="preserve"> Quantification of Dendra2</w:t>
      </w:r>
      <w:r w:rsidRPr="00642DEB">
        <w:rPr>
          <w:rFonts w:ascii="Arial" w:hAnsi="Arial" w:cs="Arial"/>
          <w:vertAlign w:val="superscript"/>
          <w:lang w:val="en-US"/>
        </w:rPr>
        <w:t>+</w:t>
      </w:r>
      <w:r w:rsidRPr="00642DEB">
        <w:rPr>
          <w:rFonts w:ascii="Arial" w:hAnsi="Arial" w:cs="Arial"/>
          <w:lang w:val="en-US"/>
        </w:rPr>
        <w:t xml:space="preserve"> neuronal uptake in the VMH of mice fed either chow diet or HFD. Data are expressed as mean ± SEM. N = 5–10 animals per group. Statistical analysis: unpaired t-test.</w:t>
      </w:r>
    </w:p>
    <w:p w14:paraId="4129F8CF" w14:textId="77777777" w:rsidR="00642DEB" w:rsidRPr="00642DEB" w:rsidRDefault="00642DEB" w:rsidP="00642DEB">
      <w:pPr>
        <w:spacing w:line="276" w:lineRule="auto"/>
        <w:jc w:val="both"/>
        <w:rPr>
          <w:rFonts w:ascii="Arial" w:hAnsi="Arial" w:cs="Arial"/>
          <w:lang w:val="en-US"/>
        </w:rPr>
      </w:pPr>
    </w:p>
    <w:p w14:paraId="0EFEAED4" w14:textId="77777777" w:rsidR="00DD6BBC" w:rsidRDefault="00DD6BBC" w:rsidP="00642DEB">
      <w:pPr>
        <w:spacing w:line="276" w:lineRule="auto"/>
        <w:jc w:val="both"/>
        <w:rPr>
          <w:rFonts w:ascii="Arial" w:hAnsi="Arial" w:cs="Arial"/>
          <w:b/>
          <w:bCs/>
          <w:lang w:val="en-US"/>
        </w:rPr>
      </w:pPr>
    </w:p>
    <w:p w14:paraId="32D185F4" w14:textId="77777777" w:rsidR="00DD6BBC" w:rsidRDefault="00DD6BBC" w:rsidP="00642DEB">
      <w:pPr>
        <w:spacing w:line="276" w:lineRule="auto"/>
        <w:jc w:val="both"/>
        <w:rPr>
          <w:rFonts w:ascii="Arial" w:hAnsi="Arial" w:cs="Arial"/>
          <w:b/>
          <w:bCs/>
          <w:lang w:val="en-US"/>
        </w:rPr>
      </w:pPr>
    </w:p>
    <w:p w14:paraId="2302898A" w14:textId="77777777" w:rsidR="00DD6BBC" w:rsidRDefault="00DD6BBC" w:rsidP="00642DEB">
      <w:pPr>
        <w:spacing w:line="276" w:lineRule="auto"/>
        <w:jc w:val="both"/>
        <w:rPr>
          <w:rFonts w:ascii="Arial" w:hAnsi="Arial" w:cs="Arial"/>
          <w:b/>
          <w:bCs/>
          <w:lang w:val="en-US"/>
        </w:rPr>
      </w:pPr>
    </w:p>
    <w:p w14:paraId="7EB01620" w14:textId="77777777" w:rsidR="00DD6BBC" w:rsidRDefault="00DD6BBC" w:rsidP="00642DEB">
      <w:pPr>
        <w:spacing w:line="276" w:lineRule="auto"/>
        <w:jc w:val="both"/>
        <w:rPr>
          <w:rFonts w:ascii="Arial" w:hAnsi="Arial" w:cs="Arial"/>
          <w:b/>
          <w:bCs/>
          <w:lang w:val="en-US"/>
        </w:rPr>
      </w:pPr>
    </w:p>
    <w:p w14:paraId="74679CAA" w14:textId="77777777" w:rsidR="00DD6BBC" w:rsidRDefault="00DD6BBC" w:rsidP="00642DEB">
      <w:pPr>
        <w:spacing w:line="276" w:lineRule="auto"/>
        <w:jc w:val="both"/>
        <w:rPr>
          <w:rFonts w:ascii="Arial" w:hAnsi="Arial" w:cs="Arial"/>
          <w:b/>
          <w:bCs/>
          <w:lang w:val="en-US"/>
        </w:rPr>
      </w:pPr>
    </w:p>
    <w:p w14:paraId="7217E908" w14:textId="77777777" w:rsidR="00DD6BBC" w:rsidRDefault="00DD6BBC" w:rsidP="00642DEB">
      <w:pPr>
        <w:spacing w:line="276" w:lineRule="auto"/>
        <w:jc w:val="both"/>
        <w:rPr>
          <w:rFonts w:ascii="Arial" w:hAnsi="Arial" w:cs="Arial"/>
          <w:b/>
          <w:bCs/>
          <w:lang w:val="en-US"/>
        </w:rPr>
      </w:pPr>
    </w:p>
    <w:p w14:paraId="1DD2D921" w14:textId="77777777" w:rsidR="00DD6BBC" w:rsidRDefault="00DD6BBC" w:rsidP="00642DEB">
      <w:pPr>
        <w:spacing w:line="276" w:lineRule="auto"/>
        <w:jc w:val="both"/>
        <w:rPr>
          <w:rFonts w:ascii="Arial" w:hAnsi="Arial" w:cs="Arial"/>
          <w:b/>
          <w:bCs/>
          <w:lang w:val="en-US"/>
        </w:rPr>
      </w:pPr>
    </w:p>
    <w:p w14:paraId="0EFCE869" w14:textId="77777777" w:rsidR="00DD6BBC" w:rsidRDefault="00DD6BBC" w:rsidP="00642DEB">
      <w:pPr>
        <w:spacing w:line="276" w:lineRule="auto"/>
        <w:jc w:val="both"/>
        <w:rPr>
          <w:rFonts w:ascii="Arial" w:hAnsi="Arial" w:cs="Arial"/>
          <w:b/>
          <w:bCs/>
          <w:lang w:val="en-US"/>
        </w:rPr>
      </w:pPr>
    </w:p>
    <w:p w14:paraId="3F1B13F6" w14:textId="77777777" w:rsidR="00DD6BBC" w:rsidRDefault="00DD6BBC" w:rsidP="00642DEB">
      <w:pPr>
        <w:spacing w:line="276" w:lineRule="auto"/>
        <w:jc w:val="both"/>
        <w:rPr>
          <w:rFonts w:ascii="Arial" w:hAnsi="Arial" w:cs="Arial"/>
          <w:b/>
          <w:bCs/>
          <w:lang w:val="en-US"/>
        </w:rPr>
      </w:pPr>
    </w:p>
    <w:p w14:paraId="14CABB17" w14:textId="77777777" w:rsidR="00DD6BBC" w:rsidRDefault="00DD6BBC" w:rsidP="00642DEB">
      <w:pPr>
        <w:spacing w:line="276" w:lineRule="auto"/>
        <w:jc w:val="both"/>
        <w:rPr>
          <w:rFonts w:ascii="Arial" w:hAnsi="Arial" w:cs="Arial"/>
          <w:b/>
          <w:bCs/>
          <w:lang w:val="en-US"/>
        </w:rPr>
      </w:pPr>
    </w:p>
    <w:p w14:paraId="023B0282" w14:textId="0CD9A63A" w:rsidR="00642DEB" w:rsidRPr="00642DEB" w:rsidRDefault="00642DEB" w:rsidP="00642DEB">
      <w:pPr>
        <w:spacing w:line="276" w:lineRule="auto"/>
        <w:jc w:val="both"/>
        <w:rPr>
          <w:rFonts w:ascii="Arial" w:hAnsi="Arial" w:cs="Arial"/>
          <w:b/>
          <w:bCs/>
          <w:lang w:val="en-US"/>
        </w:rPr>
      </w:pPr>
      <w:r w:rsidRPr="00642DEB">
        <w:rPr>
          <w:rFonts w:ascii="Arial" w:hAnsi="Arial" w:cs="Arial"/>
          <w:b/>
          <w:bCs/>
          <w:lang w:val="en-US"/>
        </w:rPr>
        <w:lastRenderedPageBreak/>
        <w:t>Video S1C. Microglia release mitochondria-containing vesicles during co-culture with stressed neurons.</w:t>
      </w:r>
    </w:p>
    <w:p w14:paraId="2CDBD885" w14:textId="77777777" w:rsidR="00642DEB" w:rsidRPr="00642DEB" w:rsidRDefault="00642DEB" w:rsidP="00642DEB">
      <w:pPr>
        <w:spacing w:line="276" w:lineRule="auto"/>
        <w:jc w:val="both"/>
        <w:rPr>
          <w:rFonts w:ascii="Arial" w:hAnsi="Arial" w:cs="Arial"/>
          <w:lang w:val="en-US"/>
        </w:rPr>
      </w:pPr>
      <w:r w:rsidRPr="00642DEB">
        <w:rPr>
          <w:rFonts w:ascii="Arial" w:hAnsi="Arial" w:cs="Arial"/>
          <w:lang w:val="en-US"/>
        </w:rPr>
        <w:t>Time-lapse confocal imaging of a Dendra2</w:t>
      </w:r>
      <w:r w:rsidRPr="00642DEB">
        <w:rPr>
          <w:rFonts w:ascii="Arial" w:hAnsi="Arial" w:cs="Arial"/>
          <w:vertAlign w:val="superscript"/>
          <w:lang w:val="en-US"/>
        </w:rPr>
        <w:t>+</w:t>
      </w:r>
      <w:r w:rsidRPr="00642DEB">
        <w:rPr>
          <w:rFonts w:ascii="Arial" w:hAnsi="Arial" w:cs="Arial"/>
          <w:lang w:val="en-US"/>
        </w:rPr>
        <w:t xml:space="preserve"> primary microglial cell co-cultured with rotenone-stimulated Clu189 neurons. Over approximately 3 h of imaging, the microglial cell releases a vesicular structure containing Dendra2-labeled mitochondria into the extracellular space. Dendra2 signal is shown in green. Time indicated in </w:t>
      </w:r>
      <w:proofErr w:type="spellStart"/>
      <w:r w:rsidRPr="00642DEB">
        <w:rPr>
          <w:rFonts w:ascii="Arial" w:hAnsi="Arial" w:cs="Arial"/>
          <w:lang w:val="en-US"/>
        </w:rPr>
        <w:t>hh:mm:sec</w:t>
      </w:r>
      <w:proofErr w:type="spellEnd"/>
      <w:r w:rsidRPr="00642DEB">
        <w:rPr>
          <w:rFonts w:ascii="Arial" w:hAnsi="Arial" w:cs="Arial"/>
          <w:lang w:val="en-US"/>
        </w:rPr>
        <w:t xml:space="preserve"> format.</w:t>
      </w:r>
    </w:p>
    <w:p w14:paraId="090E2F01" w14:textId="77777777" w:rsidR="00642DEB" w:rsidRPr="00642DEB" w:rsidRDefault="00642DEB" w:rsidP="00642DEB">
      <w:pPr>
        <w:spacing w:line="276" w:lineRule="auto"/>
        <w:jc w:val="both"/>
        <w:rPr>
          <w:rFonts w:ascii="Arial" w:hAnsi="Arial" w:cs="Arial"/>
          <w:lang w:val="en-US"/>
        </w:rPr>
      </w:pPr>
    </w:p>
    <w:p w14:paraId="002DE4D3" w14:textId="77777777" w:rsidR="00642DEB" w:rsidRPr="00642DEB" w:rsidRDefault="00642DEB" w:rsidP="00642DEB">
      <w:pPr>
        <w:spacing w:line="276" w:lineRule="auto"/>
        <w:jc w:val="both"/>
        <w:rPr>
          <w:rFonts w:ascii="Arial" w:hAnsi="Arial" w:cs="Arial"/>
          <w:lang w:val="en-US"/>
        </w:rPr>
      </w:pPr>
      <w:r w:rsidRPr="00642DEB">
        <w:rPr>
          <w:rFonts w:ascii="Arial" w:hAnsi="Arial" w:cs="Arial"/>
          <w:b/>
          <w:bCs/>
          <w:lang w:val="en-US"/>
        </w:rPr>
        <w:t>Video S2C. Neuronal process-mediated capture of extracellular mitochondria.</w:t>
      </w:r>
      <w:r w:rsidRPr="00642DEB">
        <w:rPr>
          <w:rFonts w:ascii="Arial" w:hAnsi="Arial" w:cs="Arial"/>
          <w:lang w:val="en-US"/>
        </w:rPr>
        <w:br/>
        <w:t>Time-lapse imaging of a Clu189 neuron (brightfield) interacting with a naked Dendra2</w:t>
      </w:r>
      <w:r w:rsidRPr="00642DEB">
        <w:rPr>
          <w:rFonts w:ascii="Arial" w:hAnsi="Arial" w:cs="Arial"/>
          <w:vertAlign w:val="superscript"/>
          <w:lang w:val="en-US"/>
        </w:rPr>
        <w:t>+</w:t>
      </w:r>
      <w:r w:rsidRPr="00642DEB">
        <w:rPr>
          <w:rFonts w:ascii="Arial" w:hAnsi="Arial" w:cs="Arial"/>
          <w:lang w:val="en-US"/>
        </w:rPr>
        <w:t xml:space="preserve"> mitochondrion (green). The neuron extends a projection toward the extracellular mitochondrion and subsequently retracts the process, drawing the mitochondrion closer to the neuronal soma. Time indicated in </w:t>
      </w:r>
      <w:proofErr w:type="spellStart"/>
      <w:r w:rsidRPr="00642DEB">
        <w:rPr>
          <w:rFonts w:ascii="Arial" w:hAnsi="Arial" w:cs="Arial"/>
          <w:lang w:val="en-US"/>
        </w:rPr>
        <w:t>hh:mm:sec</w:t>
      </w:r>
      <w:proofErr w:type="spellEnd"/>
      <w:r w:rsidRPr="00642DEB">
        <w:rPr>
          <w:rFonts w:ascii="Arial" w:hAnsi="Arial" w:cs="Arial"/>
          <w:lang w:val="en-US"/>
        </w:rPr>
        <w:t xml:space="preserve"> format.</w:t>
      </w:r>
    </w:p>
    <w:p w14:paraId="7E528509" w14:textId="77777777" w:rsidR="00642DEB" w:rsidRPr="00642DEB" w:rsidRDefault="00642DEB">
      <w:pPr>
        <w:rPr>
          <w:lang w:val="en-US"/>
        </w:rPr>
      </w:pPr>
    </w:p>
    <w:sectPr w:rsidR="00642DEB" w:rsidRPr="00642DEB">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66"/>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2DEB"/>
    <w:rsid w:val="00071095"/>
    <w:rsid w:val="00176F16"/>
    <w:rsid w:val="001E1AD8"/>
    <w:rsid w:val="001E32A5"/>
    <w:rsid w:val="00230380"/>
    <w:rsid w:val="00335EE1"/>
    <w:rsid w:val="00343550"/>
    <w:rsid w:val="00396ED3"/>
    <w:rsid w:val="00410A00"/>
    <w:rsid w:val="00464270"/>
    <w:rsid w:val="00480003"/>
    <w:rsid w:val="004E4216"/>
    <w:rsid w:val="00550DD9"/>
    <w:rsid w:val="00642DEB"/>
    <w:rsid w:val="00651F32"/>
    <w:rsid w:val="00736CC2"/>
    <w:rsid w:val="007F1C9A"/>
    <w:rsid w:val="009558B4"/>
    <w:rsid w:val="00B857EF"/>
    <w:rsid w:val="00CC13A2"/>
    <w:rsid w:val="00CE6C77"/>
    <w:rsid w:val="00D37AD5"/>
    <w:rsid w:val="00DA5BE6"/>
    <w:rsid w:val="00DC08F8"/>
    <w:rsid w:val="00DD6BBC"/>
    <w:rsid w:val="00E0718F"/>
    <w:rsid w:val="00E4723A"/>
    <w:rsid w:val="00F474DB"/>
    <w:rsid w:val="00FA305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4:docId w14:val="2847B39F"/>
  <w15:chartTrackingRefBased/>
  <w15:docId w15:val="{F2EEC098-74E1-D246-AECC-AC2C4F29A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pt-B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2DEB"/>
    <w:rPr>
      <w:rFonts w:ascii="Calibri" w:eastAsia="Calibri" w:hAnsi="Calibri" w:cs="Calibri"/>
      <w:kern w:val="0"/>
      <w:lang w:eastAsia="pt-BR"/>
      <w14:ligatures w14:val="none"/>
    </w:rPr>
  </w:style>
  <w:style w:type="paragraph" w:styleId="Ttulo1">
    <w:name w:val="heading 1"/>
    <w:basedOn w:val="Normal"/>
    <w:next w:val="Normal"/>
    <w:link w:val="Ttulo1Char"/>
    <w:uiPriority w:val="9"/>
    <w:qFormat/>
    <w:rsid w:val="00642DEB"/>
    <w:pPr>
      <w:keepNext/>
      <w:keepLines/>
      <w:spacing w:before="360" w:after="80"/>
      <w:outlineLvl w:val="0"/>
    </w:pPr>
    <w:rPr>
      <w:rFonts w:asciiTheme="majorHAnsi" w:eastAsiaTheme="majorEastAsia" w:hAnsiTheme="majorHAnsi" w:cstheme="majorBidi"/>
      <w:color w:val="2F5496" w:themeColor="accent1" w:themeShade="BF"/>
      <w:kern w:val="2"/>
      <w:sz w:val="40"/>
      <w:szCs w:val="40"/>
      <w:lang w:eastAsia="en-US"/>
      <w14:ligatures w14:val="standardContextual"/>
    </w:rPr>
  </w:style>
  <w:style w:type="paragraph" w:styleId="Ttulo2">
    <w:name w:val="heading 2"/>
    <w:basedOn w:val="Normal"/>
    <w:next w:val="Normal"/>
    <w:link w:val="Ttulo2Char"/>
    <w:uiPriority w:val="9"/>
    <w:semiHidden/>
    <w:unhideWhenUsed/>
    <w:qFormat/>
    <w:rsid w:val="00642DEB"/>
    <w:pPr>
      <w:keepNext/>
      <w:keepLines/>
      <w:spacing w:before="160" w:after="80"/>
      <w:outlineLvl w:val="1"/>
    </w:pPr>
    <w:rPr>
      <w:rFonts w:asciiTheme="majorHAnsi" w:eastAsiaTheme="majorEastAsia" w:hAnsiTheme="majorHAnsi" w:cstheme="majorBidi"/>
      <w:color w:val="2F5496" w:themeColor="accent1" w:themeShade="BF"/>
      <w:kern w:val="2"/>
      <w:sz w:val="32"/>
      <w:szCs w:val="32"/>
      <w:lang w:eastAsia="en-US"/>
      <w14:ligatures w14:val="standardContextual"/>
    </w:rPr>
  </w:style>
  <w:style w:type="paragraph" w:styleId="Ttulo3">
    <w:name w:val="heading 3"/>
    <w:basedOn w:val="Normal"/>
    <w:next w:val="Normal"/>
    <w:link w:val="Ttulo3Char"/>
    <w:uiPriority w:val="9"/>
    <w:semiHidden/>
    <w:unhideWhenUsed/>
    <w:qFormat/>
    <w:rsid w:val="00642DEB"/>
    <w:pPr>
      <w:keepNext/>
      <w:keepLines/>
      <w:spacing w:before="160" w:after="80"/>
      <w:outlineLvl w:val="2"/>
    </w:pPr>
    <w:rPr>
      <w:rFonts w:asciiTheme="minorHAnsi" w:eastAsiaTheme="majorEastAsia" w:hAnsiTheme="minorHAnsi" w:cstheme="majorBidi"/>
      <w:color w:val="2F5496" w:themeColor="accent1" w:themeShade="BF"/>
      <w:kern w:val="2"/>
      <w:sz w:val="28"/>
      <w:szCs w:val="28"/>
      <w:lang w:eastAsia="en-US"/>
      <w14:ligatures w14:val="standardContextual"/>
    </w:rPr>
  </w:style>
  <w:style w:type="paragraph" w:styleId="Ttulo4">
    <w:name w:val="heading 4"/>
    <w:basedOn w:val="Normal"/>
    <w:next w:val="Normal"/>
    <w:link w:val="Ttulo4Char"/>
    <w:uiPriority w:val="9"/>
    <w:semiHidden/>
    <w:unhideWhenUsed/>
    <w:qFormat/>
    <w:rsid w:val="00642DEB"/>
    <w:pPr>
      <w:keepNext/>
      <w:keepLines/>
      <w:spacing w:before="80" w:after="40"/>
      <w:outlineLvl w:val="3"/>
    </w:pPr>
    <w:rPr>
      <w:rFonts w:asciiTheme="minorHAnsi" w:eastAsiaTheme="majorEastAsia" w:hAnsiTheme="minorHAnsi" w:cstheme="majorBidi"/>
      <w:i/>
      <w:iCs/>
      <w:color w:val="2F5496" w:themeColor="accent1" w:themeShade="BF"/>
      <w:kern w:val="2"/>
      <w:lang w:eastAsia="en-US"/>
      <w14:ligatures w14:val="standardContextual"/>
    </w:rPr>
  </w:style>
  <w:style w:type="paragraph" w:styleId="Ttulo5">
    <w:name w:val="heading 5"/>
    <w:basedOn w:val="Normal"/>
    <w:next w:val="Normal"/>
    <w:link w:val="Ttulo5Char"/>
    <w:uiPriority w:val="9"/>
    <w:semiHidden/>
    <w:unhideWhenUsed/>
    <w:qFormat/>
    <w:rsid w:val="00642DEB"/>
    <w:pPr>
      <w:keepNext/>
      <w:keepLines/>
      <w:spacing w:before="80" w:after="40"/>
      <w:outlineLvl w:val="4"/>
    </w:pPr>
    <w:rPr>
      <w:rFonts w:asciiTheme="minorHAnsi" w:eastAsiaTheme="majorEastAsia" w:hAnsiTheme="minorHAnsi" w:cstheme="majorBidi"/>
      <w:color w:val="2F5496" w:themeColor="accent1" w:themeShade="BF"/>
      <w:kern w:val="2"/>
      <w:lang w:eastAsia="en-US"/>
      <w14:ligatures w14:val="standardContextual"/>
    </w:rPr>
  </w:style>
  <w:style w:type="paragraph" w:styleId="Ttulo6">
    <w:name w:val="heading 6"/>
    <w:basedOn w:val="Normal"/>
    <w:next w:val="Normal"/>
    <w:link w:val="Ttulo6Char"/>
    <w:uiPriority w:val="9"/>
    <w:semiHidden/>
    <w:unhideWhenUsed/>
    <w:qFormat/>
    <w:rsid w:val="00642DEB"/>
    <w:pPr>
      <w:keepNext/>
      <w:keepLines/>
      <w:spacing w:before="40"/>
      <w:outlineLvl w:val="5"/>
    </w:pPr>
    <w:rPr>
      <w:rFonts w:asciiTheme="minorHAnsi" w:eastAsiaTheme="majorEastAsia" w:hAnsiTheme="minorHAnsi" w:cstheme="majorBidi"/>
      <w:i/>
      <w:iCs/>
      <w:color w:val="595959" w:themeColor="text1" w:themeTint="A6"/>
      <w:kern w:val="2"/>
      <w:lang w:eastAsia="en-US"/>
      <w14:ligatures w14:val="standardContextual"/>
    </w:rPr>
  </w:style>
  <w:style w:type="paragraph" w:styleId="Ttulo7">
    <w:name w:val="heading 7"/>
    <w:basedOn w:val="Normal"/>
    <w:next w:val="Normal"/>
    <w:link w:val="Ttulo7Char"/>
    <w:uiPriority w:val="9"/>
    <w:semiHidden/>
    <w:unhideWhenUsed/>
    <w:qFormat/>
    <w:rsid w:val="00642DEB"/>
    <w:pPr>
      <w:keepNext/>
      <w:keepLines/>
      <w:spacing w:before="40"/>
      <w:outlineLvl w:val="6"/>
    </w:pPr>
    <w:rPr>
      <w:rFonts w:asciiTheme="minorHAnsi" w:eastAsiaTheme="majorEastAsia" w:hAnsiTheme="minorHAnsi" w:cstheme="majorBidi"/>
      <w:color w:val="595959" w:themeColor="text1" w:themeTint="A6"/>
      <w:kern w:val="2"/>
      <w:lang w:eastAsia="en-US"/>
      <w14:ligatures w14:val="standardContextual"/>
    </w:rPr>
  </w:style>
  <w:style w:type="paragraph" w:styleId="Ttulo8">
    <w:name w:val="heading 8"/>
    <w:basedOn w:val="Normal"/>
    <w:next w:val="Normal"/>
    <w:link w:val="Ttulo8Char"/>
    <w:uiPriority w:val="9"/>
    <w:semiHidden/>
    <w:unhideWhenUsed/>
    <w:qFormat/>
    <w:rsid w:val="00642DEB"/>
    <w:pPr>
      <w:keepNext/>
      <w:keepLines/>
      <w:outlineLvl w:val="7"/>
    </w:pPr>
    <w:rPr>
      <w:rFonts w:asciiTheme="minorHAnsi" w:eastAsiaTheme="majorEastAsia" w:hAnsiTheme="minorHAnsi" w:cstheme="majorBidi"/>
      <w:i/>
      <w:iCs/>
      <w:color w:val="272727" w:themeColor="text1" w:themeTint="D8"/>
      <w:kern w:val="2"/>
      <w:lang w:eastAsia="en-US"/>
      <w14:ligatures w14:val="standardContextual"/>
    </w:rPr>
  </w:style>
  <w:style w:type="paragraph" w:styleId="Ttulo9">
    <w:name w:val="heading 9"/>
    <w:basedOn w:val="Normal"/>
    <w:next w:val="Normal"/>
    <w:link w:val="Ttulo9Char"/>
    <w:uiPriority w:val="9"/>
    <w:semiHidden/>
    <w:unhideWhenUsed/>
    <w:qFormat/>
    <w:rsid w:val="00642DEB"/>
    <w:pPr>
      <w:keepNext/>
      <w:keepLines/>
      <w:outlineLvl w:val="8"/>
    </w:pPr>
    <w:rPr>
      <w:rFonts w:asciiTheme="minorHAnsi" w:eastAsiaTheme="majorEastAsia" w:hAnsiTheme="minorHAnsi" w:cstheme="majorBidi"/>
      <w:color w:val="272727" w:themeColor="text1" w:themeTint="D8"/>
      <w:kern w:val="2"/>
      <w:lang w:eastAsia="en-US"/>
      <w14:ligatures w14:val="standardContextua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642DEB"/>
    <w:rPr>
      <w:rFonts w:asciiTheme="majorHAnsi" w:eastAsiaTheme="majorEastAsia" w:hAnsiTheme="majorHAnsi" w:cstheme="majorBidi"/>
      <w:color w:val="2F5496" w:themeColor="accent1" w:themeShade="BF"/>
      <w:sz w:val="40"/>
      <w:szCs w:val="40"/>
    </w:rPr>
  </w:style>
  <w:style w:type="character" w:customStyle="1" w:styleId="Ttulo2Char">
    <w:name w:val="Título 2 Char"/>
    <w:basedOn w:val="Fontepargpadro"/>
    <w:link w:val="Ttulo2"/>
    <w:uiPriority w:val="9"/>
    <w:semiHidden/>
    <w:rsid w:val="00642DEB"/>
    <w:rPr>
      <w:rFonts w:asciiTheme="majorHAnsi" w:eastAsiaTheme="majorEastAsia" w:hAnsiTheme="majorHAnsi" w:cstheme="majorBidi"/>
      <w:color w:val="2F5496" w:themeColor="accent1" w:themeShade="BF"/>
      <w:sz w:val="32"/>
      <w:szCs w:val="32"/>
    </w:rPr>
  </w:style>
  <w:style w:type="character" w:customStyle="1" w:styleId="Ttulo3Char">
    <w:name w:val="Título 3 Char"/>
    <w:basedOn w:val="Fontepargpadro"/>
    <w:link w:val="Ttulo3"/>
    <w:uiPriority w:val="9"/>
    <w:semiHidden/>
    <w:rsid w:val="00642DEB"/>
    <w:rPr>
      <w:rFonts w:eastAsiaTheme="majorEastAsia" w:cstheme="majorBidi"/>
      <w:color w:val="2F5496" w:themeColor="accent1" w:themeShade="BF"/>
      <w:sz w:val="28"/>
      <w:szCs w:val="28"/>
    </w:rPr>
  </w:style>
  <w:style w:type="character" w:customStyle="1" w:styleId="Ttulo4Char">
    <w:name w:val="Título 4 Char"/>
    <w:basedOn w:val="Fontepargpadro"/>
    <w:link w:val="Ttulo4"/>
    <w:uiPriority w:val="9"/>
    <w:semiHidden/>
    <w:rsid w:val="00642DEB"/>
    <w:rPr>
      <w:rFonts w:eastAsiaTheme="majorEastAsia" w:cstheme="majorBidi"/>
      <w:i/>
      <w:iCs/>
      <w:color w:val="2F5496" w:themeColor="accent1" w:themeShade="BF"/>
    </w:rPr>
  </w:style>
  <w:style w:type="character" w:customStyle="1" w:styleId="Ttulo5Char">
    <w:name w:val="Título 5 Char"/>
    <w:basedOn w:val="Fontepargpadro"/>
    <w:link w:val="Ttulo5"/>
    <w:uiPriority w:val="9"/>
    <w:semiHidden/>
    <w:rsid w:val="00642DEB"/>
    <w:rPr>
      <w:rFonts w:eastAsiaTheme="majorEastAsia" w:cstheme="majorBidi"/>
      <w:color w:val="2F5496" w:themeColor="accent1" w:themeShade="BF"/>
    </w:rPr>
  </w:style>
  <w:style w:type="character" w:customStyle="1" w:styleId="Ttulo6Char">
    <w:name w:val="Título 6 Char"/>
    <w:basedOn w:val="Fontepargpadro"/>
    <w:link w:val="Ttulo6"/>
    <w:uiPriority w:val="9"/>
    <w:semiHidden/>
    <w:rsid w:val="00642DEB"/>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642DEB"/>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642DEB"/>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642DEB"/>
    <w:rPr>
      <w:rFonts w:eastAsiaTheme="majorEastAsia" w:cstheme="majorBidi"/>
      <w:color w:val="272727" w:themeColor="text1" w:themeTint="D8"/>
    </w:rPr>
  </w:style>
  <w:style w:type="paragraph" w:styleId="Ttulo">
    <w:name w:val="Title"/>
    <w:basedOn w:val="Normal"/>
    <w:next w:val="Normal"/>
    <w:link w:val="TtuloChar"/>
    <w:uiPriority w:val="10"/>
    <w:qFormat/>
    <w:rsid w:val="00642DEB"/>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tuloChar">
    <w:name w:val="Título Char"/>
    <w:basedOn w:val="Fontepargpadro"/>
    <w:link w:val="Ttulo"/>
    <w:uiPriority w:val="10"/>
    <w:rsid w:val="00642DE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642DEB"/>
    <w:pPr>
      <w:numPr>
        <w:ilvl w:val="1"/>
      </w:numPr>
      <w:spacing w:after="160"/>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ubttuloChar">
    <w:name w:val="Subtítulo Char"/>
    <w:basedOn w:val="Fontepargpadro"/>
    <w:link w:val="Subttulo"/>
    <w:uiPriority w:val="11"/>
    <w:rsid w:val="00642DEB"/>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642DEB"/>
    <w:pPr>
      <w:spacing w:before="160" w:after="160"/>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CitaoChar">
    <w:name w:val="Citação Char"/>
    <w:basedOn w:val="Fontepargpadro"/>
    <w:link w:val="Citao"/>
    <w:uiPriority w:val="29"/>
    <w:rsid w:val="00642DEB"/>
    <w:rPr>
      <w:i/>
      <w:iCs/>
      <w:color w:val="404040" w:themeColor="text1" w:themeTint="BF"/>
    </w:rPr>
  </w:style>
  <w:style w:type="paragraph" w:styleId="PargrafodaLista">
    <w:name w:val="List Paragraph"/>
    <w:basedOn w:val="Normal"/>
    <w:uiPriority w:val="34"/>
    <w:qFormat/>
    <w:rsid w:val="00642DEB"/>
    <w:pPr>
      <w:ind w:left="720"/>
      <w:contextualSpacing/>
    </w:pPr>
    <w:rPr>
      <w:rFonts w:asciiTheme="minorHAnsi" w:eastAsiaTheme="minorHAnsi" w:hAnsiTheme="minorHAnsi" w:cstheme="minorBidi"/>
      <w:kern w:val="2"/>
      <w:lang w:eastAsia="en-US"/>
      <w14:ligatures w14:val="standardContextual"/>
    </w:rPr>
  </w:style>
  <w:style w:type="character" w:styleId="nfaseIntensa">
    <w:name w:val="Intense Emphasis"/>
    <w:basedOn w:val="Fontepargpadro"/>
    <w:uiPriority w:val="21"/>
    <w:qFormat/>
    <w:rsid w:val="00642DEB"/>
    <w:rPr>
      <w:i/>
      <w:iCs/>
      <w:color w:val="2F5496" w:themeColor="accent1" w:themeShade="BF"/>
    </w:rPr>
  </w:style>
  <w:style w:type="paragraph" w:styleId="CitaoIntensa">
    <w:name w:val="Intense Quote"/>
    <w:basedOn w:val="Normal"/>
    <w:next w:val="Normal"/>
    <w:link w:val="CitaoIntensaChar"/>
    <w:uiPriority w:val="30"/>
    <w:qFormat/>
    <w:rsid w:val="00642DEB"/>
    <w:pPr>
      <w:pBdr>
        <w:top w:val="single" w:sz="4" w:space="10" w:color="2F5496" w:themeColor="accent1" w:themeShade="BF"/>
        <w:bottom w:val="single" w:sz="4" w:space="10" w:color="2F5496" w:themeColor="accent1" w:themeShade="BF"/>
      </w:pBdr>
      <w:spacing w:before="360" w:after="360"/>
      <w:ind w:left="864" w:right="864"/>
      <w:jc w:val="center"/>
    </w:pPr>
    <w:rPr>
      <w:rFonts w:asciiTheme="minorHAnsi" w:eastAsiaTheme="minorHAnsi" w:hAnsiTheme="minorHAnsi" w:cstheme="minorBidi"/>
      <w:i/>
      <w:iCs/>
      <w:color w:val="2F5496" w:themeColor="accent1" w:themeShade="BF"/>
      <w:kern w:val="2"/>
      <w:lang w:eastAsia="en-US"/>
      <w14:ligatures w14:val="standardContextual"/>
    </w:rPr>
  </w:style>
  <w:style w:type="character" w:customStyle="1" w:styleId="CitaoIntensaChar">
    <w:name w:val="Citação Intensa Char"/>
    <w:basedOn w:val="Fontepargpadro"/>
    <w:link w:val="CitaoIntensa"/>
    <w:uiPriority w:val="30"/>
    <w:rsid w:val="00642DEB"/>
    <w:rPr>
      <w:i/>
      <w:iCs/>
      <w:color w:val="2F5496" w:themeColor="accent1" w:themeShade="BF"/>
    </w:rPr>
  </w:style>
  <w:style w:type="character" w:styleId="RefernciaIntensa">
    <w:name w:val="Intense Reference"/>
    <w:basedOn w:val="Fontepargpadro"/>
    <w:uiPriority w:val="32"/>
    <w:qFormat/>
    <w:rsid w:val="00642DEB"/>
    <w:rPr>
      <w:b/>
      <w:bCs/>
      <w:smallCaps/>
      <w:color w:val="2F5496" w:themeColor="accent1" w:themeShade="BF"/>
      <w:spacing w:val="5"/>
    </w:rPr>
  </w:style>
  <w:style w:type="character" w:styleId="Hyperlink">
    <w:name w:val="Hyperlink"/>
    <w:basedOn w:val="Fontepargpadro"/>
    <w:uiPriority w:val="99"/>
    <w:unhideWhenUsed/>
    <w:rsid w:val="00642DE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hyperlink" Target="mailto:pmvieira@unicamp.br" TargetMode="External"/><Relationship Id="rId10" Type="http://schemas.openxmlformats.org/officeDocument/2006/relationships/fontTable" Target="fontTable.xml"/><Relationship Id="rId4" Type="http://schemas.openxmlformats.org/officeDocument/2006/relationships/hyperlink" Target="mailto:monara.kaelle@gmail.com" TargetMode="External"/><Relationship Id="rId9" Type="http://schemas.openxmlformats.org/officeDocument/2006/relationships/image" Target="media/image4.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7</Pages>
  <Words>1055</Words>
  <Characters>5699</Characters>
  <Application>Microsoft Office Word</Application>
  <DocSecurity>0</DocSecurity>
  <Lines>47</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Pedro Vieira</dc:creator>
  <cp:keywords/>
  <dc:description/>
  <cp:lastModifiedBy>Pedro Vieira</cp:lastModifiedBy>
  <cp:revision>3</cp:revision>
  <cp:lastPrinted>2026-02-24T18:56:00Z</cp:lastPrinted>
  <dcterms:created xsi:type="dcterms:W3CDTF">2026-02-24T18:01:00Z</dcterms:created>
  <dcterms:modified xsi:type="dcterms:W3CDTF">2026-04-28T20:22:00Z</dcterms:modified>
</cp:coreProperties>
</file>