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59AA0" w14:textId="77777777" w:rsidR="009D3B78" w:rsidRDefault="009D3B78" w:rsidP="009D3B78">
      <w:pPr>
        <w:pStyle w:val="LO-normal"/>
        <w:widowControl w:val="0"/>
        <w:spacing w:after="100" w:line="360" w:lineRule="auto"/>
        <w:rPr>
          <w:rFonts w:ascii="Times" w:eastAsia="Times" w:hAnsi="Times" w:cs="Times"/>
          <w:b/>
          <w:bCs/>
          <w:sz w:val="28"/>
          <w:szCs w:val="28"/>
        </w:rPr>
      </w:pPr>
      <w:r>
        <w:rPr>
          <w:rFonts w:ascii="Times" w:eastAsia="Times" w:hAnsi="Times" w:cs="Times"/>
          <w:b/>
          <w:bCs/>
          <w:sz w:val="28"/>
          <w:szCs w:val="28"/>
        </w:rPr>
        <w:t xml:space="preserve">Supplementary Material </w:t>
      </w:r>
    </w:p>
    <w:p w14:paraId="2E89CB83" w14:textId="77777777" w:rsidR="009D3B78" w:rsidRDefault="009D3B78" w:rsidP="009D3B78">
      <w:pPr>
        <w:pStyle w:val="LO-normal"/>
        <w:widowControl w:val="0"/>
        <w:spacing w:after="100" w:line="36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b/>
          <w:bCs/>
          <w:sz w:val="24"/>
          <w:szCs w:val="24"/>
        </w:rPr>
        <w:t xml:space="preserve">Table S1. </w:t>
      </w:r>
      <w:r>
        <w:rPr>
          <w:rFonts w:ascii="Times" w:eastAsia="Times" w:hAnsi="Times" w:cs="Times"/>
          <w:sz w:val="24"/>
          <w:szCs w:val="24"/>
        </w:rPr>
        <w:t>Cultivated accessions analysed in this study.</w:t>
      </w:r>
    </w:p>
    <w:p w14:paraId="77511CD4" w14:textId="77777777" w:rsidR="009D3B78" w:rsidRDefault="009D3B78" w:rsidP="009D3B78">
      <w:pPr>
        <w:pStyle w:val="LO-normal"/>
        <w:widowControl w:val="0"/>
        <w:spacing w:after="100" w:line="36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b/>
          <w:bCs/>
          <w:sz w:val="24"/>
          <w:szCs w:val="24"/>
        </w:rPr>
        <w:t>Table S2.</w:t>
      </w:r>
      <w:r>
        <w:rPr>
          <w:rFonts w:ascii="Times" w:eastAsia="Times" w:hAnsi="Times" w:cs="Times"/>
          <w:sz w:val="24"/>
          <w:szCs w:val="24"/>
        </w:rPr>
        <w:t xml:space="preserve"> Wild accessions analysed in this study.</w:t>
      </w:r>
    </w:p>
    <w:p w14:paraId="7DCBF2B7" w14:textId="77777777" w:rsidR="009D3B78" w:rsidRDefault="009D3B78" w:rsidP="009D3B78">
      <w:pPr>
        <w:pStyle w:val="LO-normal"/>
        <w:widowControl w:val="0"/>
        <w:spacing w:after="100" w:line="36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b/>
          <w:bCs/>
          <w:sz w:val="24"/>
          <w:szCs w:val="24"/>
        </w:rPr>
        <w:t>Table S3</w:t>
      </w:r>
      <w:r>
        <w:rPr>
          <w:rFonts w:ascii="Times" w:eastAsia="Times" w:hAnsi="Times" w:cs="Times"/>
          <w:sz w:val="24"/>
          <w:szCs w:val="24"/>
        </w:rPr>
        <w:t>. General characteristics of the 1,235 disease resistance proteins and coding genes evaluated herein.</w:t>
      </w:r>
    </w:p>
    <w:p w14:paraId="142B4082" w14:textId="77777777" w:rsidR="009D3B78" w:rsidRDefault="009D3B78" w:rsidP="009D3B78">
      <w:pPr>
        <w:pStyle w:val="LO-normal"/>
        <w:widowControl w:val="0"/>
        <w:spacing w:after="100" w:line="36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b/>
          <w:bCs/>
          <w:sz w:val="24"/>
          <w:szCs w:val="24"/>
        </w:rPr>
        <w:t>Table S4.</w:t>
      </w:r>
      <w:r>
        <w:rPr>
          <w:rFonts w:ascii="Times" w:eastAsia="Times" w:hAnsi="Times" w:cs="Times"/>
          <w:sz w:val="24"/>
          <w:szCs w:val="24"/>
        </w:rPr>
        <w:t xml:space="preserve"> Molecular weight, Isoelectric point, protein length, and other characteristics.</w:t>
      </w:r>
    </w:p>
    <w:p w14:paraId="5A566F9A" w14:textId="77777777" w:rsidR="009D3B78" w:rsidRDefault="009D3B78" w:rsidP="009D3B78">
      <w:pPr>
        <w:pStyle w:val="LO-normal"/>
        <w:widowControl w:val="0"/>
        <w:spacing w:after="100" w:line="36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b/>
          <w:bCs/>
          <w:sz w:val="24"/>
          <w:szCs w:val="24"/>
        </w:rPr>
        <w:t xml:space="preserve">Table S5. </w:t>
      </w:r>
      <w:r>
        <w:rPr>
          <w:rFonts w:ascii="Times" w:eastAsia="Times" w:hAnsi="Times" w:cs="Times"/>
          <w:sz w:val="24"/>
          <w:szCs w:val="24"/>
        </w:rPr>
        <w:t>Disease resistance genes that are absent in the reference genome.</w:t>
      </w:r>
    </w:p>
    <w:p w14:paraId="41043F83" w14:textId="77777777" w:rsidR="009D3B78" w:rsidRDefault="009D3B78" w:rsidP="009D3B78">
      <w:pPr>
        <w:pStyle w:val="LO-normal"/>
        <w:widowControl w:val="0"/>
        <w:spacing w:after="100" w:line="36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b/>
          <w:bCs/>
          <w:sz w:val="24"/>
          <w:szCs w:val="24"/>
        </w:rPr>
        <w:t>Table S6.</w:t>
      </w:r>
      <w:r>
        <w:rPr>
          <w:rFonts w:ascii="Times" w:eastAsia="Times" w:hAnsi="Times" w:cs="Times"/>
          <w:sz w:val="24"/>
          <w:szCs w:val="24"/>
        </w:rPr>
        <w:t xml:space="preserve"> Quantitative trait loci (QTL) that were reported as associated with disease resistance in sunflower, and their closest disease resistance gene</w:t>
      </w:r>
    </w:p>
    <w:p w14:paraId="5B0552E3" w14:textId="77777777" w:rsidR="009D3B78" w:rsidRDefault="009D3B78" w:rsidP="009D3B78">
      <w:pPr>
        <w:pStyle w:val="LO-normal"/>
        <w:widowControl w:val="0"/>
        <w:spacing w:after="100" w:line="36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b/>
          <w:bCs/>
          <w:sz w:val="24"/>
          <w:szCs w:val="24"/>
        </w:rPr>
        <w:t>Table S7.</w:t>
      </w:r>
      <w:r>
        <w:rPr>
          <w:rFonts w:ascii="Times" w:eastAsia="Times" w:hAnsi="Times" w:cs="Times"/>
          <w:sz w:val="24"/>
          <w:szCs w:val="24"/>
        </w:rPr>
        <w:t xml:space="preserve"> Disease-resistance genes differential expression and overlap with previously reported QTL.</w:t>
      </w:r>
    </w:p>
    <w:p w14:paraId="7649C78C" w14:textId="77777777" w:rsidR="009D3B78" w:rsidRDefault="009D3B78" w:rsidP="009D3B78">
      <w:pPr>
        <w:pStyle w:val="LO-normal"/>
        <w:widowControl w:val="0"/>
        <w:spacing w:after="100" w:line="36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b/>
          <w:bCs/>
          <w:sz w:val="24"/>
          <w:szCs w:val="24"/>
        </w:rPr>
        <w:t xml:space="preserve">Figure S1. Disease-resistance proteins identified using state of the art tools. </w:t>
      </w:r>
      <w:r>
        <w:rPr>
          <w:rFonts w:ascii="Times" w:eastAsia="Times" w:hAnsi="Times" w:cs="Times"/>
          <w:sz w:val="24"/>
          <w:szCs w:val="24"/>
        </w:rPr>
        <w:t xml:space="preserve">A) RRG predictor (Santana and Silva, 2020). B) RGAugury (Li et al 2016). C) DRAGO2 (Osuna-Cruz et al 2017). Proteins were classified according to the categories described in each tool. The references and/or composition of each category can be accessed in the corresponding publications. </w:t>
      </w:r>
    </w:p>
    <w:p w14:paraId="07793415" w14:textId="77777777" w:rsidR="009D3B78" w:rsidRDefault="009D3B78" w:rsidP="009D3B78">
      <w:pPr>
        <w:pStyle w:val="LO-normal"/>
        <w:widowControl w:val="0"/>
        <w:spacing w:after="100" w:line="36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b/>
          <w:bCs/>
          <w:sz w:val="24"/>
          <w:szCs w:val="24"/>
        </w:rPr>
        <w:t>Figure S2. Classification of the disease-resistance proteins identified using state of the art tools, based on the classification schema presented in this manuscript.</w:t>
      </w:r>
      <w:r>
        <w:rPr>
          <w:rFonts w:ascii="Times" w:eastAsia="Times" w:hAnsi="Times" w:cs="Times"/>
          <w:sz w:val="24"/>
          <w:szCs w:val="24"/>
        </w:rPr>
        <w:t xml:space="preserve"> A) Disease-resistance proteins that were called by both DRAGO2 (Osuna-Cruz et al 2017) and RGAugury (Li et al 2016). B) Disease-resistance proteins that were called by both DRAGO2 and RRGpredictor (Santana and Silva 2020). C) Disease-resistance proteins that were called by both RGAugury and RRGpredictor. D) Disease-resistance proteins that were called only by DRAGO2. E) Disease-resistance proteins that were called only by RRGpredictor. F) Disease-resistance proteins that were called only by RGAugury. LRR, leucine-rich repeat; CC, coiled-coil; TIR, Toll-Interleukin like; KIN, kinase; TM, transmembrane domain; NBS, nucleotide-binding site; RPW8, Arabidopsis broad-spectrum mildew resistance protein domain. </w:t>
      </w:r>
    </w:p>
    <w:p w14:paraId="4FCFC499" w14:textId="77777777" w:rsidR="009D3B78" w:rsidRDefault="009D3B78" w:rsidP="009D3B78">
      <w:pPr>
        <w:pStyle w:val="LO-normal"/>
        <w:widowControl w:val="0"/>
        <w:spacing w:after="100" w:line="36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b/>
          <w:bCs/>
          <w:sz w:val="24"/>
          <w:szCs w:val="24"/>
        </w:rPr>
        <w:t xml:space="preserve">Figure S3. Physical localization of disease-resistance genes in the sunflower chromosomes (Chr). </w:t>
      </w:r>
      <w:r>
        <w:rPr>
          <w:rFonts w:ascii="Times" w:eastAsia="Times" w:hAnsi="Times" w:cs="Times"/>
          <w:sz w:val="24"/>
          <w:szCs w:val="24"/>
        </w:rPr>
        <w:t xml:space="preserve">Each chromosome was divided in 10 bins. Bar height represents the number of disease-resistance genes in each bin. A) All disease-resistance genes that were physically assigned to chromosomes (n = 1,230). B) All NBS genes that were physically </w:t>
      </w:r>
      <w:r>
        <w:rPr>
          <w:rFonts w:ascii="Times" w:eastAsia="Times" w:hAnsi="Times" w:cs="Times"/>
          <w:sz w:val="24"/>
          <w:szCs w:val="24"/>
        </w:rPr>
        <w:lastRenderedPageBreak/>
        <w:t xml:space="preserve">assigned to chromosomes (n = 404). C) All non-NBS genes that were physically assigned to chromosomes (n = 826). D) All clustered genes that were physically assigned to chromosomes (n = 685). E) All singletons that were physically assigned to chromosomes (n = 545). </w:t>
      </w:r>
    </w:p>
    <w:p w14:paraId="70B5F98C" w14:textId="77777777" w:rsidR="009D3B78" w:rsidRDefault="009D3B78" w:rsidP="009D3B78">
      <w:pPr>
        <w:pStyle w:val="LO-normal"/>
        <w:widowControl w:val="0"/>
        <w:spacing w:after="100" w:line="36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b/>
          <w:bCs/>
          <w:sz w:val="24"/>
          <w:szCs w:val="24"/>
        </w:rPr>
        <w:t>Figure S4. Gene ontology (GO) enrichment analysis of 1,235 disease-resistance proteins.</w:t>
      </w:r>
      <w:r>
        <w:rPr>
          <w:rFonts w:ascii="Times" w:eastAsia="Times" w:hAnsi="Times" w:cs="Times"/>
          <w:sz w:val="24"/>
          <w:szCs w:val="24"/>
        </w:rPr>
        <w:t xml:space="preserve"> The first 15 terms of each GO category (i.e. biological process, molecular function and cellular component) were plotted. Complete line = p &lt; 0.001, dashed line = p &lt; 0.01, dotted line = p &lt; 0.05.</w:t>
      </w:r>
    </w:p>
    <w:p w14:paraId="10335325" w14:textId="77777777" w:rsidR="009D3B78" w:rsidRDefault="009D3B78" w:rsidP="009D3B78">
      <w:pPr>
        <w:pStyle w:val="LO-normal"/>
        <w:widowControl w:val="0"/>
        <w:spacing w:after="100" w:line="36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b/>
          <w:bCs/>
          <w:sz w:val="24"/>
          <w:szCs w:val="24"/>
        </w:rPr>
        <w:t>Figure S5. Variation impacts in disease-resistance pan-genes, as defined by SNPeff.</w:t>
      </w:r>
      <w:r>
        <w:rPr>
          <w:rFonts w:ascii="Times" w:eastAsia="Times" w:hAnsi="Times" w:cs="Times"/>
          <w:sz w:val="24"/>
          <w:szCs w:val="24"/>
        </w:rPr>
        <w:t xml:space="preserve"> A) High impact, moderate impact, low impact and modifier SNPs, comparing NBS vs. non-NBS. B) High impact, moderate impact, low impact and modifier INDELs, comparing NBS vs. non-NBS.</w:t>
      </w:r>
    </w:p>
    <w:p w14:paraId="219AF039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1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B78"/>
    <w:rsid w:val="00136222"/>
    <w:rsid w:val="002C7D54"/>
    <w:rsid w:val="0033371E"/>
    <w:rsid w:val="005C0D39"/>
    <w:rsid w:val="0070406C"/>
    <w:rsid w:val="00724754"/>
    <w:rsid w:val="009D3B78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599CD"/>
  <w15:chartTrackingRefBased/>
  <w15:docId w15:val="{8489F6EC-80AD-4E3C-A160-A95391C95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3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3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3B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3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3B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3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3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3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3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3B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3B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3B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3B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3B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3B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3B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3B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3B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3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3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3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3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3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3B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3B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3B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3B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3B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3B78"/>
    <w:rPr>
      <w:b/>
      <w:bCs/>
      <w:smallCaps/>
      <w:color w:val="0F4761" w:themeColor="accent1" w:themeShade="BF"/>
      <w:spacing w:val="5"/>
    </w:rPr>
  </w:style>
  <w:style w:type="paragraph" w:customStyle="1" w:styleId="LO-normal">
    <w:name w:val="LO-normal"/>
    <w:qFormat/>
    <w:rsid w:val="009D3B78"/>
    <w:pPr>
      <w:suppressAutoHyphens/>
      <w:spacing w:after="0" w:line="276" w:lineRule="auto"/>
    </w:pPr>
    <w:rPr>
      <w:rFonts w:ascii="Arial" w:eastAsia="Arial" w:hAnsi="Arial" w:cs="Arial"/>
      <w:kern w:val="0"/>
      <w:sz w:val="22"/>
      <w:szCs w:val="22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2026-06-14T07:49:00Z</dcterms:created>
  <dcterms:modified xsi:type="dcterms:W3CDTF">2026-06-14T07:49:00Z</dcterms:modified>
</cp:coreProperties>
</file>