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C56A" w14:textId="77777777" w:rsidR="00CE51C9" w:rsidRPr="006F2507" w:rsidRDefault="00000000">
      <w:pPr>
        <w:spacing w:after="480" w:line="480" w:lineRule="auto"/>
        <w:rPr>
          <w:lang w:val="en-US"/>
        </w:rPr>
      </w:pPr>
      <w:r w:rsidRPr="006F2507">
        <w:rPr>
          <w:lang w:val="en-US"/>
        </w:rPr>
        <w:t>Running head: USER GROUPS OF SPEECH DOCUMENTATION</w:t>
      </w:r>
    </w:p>
    <w:p w14:paraId="667136A4" w14:textId="77777777" w:rsidR="00CE51C9" w:rsidRDefault="00000000">
      <w:pPr>
        <w:spacing w:before="240" w:line="480" w:lineRule="auto"/>
        <w:jc w:val="center"/>
      </w:pPr>
      <w:r>
        <w:rPr>
          <w:b/>
          <w:bCs/>
        </w:rPr>
        <w:t>Appendix B</w:t>
      </w:r>
    </w:p>
    <w:p w14:paraId="204A2831" w14:textId="77777777" w:rsidR="00CE51C9" w:rsidRPr="006F2507" w:rsidRDefault="00000000">
      <w:pPr>
        <w:spacing w:after="480" w:line="480" w:lineRule="auto"/>
        <w:jc w:val="center"/>
        <w:rPr>
          <w:lang w:val="en-US"/>
        </w:rPr>
      </w:pPr>
      <w:r w:rsidRPr="006F2507">
        <w:rPr>
          <w:b/>
          <w:bCs/>
          <w:lang w:val="en-US"/>
        </w:rPr>
        <w:t>Measurement Model: Confirmatory Factor Analysis of UTAUT2 Constructs</w:t>
      </w:r>
    </w:p>
    <w:p w14:paraId="57F4A7E1" w14:textId="77777777" w:rsidR="00CE51C9" w:rsidRPr="006F2507" w:rsidRDefault="00000000">
      <w:pPr>
        <w:spacing w:before="240" w:after="120" w:line="480" w:lineRule="auto"/>
        <w:rPr>
          <w:lang w:val="en-US"/>
        </w:rPr>
      </w:pPr>
      <w:r w:rsidRPr="006F2507">
        <w:rPr>
          <w:b/>
          <w:bCs/>
          <w:lang w:val="en-US"/>
        </w:rPr>
        <w:t>Overview</w:t>
      </w:r>
    </w:p>
    <w:p w14:paraId="5FD958E6" w14:textId="7DEF4F51" w:rsidR="00CE51C9" w:rsidRPr="006F2507" w:rsidRDefault="00000000">
      <w:pPr>
        <w:spacing w:after="240" w:line="480" w:lineRule="auto"/>
        <w:ind w:firstLine="720"/>
        <w:rPr>
          <w:lang w:val="en-US"/>
        </w:rPr>
      </w:pPr>
      <w:r w:rsidRPr="006F2507">
        <w:rPr>
          <w:lang w:val="en-US"/>
        </w:rPr>
        <w:t>Confirmatory factor analysis (CFA) was conducted to evaluate the measurement model underlying the four multi-item UTAUT2 constructs—Performance Expectancy (PE), Effort Expectancy (EE), Facilitating Conditions (FC), and Habit (HT)—prior to the latent class analysis. The analysis was performed using the lavaan package</w:t>
      </w:r>
      <w:r w:rsidR="006F2507" w:rsidRPr="006F2507">
        <w:rPr>
          <w:lang w:val="en-US"/>
        </w:rPr>
        <w:t xml:space="preserve"> </w:t>
      </w:r>
      <w:r w:rsidR="00485424">
        <w:rPr>
          <w:lang w:val="en-US"/>
        </w:rPr>
        <w:t xml:space="preserve">(0.6-21) </w:t>
      </w:r>
      <w:r w:rsidRPr="006F2507">
        <w:rPr>
          <w:lang w:val="en-US"/>
        </w:rPr>
        <w:t>in R. All cross-loadings were constrained to zero and residual covariances between indicators of different constructs were fixed to zero</w:t>
      </w:r>
      <w:r w:rsidR="006F2507">
        <w:rPr>
          <w:lang w:val="en-US"/>
        </w:rPr>
        <w:t xml:space="preserve">. </w:t>
      </w:r>
      <w:r w:rsidRPr="006F2507">
        <w:rPr>
          <w:lang w:val="en-US"/>
        </w:rPr>
        <w:t>Model fit was evaluated using the Comparative Fit Index (CFI), Tucker–Lewis Index (TLI), Root Mean Square Error of Approximation (RMSEA), and Standardised Root Mean Square Residual (SRMR) (Hu &amp; Bentler, 1999</w:t>
      </w:r>
      <w:r w:rsidR="00663C58">
        <w:rPr>
          <w:lang w:val="en-US"/>
        </w:rPr>
        <w:t xml:space="preserve">). </w:t>
      </w:r>
      <w:r w:rsidRPr="006F2507">
        <w:rPr>
          <w:lang w:val="en-US"/>
        </w:rPr>
        <w:t>Convergent validity was assessed via average variance extracted (AVE; threshold ≥ .50; Fornell &amp; Larcker, 198</w:t>
      </w:r>
      <w:r w:rsidR="00663C58">
        <w:rPr>
          <w:lang w:val="en-US"/>
        </w:rPr>
        <w:t>1</w:t>
      </w:r>
      <w:r w:rsidRPr="006F2507">
        <w:rPr>
          <w:lang w:val="en-US"/>
        </w:rPr>
        <w:t xml:space="preserve">), and internal consistency via Cronbach’s </w:t>
      </w:r>
      <w:r>
        <w:t>α</w:t>
      </w:r>
      <w:r w:rsidRPr="006F2507">
        <w:rPr>
          <w:lang w:val="en-US"/>
        </w:rPr>
        <w:t xml:space="preserve"> and composite reliability (</w:t>
      </w:r>
      <w:r>
        <w:t>ω</w:t>
      </w:r>
      <w:r w:rsidR="00663C58">
        <w:rPr>
          <w:lang w:val="en-US"/>
        </w:rPr>
        <w:t xml:space="preserve">). </w:t>
      </w:r>
    </w:p>
    <w:p w14:paraId="30345A8E" w14:textId="0103FCD1" w:rsidR="00CE51C9" w:rsidRPr="006F2507" w:rsidRDefault="00000000">
      <w:pPr>
        <w:spacing w:after="480" w:line="480" w:lineRule="auto"/>
        <w:ind w:firstLine="720"/>
        <w:rPr>
          <w:lang w:val="en-US"/>
        </w:rPr>
      </w:pPr>
      <w:r w:rsidRPr="006F2507">
        <w:rPr>
          <w:lang w:val="en-US"/>
        </w:rPr>
        <w:t>The overall model fit was good to acceptabl</w:t>
      </w:r>
      <w:r w:rsidR="006D7430">
        <w:rPr>
          <w:lang w:val="en-US"/>
        </w:rPr>
        <w:t>e with</w:t>
      </w:r>
      <w:r w:rsidRPr="006F2507">
        <w:rPr>
          <w:lang w:val="en-US"/>
        </w:rPr>
        <w:t xml:space="preserve"> CFI = .955</w:t>
      </w:r>
      <w:r w:rsidR="006D7430">
        <w:rPr>
          <w:lang w:val="en-US"/>
        </w:rPr>
        <w:t xml:space="preserve">, </w:t>
      </w:r>
      <w:r w:rsidRPr="006F2507">
        <w:rPr>
          <w:lang w:val="en-US"/>
        </w:rPr>
        <w:t>TLI = .9</w:t>
      </w:r>
      <w:r w:rsidR="00BA5DF1">
        <w:rPr>
          <w:lang w:val="en-US"/>
        </w:rPr>
        <w:t>49</w:t>
      </w:r>
      <w:r w:rsidR="006D7430">
        <w:rPr>
          <w:lang w:val="en-US"/>
        </w:rPr>
        <w:t>,</w:t>
      </w:r>
      <w:r w:rsidR="006D7430" w:rsidRPr="006F2507">
        <w:rPr>
          <w:lang w:val="en-US"/>
        </w:rPr>
        <w:t xml:space="preserve"> </w:t>
      </w:r>
      <w:r w:rsidRPr="006F2507">
        <w:rPr>
          <w:lang w:val="en-US"/>
        </w:rPr>
        <w:t>and SRMR = .047. The RMSEA of .084 was above the conventional strict cut-off of .0</w:t>
      </w:r>
      <w:r w:rsidR="00346528">
        <w:rPr>
          <w:lang w:val="en-US"/>
        </w:rPr>
        <w:t>6</w:t>
      </w:r>
      <w:r w:rsidR="00C86420">
        <w:rPr>
          <w:lang w:val="en-US"/>
        </w:rPr>
        <w:t xml:space="preserve"> and therefore suggested some residual misfit in the model specification</w:t>
      </w:r>
      <w:r w:rsidR="00AD6FF3">
        <w:rPr>
          <w:lang w:val="en-US"/>
        </w:rPr>
        <w:t xml:space="preserve">. </w:t>
      </w:r>
      <w:r w:rsidRPr="006F2507">
        <w:rPr>
          <w:lang w:val="en-US"/>
        </w:rPr>
        <w:t>All standardised factor loadings were statistically significant (all ps &lt; .001) and ranged from .709 to .913, indicating adequate to strong indicator–construct relationships across all four scales (Table B2). Composite reliability (</w:t>
      </w:r>
      <w:r>
        <w:t>ω</w:t>
      </w:r>
      <w:r w:rsidRPr="006F2507">
        <w:rPr>
          <w:lang w:val="en-US"/>
        </w:rPr>
        <w:t xml:space="preserve">) exceeded .72 for all constructs, and AVE exceeded the convergent validity threshold of .50 </w:t>
      </w:r>
      <w:r w:rsidRPr="006F2507">
        <w:rPr>
          <w:lang w:val="en-US"/>
        </w:rPr>
        <w:lastRenderedPageBreak/>
        <w:t>(Fornell &amp; Larcker, 1981) for all constructs (Table B3), supporting the adequacy of the construct operationalisation for use in subsequent latent class analysis.</w:t>
      </w:r>
    </w:p>
    <w:p w14:paraId="6382BBBF" w14:textId="77777777" w:rsidR="00CE51C9" w:rsidRPr="006F2507" w:rsidRDefault="00000000">
      <w:pPr>
        <w:spacing w:before="480" w:after="60"/>
        <w:rPr>
          <w:lang w:val="en-US"/>
        </w:rPr>
      </w:pPr>
      <w:r w:rsidRPr="006F2507">
        <w:rPr>
          <w:b/>
          <w:bCs/>
          <w:lang w:val="en-US"/>
        </w:rPr>
        <w:t>Table B1</w:t>
      </w:r>
    </w:p>
    <w:p w14:paraId="29697723" w14:textId="77777777" w:rsidR="00CE51C9" w:rsidRPr="006F2507" w:rsidRDefault="00000000">
      <w:pPr>
        <w:spacing w:after="180"/>
        <w:rPr>
          <w:lang w:val="en-US"/>
        </w:rPr>
      </w:pPr>
      <w:r w:rsidRPr="006F2507">
        <w:rPr>
          <w:lang w:val="en-US"/>
        </w:rPr>
        <w:t>Model Fit Indices for the Confirmatory Factor Analysis of UTAUT2 Constructs</w:t>
      </w:r>
    </w:p>
    <w:tbl>
      <w:tblPr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800"/>
        <w:gridCol w:w="1200"/>
        <w:gridCol w:w="1560"/>
      </w:tblGrid>
      <w:tr w:rsidR="00BD54EC" w14:paraId="6710B4A5" w14:textId="77777777" w:rsidTr="00BD54E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C5101" w14:textId="77777777" w:rsidR="00BD54EC" w:rsidRDefault="00BD54EC">
            <w:r>
              <w:rPr>
                <w:b/>
                <w:bCs/>
                <w:sz w:val="18"/>
                <w:szCs w:val="18"/>
              </w:rPr>
              <w:t>Fit Measure</w:t>
            </w:r>
          </w:p>
        </w:tc>
        <w:tc>
          <w:tcPr>
            <w:tcW w:w="8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C84A8" w14:textId="77777777" w:rsidR="00BD54EC" w:rsidRDefault="00BD54EC">
            <w:r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2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9ED16" w14:textId="77777777" w:rsidR="00BD54EC" w:rsidRDefault="00BD54EC">
            <w:r>
              <w:rPr>
                <w:b/>
                <w:bCs/>
                <w:sz w:val="18"/>
                <w:szCs w:val="18"/>
              </w:rPr>
              <w:t>Threshold</w:t>
            </w:r>
          </w:p>
        </w:tc>
        <w:tc>
          <w:tcPr>
            <w:tcW w:w="156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99267C" w14:textId="77777777" w:rsidR="00BD54EC" w:rsidRDefault="00BD54EC">
            <w:r>
              <w:rPr>
                <w:b/>
                <w:bCs/>
                <w:sz w:val="18"/>
                <w:szCs w:val="18"/>
              </w:rPr>
              <w:t>Interpretation</w:t>
            </w:r>
          </w:p>
        </w:tc>
      </w:tr>
      <w:tr w:rsidR="00BD54EC" w14:paraId="438C4416" w14:textId="77777777" w:rsidTr="00BD54E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F0BDD" w14:textId="77777777" w:rsidR="00BD54EC" w:rsidRDefault="00BD54EC">
            <w:r>
              <w:rPr>
                <w:sz w:val="18"/>
                <w:szCs w:val="18"/>
              </w:rPr>
              <w:t>Chi-square (χ²)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6E2AC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90.771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29B9A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848D9" w14:textId="77777777" w:rsidR="00BD54EC" w:rsidRDefault="00BD54EC">
            <w:r>
              <w:rPr>
                <w:sz w:val="18"/>
                <w:szCs w:val="18"/>
              </w:rPr>
              <w:t>—</w:t>
            </w:r>
          </w:p>
        </w:tc>
      </w:tr>
      <w:tr w:rsidR="00BD54EC" w14:paraId="15554282" w14:textId="77777777" w:rsidTr="00BD54E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CE451" w14:textId="77777777" w:rsidR="00BD54EC" w:rsidRDefault="00BD54EC">
            <w:r>
              <w:rPr>
                <w:sz w:val="18"/>
                <w:szCs w:val="18"/>
              </w:rPr>
              <w:t>Degrees of freedom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6FFFF2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BABEF5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C80E5" w14:textId="77777777" w:rsidR="00BD54EC" w:rsidRDefault="00BD54EC">
            <w:r>
              <w:rPr>
                <w:sz w:val="18"/>
                <w:szCs w:val="18"/>
              </w:rPr>
              <w:t>—</w:t>
            </w:r>
          </w:p>
        </w:tc>
      </w:tr>
      <w:tr w:rsidR="00BD54EC" w14:paraId="30A4BBCF" w14:textId="77777777" w:rsidTr="00BD54E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E5226A" w14:textId="77777777" w:rsidR="00BD54EC" w:rsidRDefault="00BD54EC">
            <w:r>
              <w:rPr>
                <w:sz w:val="18"/>
                <w:szCs w:val="18"/>
              </w:rPr>
              <w:t>p-value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5DDED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FFA763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&gt; .05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C56D16" w14:textId="77777777" w:rsidR="00BD54EC" w:rsidRDefault="00BD54EC">
            <w:r>
              <w:rPr>
                <w:sz w:val="18"/>
                <w:szCs w:val="18"/>
              </w:rPr>
              <w:t>Significant</w:t>
            </w:r>
          </w:p>
        </w:tc>
      </w:tr>
      <w:tr w:rsidR="00BD54EC" w14:paraId="28FF6393" w14:textId="77777777" w:rsidTr="00BD54E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5CCFD" w14:textId="77777777" w:rsidR="00BD54EC" w:rsidRDefault="00BD54EC">
            <w:r>
              <w:rPr>
                <w:sz w:val="18"/>
                <w:szCs w:val="18"/>
              </w:rPr>
              <w:t>CFI (Comparative Fit Index)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55E91D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.955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DCEA41" w14:textId="64509245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≥ .9</w:t>
            </w:r>
            <w:r w:rsidR="00FA279F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13AEF5" w14:textId="77777777" w:rsidR="00BD54EC" w:rsidRDefault="00BD54EC">
            <w:r>
              <w:rPr>
                <w:sz w:val="18"/>
                <w:szCs w:val="18"/>
              </w:rPr>
              <w:t>Good</w:t>
            </w:r>
          </w:p>
        </w:tc>
      </w:tr>
      <w:tr w:rsidR="00BD54EC" w14:paraId="7A51C66D" w14:textId="77777777" w:rsidTr="00BD54E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9BC50F" w14:textId="77777777" w:rsidR="00BD54EC" w:rsidRDefault="00BD54EC">
            <w:r>
              <w:rPr>
                <w:sz w:val="18"/>
                <w:szCs w:val="18"/>
              </w:rPr>
              <w:t>TLI (Tucker–Lewis Index)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E3B54E" w14:textId="776B4EF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.9</w:t>
            </w:r>
            <w:r w:rsidR="00661D52">
              <w:rPr>
                <w:sz w:val="18"/>
                <w:szCs w:val="18"/>
              </w:rPr>
              <w:t>49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F378B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≥ .90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F2B0E6" w14:textId="35D37F7C" w:rsidR="00BD54EC" w:rsidRDefault="0063109A">
            <w:r>
              <w:rPr>
                <w:sz w:val="18"/>
                <w:szCs w:val="18"/>
              </w:rPr>
              <w:t>Acceptable</w:t>
            </w:r>
          </w:p>
        </w:tc>
      </w:tr>
      <w:tr w:rsidR="00BD54EC" w:rsidRPr="006F2507" w14:paraId="07F7BFC5" w14:textId="77777777" w:rsidTr="00BD54E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63EA2" w14:textId="77777777" w:rsidR="00BD54EC" w:rsidRPr="006F2507" w:rsidRDefault="00BD54EC">
            <w:pPr>
              <w:rPr>
                <w:lang w:val="en-US"/>
              </w:rPr>
            </w:pPr>
            <w:r w:rsidRPr="006F2507">
              <w:rPr>
                <w:sz w:val="18"/>
                <w:szCs w:val="18"/>
                <w:lang w:val="en-US"/>
              </w:rPr>
              <w:t>RMSEA (Root Mean Square Error of Approximation)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0D8A37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.084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7C571F" w14:textId="6BAC1112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≤ .0</w:t>
            </w:r>
            <w:r w:rsidR="005333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26EC8C" w14:textId="10AD661D" w:rsidR="00BD54EC" w:rsidRPr="006F2507" w:rsidRDefault="00912E31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 w:rsidR="00BD54EC" w:rsidRPr="006F2507">
              <w:rPr>
                <w:sz w:val="18"/>
                <w:szCs w:val="18"/>
                <w:lang w:val="en-US"/>
              </w:rPr>
              <w:t xml:space="preserve">bove </w:t>
            </w:r>
            <w:r>
              <w:rPr>
                <w:sz w:val="18"/>
                <w:szCs w:val="18"/>
                <w:lang w:val="en-US"/>
              </w:rPr>
              <w:t xml:space="preserve">the </w:t>
            </w:r>
            <w:r w:rsidR="00BD54EC" w:rsidRPr="006F2507">
              <w:rPr>
                <w:sz w:val="18"/>
                <w:szCs w:val="18"/>
                <w:lang w:val="en-US"/>
              </w:rPr>
              <w:t xml:space="preserve">strict threshold </w:t>
            </w:r>
          </w:p>
        </w:tc>
      </w:tr>
      <w:tr w:rsidR="00BD54EC" w14:paraId="1A1059B3" w14:textId="77777777" w:rsidTr="00BD54E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492D3" w14:textId="77777777" w:rsidR="00BD54EC" w:rsidRPr="006F2507" w:rsidRDefault="00BD54EC">
            <w:pPr>
              <w:rPr>
                <w:lang w:val="en-US"/>
              </w:rPr>
            </w:pPr>
            <w:r w:rsidRPr="006F2507">
              <w:rPr>
                <w:sz w:val="18"/>
                <w:szCs w:val="18"/>
                <w:lang w:val="en-US"/>
              </w:rPr>
              <w:t>SRMR (Standardised Root Mean Square Residual)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19393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.047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874FF6" w14:textId="77777777" w:rsidR="00BD54EC" w:rsidRDefault="00BD54EC">
            <w:pPr>
              <w:jc w:val="center"/>
            </w:pPr>
            <w:r>
              <w:rPr>
                <w:sz w:val="18"/>
                <w:szCs w:val="18"/>
              </w:rPr>
              <w:t>≤ .08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1356E0" w14:textId="77777777" w:rsidR="00BD54EC" w:rsidRDefault="00BD54EC">
            <w:r>
              <w:rPr>
                <w:sz w:val="18"/>
                <w:szCs w:val="18"/>
              </w:rPr>
              <w:t>Excellent</w:t>
            </w:r>
          </w:p>
        </w:tc>
      </w:tr>
    </w:tbl>
    <w:p w14:paraId="004DE267" w14:textId="0E454376" w:rsidR="00CE51C9" w:rsidRPr="006F2507" w:rsidRDefault="00000000">
      <w:pPr>
        <w:spacing w:before="120" w:after="240"/>
        <w:rPr>
          <w:lang w:val="en-US"/>
        </w:rPr>
      </w:pPr>
      <w:r w:rsidRPr="006F2507">
        <w:rPr>
          <w:b/>
          <w:bCs/>
          <w:sz w:val="18"/>
          <w:szCs w:val="18"/>
          <w:lang w:val="en-US"/>
        </w:rPr>
        <w:t xml:space="preserve">Note. </w:t>
      </w:r>
      <w:r w:rsidRPr="006F2507">
        <w:rPr>
          <w:sz w:val="18"/>
          <w:szCs w:val="18"/>
          <w:lang w:val="en-US"/>
        </w:rPr>
        <w:t>CFI = Comparative Fit Index; TLI = Tucker–Lewis Index; RMSEA = Root Mean Square Error of Approximation; SRMR = Standardised Root Mean Square Residual</w:t>
      </w:r>
      <w:r w:rsidR="00074F81">
        <w:rPr>
          <w:sz w:val="18"/>
          <w:szCs w:val="18"/>
          <w:lang w:val="en-US"/>
        </w:rPr>
        <w:t xml:space="preserve"> (</w:t>
      </w:r>
      <w:r w:rsidRPr="006F2507">
        <w:rPr>
          <w:sz w:val="18"/>
          <w:szCs w:val="18"/>
          <w:lang w:val="en-US"/>
        </w:rPr>
        <w:t>Hu &amp;</w:t>
      </w:r>
      <w:r w:rsidR="00074F81">
        <w:rPr>
          <w:sz w:val="18"/>
          <w:szCs w:val="18"/>
          <w:lang w:val="en-US"/>
        </w:rPr>
        <w:t xml:space="preserve"> </w:t>
      </w:r>
      <w:r w:rsidRPr="006F2507">
        <w:rPr>
          <w:sz w:val="18"/>
          <w:szCs w:val="18"/>
          <w:lang w:val="en-US"/>
        </w:rPr>
        <w:t>Bentler</w:t>
      </w:r>
      <w:r w:rsidR="00074F81">
        <w:rPr>
          <w:sz w:val="18"/>
          <w:szCs w:val="18"/>
          <w:lang w:val="en-US"/>
        </w:rPr>
        <w:t xml:space="preserve">, </w:t>
      </w:r>
      <w:r w:rsidRPr="006F2507">
        <w:rPr>
          <w:sz w:val="18"/>
          <w:szCs w:val="18"/>
          <w:lang w:val="en-US"/>
        </w:rPr>
        <w:t>1999)</w:t>
      </w:r>
      <w:r w:rsidR="00074F81">
        <w:rPr>
          <w:sz w:val="18"/>
          <w:szCs w:val="18"/>
          <w:lang w:val="en-US"/>
        </w:rPr>
        <w:t xml:space="preserve">. </w:t>
      </w:r>
    </w:p>
    <w:p w14:paraId="46F329A3" w14:textId="77777777" w:rsidR="00CE51C9" w:rsidRPr="006F2507" w:rsidRDefault="00000000">
      <w:pPr>
        <w:spacing w:before="480" w:after="60"/>
        <w:rPr>
          <w:lang w:val="en-US"/>
        </w:rPr>
      </w:pPr>
      <w:r w:rsidRPr="006F2507">
        <w:rPr>
          <w:b/>
          <w:bCs/>
          <w:lang w:val="en-US"/>
        </w:rPr>
        <w:t>Table B2</w:t>
      </w:r>
    </w:p>
    <w:p w14:paraId="79913019" w14:textId="77777777" w:rsidR="00CE51C9" w:rsidRPr="006F2507" w:rsidRDefault="00000000">
      <w:pPr>
        <w:spacing w:after="180"/>
        <w:rPr>
          <w:lang w:val="en-US"/>
        </w:rPr>
      </w:pPr>
      <w:r w:rsidRPr="006F2507">
        <w:rPr>
          <w:lang w:val="en-US"/>
        </w:rPr>
        <w:t>Standardised Factor Loadings from the Confirmatory Factor Analysis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200"/>
        <w:gridCol w:w="1000"/>
        <w:gridCol w:w="700"/>
        <w:gridCol w:w="1000"/>
        <w:gridCol w:w="1260"/>
      </w:tblGrid>
      <w:tr w:rsidR="00CE51C9" w14:paraId="7796296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F2E29" w14:textId="77777777" w:rsidR="00CE51C9" w:rsidRDefault="00000000">
            <w:r>
              <w:rPr>
                <w:b/>
                <w:bCs/>
                <w:sz w:val="18"/>
                <w:szCs w:val="18"/>
              </w:rPr>
              <w:t>Construct</w:t>
            </w:r>
          </w:p>
        </w:tc>
        <w:tc>
          <w:tcPr>
            <w:tcW w:w="32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CAB721" w14:textId="77777777" w:rsidR="00CE51C9" w:rsidRDefault="00000000">
            <w:r>
              <w:rPr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10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05DD4" w14:textId="77777777" w:rsidR="00CE51C9" w:rsidRDefault="00000000">
            <w:r>
              <w:rPr>
                <w:b/>
                <w:bCs/>
                <w:sz w:val="18"/>
                <w:szCs w:val="18"/>
              </w:rPr>
              <w:t>Std. Loading</w:t>
            </w:r>
          </w:p>
        </w:tc>
        <w:tc>
          <w:tcPr>
            <w:tcW w:w="7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C7CFD" w14:textId="77777777" w:rsidR="00CE51C9" w:rsidRDefault="00000000">
            <w:r>
              <w:rPr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0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D3A9D6" w14:textId="77777777" w:rsidR="00CE51C9" w:rsidRDefault="00000000">
            <w:r>
              <w:rPr>
                <w:b/>
                <w:bCs/>
                <w:sz w:val="18"/>
                <w:szCs w:val="18"/>
              </w:rPr>
              <w:t>z-value</w:t>
            </w:r>
          </w:p>
        </w:tc>
        <w:tc>
          <w:tcPr>
            <w:tcW w:w="126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274BDD" w14:textId="77777777" w:rsidR="00CE51C9" w:rsidRDefault="00000000">
            <w:r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CE51C9" w14:paraId="0E02C31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6"/>
            <w:tcBorders>
              <w:top w:val="single" w:sz="4" w:space="0" w:color="AAAAAA"/>
              <w:left w:val="none" w:sz="0" w:space="0" w:color="FFFFFF"/>
              <w:bottom w:val="single" w:sz="4" w:space="0" w:color="AAAAAA"/>
              <w:right w:val="none" w:sz="0" w:space="0" w:color="FFFFFF"/>
            </w:tcBorders>
            <w:shd w:val="clear" w:color="auto" w:fill="F4F8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BF8FF6" w14:textId="77777777" w:rsidR="00CE51C9" w:rsidRDefault="00000000">
            <w:r>
              <w:rPr>
                <w:b/>
                <w:bCs/>
                <w:sz w:val="18"/>
                <w:szCs w:val="18"/>
              </w:rPr>
              <w:t>Performance Expectancy (PE)</w:t>
            </w:r>
          </w:p>
        </w:tc>
      </w:tr>
      <w:tr w:rsidR="00CE51C9" w14:paraId="4282C13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2D9FE" w14:textId="77777777" w:rsidR="00CE51C9" w:rsidRDefault="00000000">
            <w:r>
              <w:rPr>
                <w:sz w:val="18"/>
                <w:szCs w:val="18"/>
              </w:rPr>
              <w:t>PE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71A530" w14:textId="77777777" w:rsidR="00CE51C9" w:rsidRDefault="00000000">
            <w:r>
              <w:rPr>
                <w:sz w:val="18"/>
                <w:szCs w:val="18"/>
              </w:rPr>
              <w:t>Work relief from voize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AF9F4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.913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3E57A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.028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773902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32.254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D2EAB3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75A265B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3B8CA3" w14:textId="77777777" w:rsidR="00CE51C9" w:rsidRDefault="00000000">
            <w:r>
              <w:rPr>
                <w:sz w:val="18"/>
                <w:szCs w:val="18"/>
              </w:rPr>
              <w:t>PE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F1664" w14:textId="77777777" w:rsidR="00CE51C9" w:rsidRDefault="00000000">
            <w:r>
              <w:rPr>
                <w:sz w:val="18"/>
                <w:szCs w:val="18"/>
              </w:rPr>
              <w:t>Documents more with voize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AD79D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.735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0E8157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.052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84E89B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14.166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DC61D7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0BA80B1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54445" w14:textId="77777777" w:rsidR="00CE51C9" w:rsidRDefault="00000000">
            <w:r>
              <w:rPr>
                <w:sz w:val="18"/>
                <w:szCs w:val="18"/>
              </w:rPr>
              <w:t>PE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8F1CC" w14:textId="77777777" w:rsidR="00CE51C9" w:rsidRDefault="00000000">
            <w:r>
              <w:rPr>
                <w:sz w:val="18"/>
                <w:szCs w:val="18"/>
              </w:rPr>
              <w:t>More time for residents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20D3C9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.825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699418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.041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6340E5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19.904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BD8BC7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1F5B7B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6"/>
            <w:tcBorders>
              <w:top w:val="single" w:sz="4" w:space="0" w:color="AAAAAA"/>
              <w:left w:val="none" w:sz="0" w:space="0" w:color="FFFFFF"/>
              <w:bottom w:val="single" w:sz="4" w:space="0" w:color="AAAAAA"/>
              <w:right w:val="none" w:sz="0" w:space="0" w:color="FFFFFF"/>
            </w:tcBorders>
            <w:shd w:val="clear" w:color="auto" w:fill="F4F8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BD4060" w14:textId="77777777" w:rsidR="00CE51C9" w:rsidRDefault="00000000">
            <w:r>
              <w:rPr>
                <w:b/>
                <w:bCs/>
                <w:sz w:val="18"/>
                <w:szCs w:val="18"/>
              </w:rPr>
              <w:t>Effort Expectancy (EE)</w:t>
            </w:r>
          </w:p>
        </w:tc>
      </w:tr>
      <w:tr w:rsidR="00CE51C9" w14:paraId="0B53B8C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988C7C" w14:textId="77777777" w:rsidR="00CE51C9" w:rsidRDefault="00000000">
            <w:r>
              <w:rPr>
                <w:sz w:val="18"/>
                <w:szCs w:val="18"/>
              </w:rPr>
              <w:t>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522186" w14:textId="77777777" w:rsidR="00CE51C9" w:rsidRDefault="00000000">
            <w:r>
              <w:rPr>
                <w:sz w:val="18"/>
                <w:szCs w:val="18"/>
              </w:rPr>
              <w:t>Easy to learn voize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CFF87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.776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439C76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.055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D61A1C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14.229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46357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00084C7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57328" w14:textId="77777777" w:rsidR="00CE51C9" w:rsidRDefault="00000000">
            <w:r>
              <w:rPr>
                <w:sz w:val="18"/>
                <w:szCs w:val="18"/>
              </w:rPr>
              <w:t>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F8179" w14:textId="77777777" w:rsidR="00CE51C9" w:rsidRDefault="00000000">
            <w:r>
              <w:rPr>
                <w:sz w:val="18"/>
                <w:szCs w:val="18"/>
              </w:rPr>
              <w:t>Ease of use voize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6E4C9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.732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D3C72A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.096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C6F6C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7.621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9B61EB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26FE25F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B2243" w14:textId="77777777" w:rsidR="00CE51C9" w:rsidRDefault="00000000">
            <w:r>
              <w:rPr>
                <w:sz w:val="18"/>
                <w:szCs w:val="18"/>
              </w:rPr>
              <w:t>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E4FC9" w14:textId="77777777" w:rsidR="00CE51C9" w:rsidRDefault="00000000">
            <w:r>
              <w:rPr>
                <w:sz w:val="18"/>
                <w:szCs w:val="18"/>
              </w:rPr>
              <w:t>voize understands me well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7CBA2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.736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EBB1D5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.049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122A1F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15.118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6B6C3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524FF46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03475F" w14:textId="77777777" w:rsidR="00CE51C9" w:rsidRDefault="00000000">
            <w:r>
              <w:rPr>
                <w:sz w:val="18"/>
                <w:szCs w:val="18"/>
              </w:rPr>
              <w:t>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61520" w14:textId="77777777" w:rsidR="00CE51C9" w:rsidRDefault="00000000">
            <w:r>
              <w:rPr>
                <w:sz w:val="18"/>
                <w:szCs w:val="18"/>
              </w:rPr>
              <w:t>voize works reliably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F55228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.726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5D80BA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.048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204240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15.033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A738E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6B7FB1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6"/>
            <w:tcBorders>
              <w:top w:val="single" w:sz="4" w:space="0" w:color="AAAAAA"/>
              <w:left w:val="none" w:sz="0" w:space="0" w:color="FFFFFF"/>
              <w:bottom w:val="single" w:sz="4" w:space="0" w:color="AAAAAA"/>
              <w:right w:val="none" w:sz="0" w:space="0" w:color="FFFFFF"/>
            </w:tcBorders>
            <w:shd w:val="clear" w:color="auto" w:fill="F4F8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05A93" w14:textId="77777777" w:rsidR="00CE51C9" w:rsidRDefault="00000000">
            <w:r>
              <w:rPr>
                <w:b/>
                <w:bCs/>
                <w:sz w:val="18"/>
                <w:szCs w:val="18"/>
              </w:rPr>
              <w:t>Facilitating Conditions (FC)</w:t>
            </w:r>
          </w:p>
        </w:tc>
      </w:tr>
      <w:tr w:rsidR="00CE51C9" w14:paraId="4DF255F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DB0E2D" w14:textId="77777777" w:rsidR="00CE51C9" w:rsidRDefault="00000000">
            <w:r>
              <w:rPr>
                <w:sz w:val="18"/>
                <w:szCs w:val="18"/>
              </w:rPr>
              <w:t>FC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B85BA" w14:textId="77777777" w:rsidR="00CE51C9" w:rsidRDefault="00000000">
            <w:r>
              <w:rPr>
                <w:sz w:val="18"/>
                <w:szCs w:val="18"/>
              </w:rPr>
              <w:t>Quick help available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05FEF2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.758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12639B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.077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3F50B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9.848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5C88A0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480FB5F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D8B786" w14:textId="77777777" w:rsidR="00CE51C9" w:rsidRDefault="00000000">
            <w:r>
              <w:rPr>
                <w:sz w:val="18"/>
                <w:szCs w:val="18"/>
              </w:rPr>
              <w:t>FC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0584DE" w14:textId="77777777" w:rsidR="00CE51C9" w:rsidRPr="006F2507" w:rsidRDefault="00000000">
            <w:pPr>
              <w:rPr>
                <w:lang w:val="en-US"/>
              </w:rPr>
            </w:pPr>
            <w:r w:rsidRPr="006F2507">
              <w:rPr>
                <w:sz w:val="18"/>
                <w:szCs w:val="18"/>
                <w:lang w:val="en-US"/>
              </w:rPr>
              <w:t>Enough time to learn voize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715CA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.868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B9164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.047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58D36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18.516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A708F6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37CB6D4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6"/>
            <w:tcBorders>
              <w:top w:val="single" w:sz="4" w:space="0" w:color="AAAAAA"/>
              <w:left w:val="none" w:sz="0" w:space="0" w:color="FFFFFF"/>
              <w:bottom w:val="single" w:sz="4" w:space="0" w:color="AAAAAA"/>
              <w:right w:val="none" w:sz="0" w:space="0" w:color="FFFFFF"/>
            </w:tcBorders>
            <w:shd w:val="clear" w:color="auto" w:fill="F4F8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C55E9D" w14:textId="77777777" w:rsidR="00CE51C9" w:rsidRDefault="00000000">
            <w:r>
              <w:rPr>
                <w:b/>
                <w:bCs/>
                <w:sz w:val="18"/>
                <w:szCs w:val="18"/>
              </w:rPr>
              <w:t>Habit (HT)</w:t>
            </w:r>
          </w:p>
        </w:tc>
      </w:tr>
      <w:tr w:rsidR="00CE51C9" w14:paraId="4550711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2AFD48" w14:textId="77777777" w:rsidR="00CE51C9" w:rsidRDefault="00000000">
            <w:r>
              <w:rPr>
                <w:sz w:val="18"/>
                <w:szCs w:val="18"/>
              </w:rPr>
              <w:t>HT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35C25" w14:textId="77777777" w:rsidR="00CE51C9" w:rsidRPr="006F2507" w:rsidRDefault="00000000">
            <w:pPr>
              <w:rPr>
                <w:lang w:val="en-US"/>
              </w:rPr>
            </w:pPr>
            <w:r w:rsidRPr="006F2507">
              <w:rPr>
                <w:sz w:val="18"/>
                <w:szCs w:val="18"/>
                <w:lang w:val="en-US"/>
              </w:rPr>
              <w:t>Habit (gotten used to documenting)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32B8A1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.798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1D361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.062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6F060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12.916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F07F4D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  <w:tr w:rsidR="00CE51C9" w14:paraId="19FC292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F10BD" w14:textId="77777777" w:rsidR="00CE51C9" w:rsidRDefault="00000000">
            <w:r>
              <w:rPr>
                <w:sz w:val="18"/>
                <w:szCs w:val="18"/>
              </w:rPr>
              <w:lastRenderedPageBreak/>
              <w:t>HT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0201E4" w14:textId="77777777" w:rsidR="00CE51C9" w:rsidRDefault="00000000">
            <w:r>
              <w:rPr>
                <w:sz w:val="18"/>
                <w:szCs w:val="18"/>
              </w:rPr>
              <w:t>Independent voize use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0F82DC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.709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1C15A6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.085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777871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8.319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54598D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&lt; .001</w:t>
            </w:r>
          </w:p>
        </w:tc>
      </w:tr>
    </w:tbl>
    <w:p w14:paraId="79C46A9A" w14:textId="77777777" w:rsidR="00CE51C9" w:rsidRPr="006F2507" w:rsidRDefault="00000000">
      <w:pPr>
        <w:spacing w:before="120" w:after="240"/>
        <w:rPr>
          <w:lang w:val="en-US"/>
        </w:rPr>
      </w:pPr>
      <w:r w:rsidRPr="006F2507">
        <w:rPr>
          <w:b/>
          <w:bCs/>
          <w:sz w:val="18"/>
          <w:szCs w:val="18"/>
          <w:lang w:val="en-US"/>
        </w:rPr>
        <w:t xml:space="preserve">Note. </w:t>
      </w:r>
      <w:r w:rsidRPr="006F2507">
        <w:rPr>
          <w:sz w:val="18"/>
          <w:szCs w:val="18"/>
          <w:lang w:val="en-US"/>
        </w:rPr>
        <w:t>SE = standard error. All loadings are significant at p &lt; .001 (two-tailed z-test). Loadings were estimated using the robust maximum likelihood estimator (MLR). PE = Performance Expectancy; EE = Effort Expectancy; FC = Facilitating Conditions; HT = Habit.</w:t>
      </w:r>
    </w:p>
    <w:p w14:paraId="7F3A8C2E" w14:textId="77777777" w:rsidR="00CE51C9" w:rsidRPr="006F2507" w:rsidRDefault="00000000">
      <w:pPr>
        <w:spacing w:before="480" w:after="60"/>
        <w:rPr>
          <w:lang w:val="en-US"/>
        </w:rPr>
      </w:pPr>
      <w:r w:rsidRPr="006F2507">
        <w:rPr>
          <w:b/>
          <w:bCs/>
          <w:lang w:val="en-US"/>
        </w:rPr>
        <w:t>Table B3</w:t>
      </w:r>
    </w:p>
    <w:p w14:paraId="0420B2D5" w14:textId="77777777" w:rsidR="00CE51C9" w:rsidRPr="006F2507" w:rsidRDefault="00000000">
      <w:pPr>
        <w:spacing w:after="180"/>
        <w:rPr>
          <w:lang w:val="en-US"/>
        </w:rPr>
      </w:pPr>
      <w:r w:rsidRPr="006F2507">
        <w:rPr>
          <w:lang w:val="en-US"/>
        </w:rPr>
        <w:t>Internal Consistency and Convergent Validity of UTAUT2 Constructs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900"/>
        <w:gridCol w:w="1500"/>
        <w:gridCol w:w="1500"/>
        <w:gridCol w:w="2460"/>
      </w:tblGrid>
      <w:tr w:rsidR="00CE51C9" w14:paraId="4D1D851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793B11" w14:textId="77777777" w:rsidR="00CE51C9" w:rsidRDefault="00000000">
            <w:r>
              <w:rPr>
                <w:b/>
                <w:bCs/>
                <w:sz w:val="18"/>
                <w:szCs w:val="18"/>
              </w:rPr>
              <w:t>Construct</w:t>
            </w:r>
          </w:p>
        </w:tc>
        <w:tc>
          <w:tcPr>
            <w:tcW w:w="9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BE307" w14:textId="77777777" w:rsidR="00CE51C9" w:rsidRDefault="00000000">
            <w:r>
              <w:rPr>
                <w:b/>
                <w:bCs/>
                <w:sz w:val="18"/>
                <w:szCs w:val="18"/>
              </w:rPr>
              <w:t>Items (n)</w:t>
            </w:r>
          </w:p>
        </w:tc>
        <w:tc>
          <w:tcPr>
            <w:tcW w:w="15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A15416" w14:textId="77777777" w:rsidR="00CE51C9" w:rsidRDefault="00000000">
            <w:r>
              <w:rPr>
                <w:b/>
                <w:bCs/>
                <w:sz w:val="18"/>
                <w:szCs w:val="18"/>
              </w:rPr>
              <w:t>Cronbach's α</w:t>
            </w:r>
          </w:p>
        </w:tc>
        <w:tc>
          <w:tcPr>
            <w:tcW w:w="150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23DA4F" w14:textId="7C6D0172" w:rsidR="00CE51C9" w:rsidRDefault="006526F1"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="00000000">
              <w:rPr>
                <w:b/>
                <w:bCs/>
                <w:sz w:val="18"/>
                <w:szCs w:val="18"/>
              </w:rPr>
              <w:t>CR (ω)</w:t>
            </w:r>
          </w:p>
        </w:tc>
        <w:tc>
          <w:tcPr>
            <w:tcW w:w="2460" w:type="dxa"/>
            <w:tcBorders>
              <w:top w:val="single" w:sz="12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AEE86" w14:textId="1FF745E2" w:rsidR="00CE51C9" w:rsidRDefault="006526F1"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000000">
              <w:rPr>
                <w:b/>
                <w:bCs/>
                <w:sz w:val="18"/>
                <w:szCs w:val="18"/>
              </w:rPr>
              <w:t>AVE</w:t>
            </w:r>
          </w:p>
        </w:tc>
      </w:tr>
      <w:tr w:rsidR="00CE51C9" w14:paraId="1EBD00A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887BE3" w14:textId="77777777" w:rsidR="00CE51C9" w:rsidRDefault="00000000">
            <w:r>
              <w:rPr>
                <w:sz w:val="18"/>
                <w:szCs w:val="18"/>
              </w:rPr>
              <w:t>Performance Expectancy (PE)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05587C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0362F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.864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B83B2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.866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884B4A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.685</w:t>
            </w:r>
          </w:p>
        </w:tc>
      </w:tr>
      <w:tr w:rsidR="00CE51C9" w14:paraId="2B48A05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CF6F18" w14:textId="77777777" w:rsidR="00CE51C9" w:rsidRDefault="00000000">
            <w:r>
              <w:rPr>
                <w:sz w:val="18"/>
                <w:szCs w:val="18"/>
              </w:rPr>
              <w:t>Effort Expectancy (EE)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E5D6CA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6DF2E1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.831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0B6001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.831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6EDE08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.552</w:t>
            </w:r>
          </w:p>
        </w:tc>
      </w:tr>
      <w:tr w:rsidR="00CE51C9" w14:paraId="427206E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AFAE0" w14:textId="77777777" w:rsidR="00CE51C9" w:rsidRDefault="00000000">
            <w:r>
              <w:rPr>
                <w:sz w:val="18"/>
                <w:szCs w:val="18"/>
              </w:rPr>
              <w:t>Facilitating Conditions (FC)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B726BD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5DF74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.796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A20DB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.797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7B68D8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.664</w:t>
            </w:r>
          </w:p>
        </w:tc>
      </w:tr>
      <w:tr w:rsidR="00CE51C9" w14:paraId="35624D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7F9CFE" w14:textId="77777777" w:rsidR="00CE51C9" w:rsidRDefault="00000000">
            <w:r>
              <w:rPr>
                <w:sz w:val="18"/>
                <w:szCs w:val="18"/>
              </w:rPr>
              <w:t>Habit (HT)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B68447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FD86FC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.725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3060AB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.726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F941E9" w14:textId="77777777" w:rsidR="00CE51C9" w:rsidRDefault="00000000">
            <w:pPr>
              <w:jc w:val="center"/>
            </w:pPr>
            <w:r>
              <w:rPr>
                <w:sz w:val="18"/>
                <w:szCs w:val="18"/>
              </w:rPr>
              <w:t>.570</w:t>
            </w:r>
          </w:p>
        </w:tc>
      </w:tr>
    </w:tbl>
    <w:p w14:paraId="1746061F" w14:textId="77777777" w:rsidR="00CE51C9" w:rsidRPr="006F2507" w:rsidRDefault="00000000">
      <w:pPr>
        <w:spacing w:before="120" w:after="240"/>
        <w:rPr>
          <w:lang w:val="en-US"/>
        </w:rPr>
      </w:pPr>
      <w:r>
        <w:rPr>
          <w:b/>
          <w:bCs/>
          <w:sz w:val="18"/>
          <w:szCs w:val="18"/>
        </w:rPr>
        <w:t xml:space="preserve">Note. </w:t>
      </w:r>
      <w:r>
        <w:rPr>
          <w:sz w:val="18"/>
          <w:szCs w:val="18"/>
        </w:rPr>
        <w:t xml:space="preserve">CR = composite reliability (ω); AVE = average variance extracted. Cronbach’s α and CR ≥ .70 indicate acceptable internal consistency. AVE ≥ .50 indicates acceptable convergent validity (Fornell &amp; Larcker, 1981; https://doi.org/10.2307/3151312). </w:t>
      </w:r>
      <w:r w:rsidRPr="006F2507">
        <w:rPr>
          <w:sz w:val="18"/>
          <w:szCs w:val="18"/>
          <w:lang w:val="en-US"/>
        </w:rPr>
        <w:t>Single-item constructs (Hedonic Motivation, Social Influence, Trust in Data Security) are not included as reliability and AVE are not applicable.</w:t>
      </w:r>
    </w:p>
    <w:p w14:paraId="74659C50" w14:textId="77777777" w:rsidR="00CE51C9" w:rsidRPr="006F2507" w:rsidRDefault="00000000">
      <w:pPr>
        <w:spacing w:before="480" w:after="240" w:line="480" w:lineRule="auto"/>
        <w:rPr>
          <w:lang w:val="en-US"/>
        </w:rPr>
      </w:pPr>
      <w:r w:rsidRPr="006F2507">
        <w:rPr>
          <w:b/>
          <w:bCs/>
          <w:lang w:val="en-US"/>
        </w:rPr>
        <w:t>References for Appendix B</w:t>
      </w:r>
    </w:p>
    <w:p w14:paraId="792AAD15" w14:textId="77777777" w:rsidR="00CE51C9" w:rsidRPr="006F2507" w:rsidRDefault="00000000">
      <w:pPr>
        <w:spacing w:after="240" w:line="480" w:lineRule="auto"/>
        <w:ind w:left="720" w:hanging="720"/>
        <w:rPr>
          <w:lang w:val="en-US"/>
        </w:rPr>
      </w:pPr>
      <w:r w:rsidRPr="006F2507">
        <w:rPr>
          <w:lang w:val="en-US"/>
        </w:rPr>
        <w:t>Fornell, C., &amp; Larcker, D. F. (1981). Evaluating structural equation models with unobservable variables and measurement error. Journal of Marketing Research, 18(1), 39–50. https://doi.org/10.2307/3151312</w:t>
      </w:r>
    </w:p>
    <w:p w14:paraId="753F00ED" w14:textId="77777777" w:rsidR="00CE51C9" w:rsidRPr="006F2507" w:rsidRDefault="00000000">
      <w:pPr>
        <w:spacing w:after="240" w:line="480" w:lineRule="auto"/>
        <w:ind w:left="720" w:hanging="720"/>
        <w:rPr>
          <w:lang w:val="en-US"/>
        </w:rPr>
      </w:pPr>
      <w:r w:rsidRPr="006F2507">
        <w:rPr>
          <w:lang w:val="en-US"/>
        </w:rPr>
        <w:t>Hu, L., &amp; Bentler, P. M. (1999). Cutoff criteria for fit indexes in covariance structure analysis: Conventional criteria versus new alternatives. Structural Equation Modeling, 6(1), 1–55. https://doi.org/10.1080/10705519909540118</w:t>
      </w:r>
    </w:p>
    <w:p w14:paraId="400F57FF" w14:textId="419180D7" w:rsidR="00CE51C9" w:rsidRDefault="00CE51C9">
      <w:pPr>
        <w:spacing w:after="240" w:line="480" w:lineRule="auto"/>
        <w:ind w:left="720" w:hanging="720"/>
      </w:pPr>
    </w:p>
    <w:sectPr w:rsidR="00CE51C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E5C13"/>
    <w:multiLevelType w:val="hybridMultilevel"/>
    <w:tmpl w:val="20D01932"/>
    <w:lvl w:ilvl="0" w:tplc="E3281B72">
      <w:start w:val="1"/>
      <w:numFmt w:val="bullet"/>
      <w:lvlText w:val="●"/>
      <w:lvlJc w:val="left"/>
      <w:pPr>
        <w:ind w:left="720" w:hanging="360"/>
      </w:pPr>
    </w:lvl>
    <w:lvl w:ilvl="1" w:tplc="39221E9E">
      <w:start w:val="1"/>
      <w:numFmt w:val="bullet"/>
      <w:lvlText w:val="○"/>
      <w:lvlJc w:val="left"/>
      <w:pPr>
        <w:ind w:left="1440" w:hanging="360"/>
      </w:pPr>
    </w:lvl>
    <w:lvl w:ilvl="2" w:tplc="08E0D7DC">
      <w:start w:val="1"/>
      <w:numFmt w:val="bullet"/>
      <w:lvlText w:val="■"/>
      <w:lvlJc w:val="left"/>
      <w:pPr>
        <w:ind w:left="2160" w:hanging="360"/>
      </w:pPr>
    </w:lvl>
    <w:lvl w:ilvl="3" w:tplc="A392B06A">
      <w:start w:val="1"/>
      <w:numFmt w:val="bullet"/>
      <w:lvlText w:val="●"/>
      <w:lvlJc w:val="left"/>
      <w:pPr>
        <w:ind w:left="2880" w:hanging="360"/>
      </w:pPr>
    </w:lvl>
    <w:lvl w:ilvl="4" w:tplc="84A29970">
      <w:start w:val="1"/>
      <w:numFmt w:val="bullet"/>
      <w:lvlText w:val="○"/>
      <w:lvlJc w:val="left"/>
      <w:pPr>
        <w:ind w:left="3600" w:hanging="360"/>
      </w:pPr>
    </w:lvl>
    <w:lvl w:ilvl="5" w:tplc="EC1ED246">
      <w:start w:val="1"/>
      <w:numFmt w:val="bullet"/>
      <w:lvlText w:val="■"/>
      <w:lvlJc w:val="left"/>
      <w:pPr>
        <w:ind w:left="4320" w:hanging="360"/>
      </w:pPr>
    </w:lvl>
    <w:lvl w:ilvl="6" w:tplc="7FAEAB0A">
      <w:start w:val="1"/>
      <w:numFmt w:val="bullet"/>
      <w:lvlText w:val="●"/>
      <w:lvlJc w:val="left"/>
      <w:pPr>
        <w:ind w:left="5040" w:hanging="360"/>
      </w:pPr>
    </w:lvl>
    <w:lvl w:ilvl="7" w:tplc="159EBEF0">
      <w:start w:val="1"/>
      <w:numFmt w:val="bullet"/>
      <w:lvlText w:val="●"/>
      <w:lvlJc w:val="left"/>
      <w:pPr>
        <w:ind w:left="5760" w:hanging="360"/>
      </w:pPr>
    </w:lvl>
    <w:lvl w:ilvl="8" w:tplc="B268F702">
      <w:start w:val="1"/>
      <w:numFmt w:val="bullet"/>
      <w:lvlText w:val="●"/>
      <w:lvlJc w:val="left"/>
      <w:pPr>
        <w:ind w:left="6480" w:hanging="360"/>
      </w:pPr>
    </w:lvl>
  </w:abstractNum>
  <w:num w:numId="1" w16cid:durableId="968245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C9"/>
    <w:rsid w:val="00074F81"/>
    <w:rsid w:val="0022532A"/>
    <w:rsid w:val="003176D9"/>
    <w:rsid w:val="00346528"/>
    <w:rsid w:val="003759D2"/>
    <w:rsid w:val="003E3A0F"/>
    <w:rsid w:val="004104EF"/>
    <w:rsid w:val="004764D8"/>
    <w:rsid w:val="00485424"/>
    <w:rsid w:val="005333DC"/>
    <w:rsid w:val="0059733A"/>
    <w:rsid w:val="005F1F79"/>
    <w:rsid w:val="0063109A"/>
    <w:rsid w:val="006526F1"/>
    <w:rsid w:val="00661D52"/>
    <w:rsid w:val="00663C58"/>
    <w:rsid w:val="00674698"/>
    <w:rsid w:val="006D7430"/>
    <w:rsid w:val="006F2507"/>
    <w:rsid w:val="0091160E"/>
    <w:rsid w:val="00912E31"/>
    <w:rsid w:val="00AD6FF3"/>
    <w:rsid w:val="00BA5DF1"/>
    <w:rsid w:val="00BD54EC"/>
    <w:rsid w:val="00C86420"/>
    <w:rsid w:val="00CC5398"/>
    <w:rsid w:val="00CE51C9"/>
    <w:rsid w:val="00CF1838"/>
    <w:rsid w:val="00D814D1"/>
    <w:rsid w:val="00E51E8D"/>
    <w:rsid w:val="00FA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19A6"/>
  <w15:docId w15:val="{B7804FE0-0749-4776-9362-33B90429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Ferizaj, Drin</cp:lastModifiedBy>
  <cp:revision>31</cp:revision>
  <dcterms:created xsi:type="dcterms:W3CDTF">2026-03-25T11:56:00Z</dcterms:created>
  <dcterms:modified xsi:type="dcterms:W3CDTF">2026-04-07T11:23:00Z</dcterms:modified>
</cp:coreProperties>
</file>