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FC2F" w14:textId="77777777" w:rsidR="005B5885" w:rsidRPr="005B5885" w:rsidRDefault="005B5885" w:rsidP="005B5885">
      <w:pPr>
        <w:rPr>
          <w:b/>
          <w:bCs/>
          <w:lang w:val="fr-FR"/>
        </w:rPr>
      </w:pPr>
      <w:r w:rsidRPr="005B5885">
        <w:rPr>
          <w:b/>
          <w:bCs/>
          <w:lang w:val="fr-FR"/>
        </w:rPr>
        <w:t>Appendix C — Supplemental LCA Model Fit Tables</w:t>
      </w:r>
    </w:p>
    <w:p w14:paraId="4AF4654D" w14:textId="0074A6F5" w:rsidR="005B5885" w:rsidRPr="005B5885" w:rsidRDefault="005B5885" w:rsidP="005B5885">
      <w:pPr>
        <w:rPr>
          <w:lang w:val="en-US"/>
        </w:rPr>
      </w:pPr>
      <w:r w:rsidRPr="005B5885">
        <w:rPr>
          <w:lang w:val="en-US"/>
        </w:rPr>
        <w:t xml:space="preserve">Tables C1 and C2 present model fit and diagnostic criteria for the full-item and sparse indicator specifications, complementing the UTAUT2 results reported in the main text (Tables </w:t>
      </w:r>
      <w:r w:rsidR="000540D5">
        <w:rPr>
          <w:lang w:val="en-US"/>
        </w:rPr>
        <w:t>2</w:t>
      </w:r>
      <w:r w:rsidRPr="005B5885">
        <w:rPr>
          <w:lang w:val="en-US"/>
        </w:rPr>
        <w:t xml:space="preserve"> and </w:t>
      </w:r>
      <w:r w:rsidR="000540D5">
        <w:rPr>
          <w:lang w:val="en-US"/>
        </w:rPr>
        <w:t>3</w:t>
      </w:r>
      <w:r w:rsidRPr="005B5885">
        <w:rPr>
          <w:lang w:val="en-US"/>
        </w:rPr>
        <w:t>). Three-class solutions are indicated with an asterisk and bold formatting for all specifications.</w:t>
      </w:r>
    </w:p>
    <w:p w14:paraId="1CDF06BA" w14:textId="77777777" w:rsidR="005B5885" w:rsidRPr="005B5885" w:rsidRDefault="005B5885" w:rsidP="005B5885">
      <w:pPr>
        <w:rPr>
          <w:b/>
          <w:bCs/>
          <w:lang w:val="en-US"/>
        </w:rPr>
      </w:pPr>
      <w:r w:rsidRPr="005B5885">
        <w:rPr>
          <w:b/>
          <w:bCs/>
          <w:lang w:val="en-US"/>
        </w:rPr>
        <w:t>Table C1</w:t>
      </w:r>
    </w:p>
    <w:p w14:paraId="3311D98C" w14:textId="77777777" w:rsidR="005B5885" w:rsidRPr="005B5885" w:rsidRDefault="005B5885" w:rsidP="005B5885">
      <w:pPr>
        <w:rPr>
          <w:i/>
          <w:iCs/>
          <w:lang w:val="en-US"/>
        </w:rPr>
      </w:pPr>
      <w:r w:rsidRPr="005B5885">
        <w:rPr>
          <w:i/>
          <w:iCs/>
          <w:lang w:val="en-US"/>
        </w:rPr>
        <w:t>Model Fit Criteria Across Class Solutions: Full-Item, Sparse, and UTAUT2 Specifications</w:t>
      </w:r>
    </w:p>
    <w:tbl>
      <w:tblPr>
        <w:tblW w:w="8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643"/>
        <w:gridCol w:w="1342"/>
        <w:gridCol w:w="1214"/>
        <w:gridCol w:w="1214"/>
        <w:gridCol w:w="1214"/>
        <w:gridCol w:w="781"/>
      </w:tblGrid>
      <w:tr w:rsidR="005B5885" w:rsidRPr="005B5885" w14:paraId="36ECD4DD" w14:textId="77777777" w:rsidTr="000833BD">
        <w:trPr>
          <w:tblHeader/>
        </w:trPr>
        <w:tc>
          <w:tcPr>
            <w:tcW w:w="1276" w:type="dxa"/>
            <w:tcBorders>
              <w:top w:val="single" w:sz="12" w:space="0" w:color="1A1A1A"/>
            </w:tcBorders>
            <w:tcMar>
              <w:top w:w="9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ED3B0BE" w14:textId="697EB32D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Speci</w:t>
            </w:r>
            <w:r w:rsidR="000833BD">
              <w:rPr>
                <w:b/>
                <w:bCs/>
              </w:rPr>
              <w:t>-</w:t>
            </w:r>
            <w:r w:rsidRPr="005B5885">
              <w:rPr>
                <w:b/>
                <w:bCs/>
              </w:rPr>
              <w:t>fication</w:t>
            </w:r>
          </w:p>
        </w:tc>
        <w:tc>
          <w:tcPr>
            <w:tcW w:w="1643" w:type="dxa"/>
            <w:tcBorders>
              <w:top w:val="single" w:sz="12" w:space="0" w:color="1A1A1A"/>
            </w:tcBorders>
            <w:tcMar>
              <w:top w:w="9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A303D8B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Classes</w:t>
            </w:r>
          </w:p>
        </w:tc>
        <w:tc>
          <w:tcPr>
            <w:tcW w:w="0" w:type="auto"/>
            <w:tcBorders>
              <w:top w:val="single" w:sz="12" w:space="0" w:color="1A1A1A"/>
            </w:tcBorders>
            <w:tcMar>
              <w:top w:w="9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7B5D324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LL</w:t>
            </w:r>
          </w:p>
        </w:tc>
        <w:tc>
          <w:tcPr>
            <w:tcW w:w="0" w:type="auto"/>
            <w:tcBorders>
              <w:top w:val="single" w:sz="12" w:space="0" w:color="1A1A1A"/>
            </w:tcBorders>
            <w:tcMar>
              <w:top w:w="9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571D728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AIC</w:t>
            </w:r>
          </w:p>
        </w:tc>
        <w:tc>
          <w:tcPr>
            <w:tcW w:w="0" w:type="auto"/>
            <w:tcBorders>
              <w:top w:val="single" w:sz="12" w:space="0" w:color="1A1A1A"/>
            </w:tcBorders>
            <w:tcMar>
              <w:top w:w="9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B57F385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BIC</w:t>
            </w:r>
          </w:p>
        </w:tc>
        <w:tc>
          <w:tcPr>
            <w:tcW w:w="0" w:type="auto"/>
            <w:tcBorders>
              <w:top w:val="single" w:sz="12" w:space="0" w:color="1A1A1A"/>
            </w:tcBorders>
            <w:tcMar>
              <w:top w:w="9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82614ED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SABIC</w:t>
            </w:r>
          </w:p>
        </w:tc>
        <w:tc>
          <w:tcPr>
            <w:tcW w:w="0" w:type="auto"/>
            <w:tcBorders>
              <w:top w:val="single" w:sz="12" w:space="0" w:color="1A1A1A"/>
            </w:tcBorders>
            <w:tcMar>
              <w:top w:w="9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7FD993E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BF</w:t>
            </w:r>
          </w:p>
        </w:tc>
      </w:tr>
      <w:tr w:rsidR="005B5885" w:rsidRPr="005B5885" w14:paraId="6EE08DC4" w14:textId="77777777" w:rsidTr="000833BD">
        <w:trPr>
          <w:tblHeader/>
        </w:trPr>
        <w:tc>
          <w:tcPr>
            <w:tcW w:w="0" w:type="auto"/>
            <w:gridSpan w:val="7"/>
            <w:tcBorders>
              <w:bottom w:val="single" w:sz="4" w:space="0" w:color="1A1A1A"/>
            </w:tcBorders>
            <w:tcMar>
              <w:top w:w="45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AEE6FF" w14:textId="77777777" w:rsidR="005B5885" w:rsidRPr="005B5885" w:rsidRDefault="005B5885" w:rsidP="005B5885">
            <w:pPr>
              <w:rPr>
                <w:b/>
                <w:bCs/>
              </w:rPr>
            </w:pPr>
          </w:p>
        </w:tc>
      </w:tr>
      <w:tr w:rsidR="005B5885" w:rsidRPr="005B5885" w14:paraId="48E0CF1F" w14:textId="77777777" w:rsidTr="000833BD">
        <w:tc>
          <w:tcPr>
            <w:tcW w:w="0" w:type="auto"/>
            <w:gridSpan w:val="7"/>
            <w:tcMar>
              <w:top w:w="150" w:type="dxa"/>
              <w:left w:w="150" w:type="dxa"/>
              <w:bottom w:w="45" w:type="dxa"/>
              <w:right w:w="150" w:type="dxa"/>
            </w:tcMar>
            <w:hideMark/>
          </w:tcPr>
          <w:p w14:paraId="37AB7CD5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Full-Item</w:t>
            </w:r>
          </w:p>
        </w:tc>
      </w:tr>
      <w:tr w:rsidR="005B5885" w:rsidRPr="005B5885" w14:paraId="16AAB937" w14:textId="77777777" w:rsidTr="000833BD">
        <w:tc>
          <w:tcPr>
            <w:tcW w:w="1276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376A6A2" w14:textId="77777777" w:rsidR="005B5885" w:rsidRPr="005B5885" w:rsidRDefault="005B5885" w:rsidP="005B5885">
            <w:pPr>
              <w:rPr>
                <w:b/>
                <w:bCs/>
              </w:rPr>
            </w:pPr>
          </w:p>
        </w:tc>
        <w:tc>
          <w:tcPr>
            <w:tcW w:w="1643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9E394E8" w14:textId="77777777" w:rsidR="005B5885" w:rsidRPr="005B5885" w:rsidRDefault="005B5885" w:rsidP="005B5885">
            <w:r w:rsidRPr="005B5885">
              <w:t>1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AD44C18" w14:textId="77777777" w:rsidR="005B5885" w:rsidRPr="005B5885" w:rsidRDefault="005B5885" w:rsidP="005B5885">
            <w:r w:rsidRPr="005B5885">
              <w:t>−2,803.15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D77F6F4" w14:textId="77777777" w:rsidR="005B5885" w:rsidRPr="005B5885" w:rsidRDefault="005B5885" w:rsidP="005B5885">
            <w:r w:rsidRPr="005B5885">
              <w:t>5,730.29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E49DE5B" w14:textId="77777777" w:rsidR="005B5885" w:rsidRPr="005B5885" w:rsidRDefault="005B5885" w:rsidP="005B5885">
            <w:r w:rsidRPr="005B5885">
              <w:t>5,909.96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2E44297" w14:textId="77777777" w:rsidR="005B5885" w:rsidRPr="005B5885" w:rsidRDefault="005B5885" w:rsidP="005B5885">
            <w:r w:rsidRPr="005B5885">
              <w:t>5,713.84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9DB8C86" w14:textId="77777777" w:rsidR="005B5885" w:rsidRPr="005B5885" w:rsidRDefault="005B5885" w:rsidP="005B5885">
            <w:r w:rsidRPr="005B5885">
              <w:t>—</w:t>
            </w:r>
          </w:p>
        </w:tc>
      </w:tr>
      <w:tr w:rsidR="005B5885" w:rsidRPr="005B5885" w14:paraId="51BDFEC5" w14:textId="77777777" w:rsidTr="000833BD">
        <w:tc>
          <w:tcPr>
            <w:tcW w:w="1276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E901FDD" w14:textId="77777777" w:rsidR="005B5885" w:rsidRPr="005B5885" w:rsidRDefault="005B5885" w:rsidP="005B5885"/>
        </w:tc>
        <w:tc>
          <w:tcPr>
            <w:tcW w:w="1643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A23338E" w14:textId="77777777" w:rsidR="005B5885" w:rsidRPr="005B5885" w:rsidRDefault="005B5885" w:rsidP="005B5885">
            <w:r w:rsidRPr="005B5885">
              <w:t>2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37DB95B" w14:textId="77777777" w:rsidR="005B5885" w:rsidRPr="005B5885" w:rsidRDefault="005B5885" w:rsidP="005B5885">
            <w:r w:rsidRPr="005B5885">
              <w:t>−2,340.68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93CD20A" w14:textId="77777777" w:rsidR="005B5885" w:rsidRPr="005B5885" w:rsidRDefault="005B5885" w:rsidP="005B5885">
            <w:r w:rsidRPr="005B5885">
              <w:t>4,931.35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D52BEBF" w14:textId="77777777" w:rsidR="005B5885" w:rsidRPr="005B5885" w:rsidRDefault="005B5885" w:rsidP="005B5885">
            <w:r w:rsidRPr="005B5885">
              <w:t>5,293.58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A6C7B8E" w14:textId="77777777" w:rsidR="005B5885" w:rsidRPr="005B5885" w:rsidRDefault="005B5885" w:rsidP="005B5885">
            <w:r w:rsidRPr="005B5885">
              <w:t>4,898.18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ECCCC14" w14:textId="77777777" w:rsidR="005B5885" w:rsidRPr="005B5885" w:rsidRDefault="005B5885" w:rsidP="005B5885">
            <w:r w:rsidRPr="005B5885">
              <w:t>6.99 × 10</w:t>
            </w:r>
            <w:r w:rsidRPr="005B5885">
              <w:rPr>
                <w:vertAlign w:val="superscript"/>
              </w:rPr>
              <w:t>133</w:t>
            </w:r>
          </w:p>
        </w:tc>
      </w:tr>
      <w:tr w:rsidR="005B5885" w:rsidRPr="005B5885" w14:paraId="55A715A7" w14:textId="77777777" w:rsidTr="000833BD">
        <w:tc>
          <w:tcPr>
            <w:tcW w:w="1276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0E3ADCD" w14:textId="77777777" w:rsidR="005B5885" w:rsidRPr="005B5885" w:rsidRDefault="005B5885" w:rsidP="005B5885"/>
        </w:tc>
        <w:tc>
          <w:tcPr>
            <w:tcW w:w="1643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98F49F8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3*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9158749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−2,112.40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9F3D8CE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4,600.80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AD13624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5,145.59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7170514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4,550.90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92AAFCC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1.37 × 10</w:t>
            </w:r>
            <w:r w:rsidRPr="005B5885">
              <w:rPr>
                <w:b/>
                <w:bCs/>
                <w:vertAlign w:val="superscript"/>
              </w:rPr>
              <w:t>32</w:t>
            </w:r>
          </w:p>
        </w:tc>
      </w:tr>
      <w:tr w:rsidR="005B5885" w:rsidRPr="005B5885" w14:paraId="189D2011" w14:textId="77777777" w:rsidTr="000833BD">
        <w:tc>
          <w:tcPr>
            <w:tcW w:w="1276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5F67AC4" w14:textId="77777777" w:rsidR="005B5885" w:rsidRPr="005B5885" w:rsidRDefault="005B5885" w:rsidP="005B5885">
            <w:pPr>
              <w:rPr>
                <w:b/>
                <w:bCs/>
              </w:rPr>
            </w:pPr>
          </w:p>
        </w:tc>
        <w:tc>
          <w:tcPr>
            <w:tcW w:w="1643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BD07589" w14:textId="77777777" w:rsidR="005B5885" w:rsidRPr="005B5885" w:rsidRDefault="005B5885" w:rsidP="005B5885">
            <w:r w:rsidRPr="005B5885">
              <w:t>4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739FBC8" w14:textId="77777777" w:rsidR="005B5885" w:rsidRPr="005B5885" w:rsidRDefault="005B5885" w:rsidP="005B5885">
            <w:r w:rsidRPr="005B5885">
              <w:t>−2,037.89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67D20E4" w14:textId="77777777" w:rsidR="005B5885" w:rsidRPr="005B5885" w:rsidRDefault="005B5885" w:rsidP="005B5885">
            <w:r w:rsidRPr="005B5885">
              <w:t>4,577.78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963A09E" w14:textId="77777777" w:rsidR="005B5885" w:rsidRPr="005B5885" w:rsidRDefault="005B5885" w:rsidP="005B5885">
            <w:r w:rsidRPr="005B5885">
              <w:t>5,305.13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E15CCC6" w14:textId="77777777" w:rsidR="005B5885" w:rsidRPr="005B5885" w:rsidRDefault="005B5885" w:rsidP="005B5885">
            <w:r w:rsidRPr="005B5885">
              <w:t>4,511.16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55DC00B" w14:textId="77777777" w:rsidR="005B5885" w:rsidRPr="005B5885" w:rsidRDefault="005B5885" w:rsidP="005B5885">
            <w:r w:rsidRPr="005B5885">
              <w:t>2.27 × 10</w:t>
            </w:r>
            <w:r w:rsidRPr="005B5885">
              <w:rPr>
                <w:vertAlign w:val="superscript"/>
              </w:rPr>
              <w:t>−35</w:t>
            </w:r>
          </w:p>
        </w:tc>
      </w:tr>
      <w:tr w:rsidR="005B5885" w:rsidRPr="005B5885" w14:paraId="34E59362" w14:textId="77777777" w:rsidTr="000833BD">
        <w:tc>
          <w:tcPr>
            <w:tcW w:w="1276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EE3FD3F" w14:textId="77777777" w:rsidR="005B5885" w:rsidRPr="005B5885" w:rsidRDefault="005B5885" w:rsidP="005B5885"/>
        </w:tc>
        <w:tc>
          <w:tcPr>
            <w:tcW w:w="1643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B774841" w14:textId="77777777" w:rsidR="005B5885" w:rsidRPr="005B5885" w:rsidRDefault="005B5885" w:rsidP="005B5885">
            <w:r w:rsidRPr="005B5885">
              <w:t>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A1BD4CE" w14:textId="77777777" w:rsidR="005B5885" w:rsidRPr="005B5885" w:rsidRDefault="005B5885" w:rsidP="005B5885">
            <w:r w:rsidRPr="005B5885">
              <w:t>−1,985.73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8BFD1F4" w14:textId="77777777" w:rsidR="005B5885" w:rsidRPr="005B5885" w:rsidRDefault="005B5885" w:rsidP="005B5885">
            <w:r w:rsidRPr="005B5885">
              <w:t>4,599.46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1E665CA" w14:textId="77777777" w:rsidR="005B5885" w:rsidRPr="005B5885" w:rsidRDefault="005B5885" w:rsidP="005B5885">
            <w:r w:rsidRPr="005B5885">
              <w:t>5,509.38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EDBE2CE" w14:textId="77777777" w:rsidR="005B5885" w:rsidRPr="005B5885" w:rsidRDefault="005B5885" w:rsidP="005B5885">
            <w:r w:rsidRPr="005B5885">
              <w:t>4,516.13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498CC62" w14:textId="77777777" w:rsidR="005B5885" w:rsidRPr="005B5885" w:rsidRDefault="005B5885" w:rsidP="005B5885">
            <w:r w:rsidRPr="005B5885">
              <w:t>4.44 × 10</w:t>
            </w:r>
            <w:r w:rsidRPr="005B5885">
              <w:rPr>
                <w:vertAlign w:val="superscript"/>
              </w:rPr>
              <w:t>−45</w:t>
            </w:r>
          </w:p>
        </w:tc>
      </w:tr>
      <w:tr w:rsidR="005B5885" w:rsidRPr="005B5885" w14:paraId="3D4D2FF2" w14:textId="77777777" w:rsidTr="000833BD">
        <w:tc>
          <w:tcPr>
            <w:tcW w:w="0" w:type="auto"/>
            <w:gridSpan w:val="7"/>
            <w:tcMar>
              <w:top w:w="150" w:type="dxa"/>
              <w:left w:w="150" w:type="dxa"/>
              <w:bottom w:w="45" w:type="dxa"/>
              <w:right w:w="150" w:type="dxa"/>
            </w:tcMar>
            <w:hideMark/>
          </w:tcPr>
          <w:p w14:paraId="6653F0E3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Sparse</w:t>
            </w:r>
          </w:p>
        </w:tc>
      </w:tr>
      <w:tr w:rsidR="005B5885" w:rsidRPr="005B5885" w14:paraId="2F8CC647" w14:textId="77777777" w:rsidTr="000833BD">
        <w:tc>
          <w:tcPr>
            <w:tcW w:w="1276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5353DF1" w14:textId="77777777" w:rsidR="005B5885" w:rsidRPr="005B5885" w:rsidRDefault="005B5885" w:rsidP="005B5885">
            <w:pPr>
              <w:rPr>
                <w:b/>
                <w:bCs/>
              </w:rPr>
            </w:pPr>
          </w:p>
        </w:tc>
        <w:tc>
          <w:tcPr>
            <w:tcW w:w="1643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6961705" w14:textId="77777777" w:rsidR="005B5885" w:rsidRPr="005B5885" w:rsidRDefault="005B5885" w:rsidP="005B5885">
            <w:r w:rsidRPr="005B5885">
              <w:t>1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6FE1E2A" w14:textId="77777777" w:rsidR="005B5885" w:rsidRPr="005B5885" w:rsidRDefault="005B5885" w:rsidP="005B5885">
            <w:r w:rsidRPr="005B5885">
              <w:t>−1,234.78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DD81B23" w14:textId="77777777" w:rsidR="005B5885" w:rsidRPr="005B5885" w:rsidRDefault="005B5885" w:rsidP="005B5885">
            <w:r w:rsidRPr="005B5885">
              <w:t>2,521.55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695B427" w14:textId="77777777" w:rsidR="005B5885" w:rsidRPr="005B5885" w:rsidRDefault="005B5885" w:rsidP="005B5885">
            <w:r w:rsidRPr="005B5885">
              <w:t>2,596.90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82D1CFA" w14:textId="77777777" w:rsidR="005B5885" w:rsidRPr="005B5885" w:rsidRDefault="005B5885" w:rsidP="005B5885">
            <w:r w:rsidRPr="005B5885">
              <w:t>2,514.65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5BD705E" w14:textId="77777777" w:rsidR="005B5885" w:rsidRPr="005B5885" w:rsidRDefault="005B5885" w:rsidP="005B5885">
            <w:r w:rsidRPr="005B5885">
              <w:t>—</w:t>
            </w:r>
          </w:p>
        </w:tc>
      </w:tr>
      <w:tr w:rsidR="005B5885" w:rsidRPr="005B5885" w14:paraId="54BB97AC" w14:textId="77777777" w:rsidTr="000833BD">
        <w:tc>
          <w:tcPr>
            <w:tcW w:w="1276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69F5C7F" w14:textId="77777777" w:rsidR="005B5885" w:rsidRPr="005B5885" w:rsidRDefault="005B5885" w:rsidP="005B5885"/>
        </w:tc>
        <w:tc>
          <w:tcPr>
            <w:tcW w:w="1643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AAC51A5" w14:textId="77777777" w:rsidR="005B5885" w:rsidRPr="005B5885" w:rsidRDefault="005B5885" w:rsidP="005B5885">
            <w:r w:rsidRPr="005B5885">
              <w:t>2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FC51B27" w14:textId="77777777" w:rsidR="005B5885" w:rsidRPr="005B5885" w:rsidRDefault="005B5885" w:rsidP="005B5885">
            <w:r w:rsidRPr="005B5885">
              <w:t>−1,077.77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7AF9CCD" w14:textId="77777777" w:rsidR="005B5885" w:rsidRPr="005B5885" w:rsidRDefault="005B5885" w:rsidP="005B5885">
            <w:r w:rsidRPr="005B5885">
              <w:t>2,261.53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71F6B92" w14:textId="77777777" w:rsidR="005B5885" w:rsidRPr="005B5885" w:rsidRDefault="005B5885" w:rsidP="005B5885">
            <w:r w:rsidRPr="005B5885">
              <w:t>2,415.12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B6E86B1" w14:textId="77777777" w:rsidR="005B5885" w:rsidRPr="005B5885" w:rsidRDefault="005B5885" w:rsidP="005B5885">
            <w:r w:rsidRPr="005B5885">
              <w:t>2,247.46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A323F84" w14:textId="77777777" w:rsidR="005B5885" w:rsidRPr="005B5885" w:rsidRDefault="005B5885" w:rsidP="005B5885">
            <w:r w:rsidRPr="005B5885">
              <w:t>2.97 × 10</w:t>
            </w:r>
            <w:r w:rsidRPr="005B5885">
              <w:rPr>
                <w:vertAlign w:val="superscript"/>
              </w:rPr>
              <w:t>39</w:t>
            </w:r>
          </w:p>
        </w:tc>
      </w:tr>
      <w:tr w:rsidR="005B5885" w:rsidRPr="005B5885" w14:paraId="2B09C526" w14:textId="77777777" w:rsidTr="000833BD">
        <w:tc>
          <w:tcPr>
            <w:tcW w:w="1276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BB690D4" w14:textId="77777777" w:rsidR="005B5885" w:rsidRPr="005B5885" w:rsidRDefault="005B5885" w:rsidP="005B5885"/>
        </w:tc>
        <w:tc>
          <w:tcPr>
            <w:tcW w:w="1643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5DEEBB5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3*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4055EAA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−1,007.64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D0D666A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2,175.29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61ED55D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2,407.11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7EC16FE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2,154.05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73AEFAD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5.46 × 10</w:t>
            </w:r>
            <w:r w:rsidRPr="005B5885">
              <w:rPr>
                <w:b/>
                <w:bCs/>
                <w:vertAlign w:val="superscript"/>
              </w:rPr>
              <w:t>1</w:t>
            </w:r>
          </w:p>
        </w:tc>
      </w:tr>
      <w:tr w:rsidR="005B5885" w:rsidRPr="005B5885" w14:paraId="3C9164EB" w14:textId="77777777" w:rsidTr="000833BD">
        <w:tc>
          <w:tcPr>
            <w:tcW w:w="1276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0DCFBAD" w14:textId="77777777" w:rsidR="005B5885" w:rsidRPr="005B5885" w:rsidRDefault="005B5885" w:rsidP="005B5885">
            <w:pPr>
              <w:rPr>
                <w:b/>
                <w:bCs/>
              </w:rPr>
            </w:pPr>
          </w:p>
        </w:tc>
        <w:tc>
          <w:tcPr>
            <w:tcW w:w="1643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8AFF085" w14:textId="77777777" w:rsidR="005B5885" w:rsidRPr="005B5885" w:rsidRDefault="005B5885" w:rsidP="005B5885">
            <w:r w:rsidRPr="005B5885">
              <w:t>4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0AADB89" w14:textId="77777777" w:rsidR="005B5885" w:rsidRPr="005B5885" w:rsidRDefault="005B5885" w:rsidP="005B5885">
            <w:r w:rsidRPr="005B5885">
              <w:t>−976.97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5B4D99B" w14:textId="77777777" w:rsidR="005B5885" w:rsidRPr="005B5885" w:rsidRDefault="005B5885" w:rsidP="005B5885">
            <w:r w:rsidRPr="005B5885">
              <w:t>2,167.95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60CEA0C" w14:textId="77777777" w:rsidR="005B5885" w:rsidRPr="005B5885" w:rsidRDefault="005B5885" w:rsidP="005B5885">
            <w:r w:rsidRPr="005B5885">
              <w:t>2,478.02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87BB263" w14:textId="77777777" w:rsidR="005B5885" w:rsidRPr="005B5885" w:rsidRDefault="005B5885" w:rsidP="005B5885">
            <w:r w:rsidRPr="005B5885">
              <w:t>2,139.55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C776CAF" w14:textId="77777777" w:rsidR="005B5885" w:rsidRPr="005B5885" w:rsidRDefault="005B5885" w:rsidP="005B5885">
            <w:r w:rsidRPr="005B5885">
              <w:t>4.01 × 10</w:t>
            </w:r>
            <w:r w:rsidRPr="005B5885">
              <w:rPr>
                <w:vertAlign w:val="superscript"/>
              </w:rPr>
              <w:t>−16</w:t>
            </w:r>
          </w:p>
        </w:tc>
      </w:tr>
      <w:tr w:rsidR="005B5885" w:rsidRPr="005B5885" w14:paraId="788E1FFC" w14:textId="77777777" w:rsidTr="000833BD">
        <w:tc>
          <w:tcPr>
            <w:tcW w:w="1276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0D96237" w14:textId="77777777" w:rsidR="005B5885" w:rsidRPr="005B5885" w:rsidRDefault="005B5885" w:rsidP="005B5885"/>
        </w:tc>
        <w:tc>
          <w:tcPr>
            <w:tcW w:w="1643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E999F77" w14:textId="77777777" w:rsidR="005B5885" w:rsidRPr="005B5885" w:rsidRDefault="005B5885" w:rsidP="005B5885">
            <w:r w:rsidRPr="005B5885">
              <w:t>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68756A6" w14:textId="77777777" w:rsidR="005B5885" w:rsidRPr="005B5885" w:rsidRDefault="005B5885" w:rsidP="005B5885">
            <w:r w:rsidRPr="005B5885">
              <w:t>−956.13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113DD8C" w14:textId="77777777" w:rsidR="005B5885" w:rsidRPr="005B5885" w:rsidRDefault="005B5885" w:rsidP="005B5885">
            <w:r w:rsidRPr="005B5885">
              <w:t>2,180.25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2270306" w14:textId="77777777" w:rsidR="005B5885" w:rsidRPr="005B5885" w:rsidRDefault="005B5885" w:rsidP="005B5885">
            <w:r w:rsidRPr="005B5885">
              <w:t>2,568.56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DABDBBD" w14:textId="77777777" w:rsidR="005B5885" w:rsidRPr="005B5885" w:rsidRDefault="005B5885" w:rsidP="005B5885">
            <w:r w:rsidRPr="005B5885">
              <w:t>2,144.69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519C456" w14:textId="77777777" w:rsidR="005B5885" w:rsidRPr="005B5885" w:rsidRDefault="005B5885" w:rsidP="005B5885">
            <w:r w:rsidRPr="005B5885">
              <w:t>2.18 × 10</w:t>
            </w:r>
            <w:r w:rsidRPr="005B5885">
              <w:rPr>
                <w:vertAlign w:val="superscript"/>
              </w:rPr>
              <w:t>−20</w:t>
            </w:r>
          </w:p>
        </w:tc>
      </w:tr>
      <w:tr w:rsidR="005B5885" w:rsidRPr="005B5885" w14:paraId="382026DD" w14:textId="77777777" w:rsidTr="000833BD">
        <w:tc>
          <w:tcPr>
            <w:tcW w:w="0" w:type="auto"/>
            <w:gridSpan w:val="7"/>
            <w:tcMar>
              <w:top w:w="150" w:type="dxa"/>
              <w:left w:w="150" w:type="dxa"/>
              <w:bottom w:w="45" w:type="dxa"/>
              <w:right w:w="150" w:type="dxa"/>
            </w:tcMar>
            <w:hideMark/>
          </w:tcPr>
          <w:p w14:paraId="7F6DF36A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UTAUT2</w:t>
            </w:r>
          </w:p>
        </w:tc>
      </w:tr>
      <w:tr w:rsidR="005B5885" w:rsidRPr="005B5885" w14:paraId="1BA2F7DD" w14:textId="77777777" w:rsidTr="000833BD">
        <w:tc>
          <w:tcPr>
            <w:tcW w:w="1276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47FC1C7" w14:textId="77777777" w:rsidR="005B5885" w:rsidRPr="005B5885" w:rsidRDefault="005B5885" w:rsidP="005B5885">
            <w:pPr>
              <w:rPr>
                <w:b/>
                <w:bCs/>
              </w:rPr>
            </w:pPr>
          </w:p>
        </w:tc>
        <w:tc>
          <w:tcPr>
            <w:tcW w:w="1643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439D2CB" w14:textId="77777777" w:rsidR="005B5885" w:rsidRPr="005B5885" w:rsidRDefault="005B5885" w:rsidP="005B5885">
            <w:r w:rsidRPr="005B5885">
              <w:t>1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958BE57" w14:textId="77777777" w:rsidR="005B5885" w:rsidRPr="005B5885" w:rsidRDefault="005B5885" w:rsidP="005B5885">
            <w:r w:rsidRPr="005B5885">
              <w:t>−1,131.13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C8AEE8B" w14:textId="77777777" w:rsidR="005B5885" w:rsidRPr="005B5885" w:rsidRDefault="005B5885" w:rsidP="005B5885">
            <w:r w:rsidRPr="005B5885">
              <w:t>2,316.25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8EE034B" w14:textId="77777777" w:rsidR="005B5885" w:rsidRPr="005B5885" w:rsidRDefault="005B5885" w:rsidP="005B5885">
            <w:r w:rsidRPr="005B5885">
              <w:t>2,394.50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E0121F2" w14:textId="77777777" w:rsidR="005B5885" w:rsidRPr="005B5885" w:rsidRDefault="005B5885" w:rsidP="005B5885">
            <w:r w:rsidRPr="005B5885">
              <w:t>2,309.09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C80289E" w14:textId="77777777" w:rsidR="005B5885" w:rsidRPr="005B5885" w:rsidRDefault="005B5885" w:rsidP="005B5885">
            <w:r w:rsidRPr="005B5885">
              <w:t>—</w:t>
            </w:r>
          </w:p>
        </w:tc>
      </w:tr>
      <w:tr w:rsidR="005B5885" w:rsidRPr="005B5885" w14:paraId="3EFC94A6" w14:textId="77777777" w:rsidTr="000833BD">
        <w:tc>
          <w:tcPr>
            <w:tcW w:w="1276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60B912E" w14:textId="77777777" w:rsidR="005B5885" w:rsidRPr="005B5885" w:rsidRDefault="005B5885" w:rsidP="005B5885"/>
        </w:tc>
        <w:tc>
          <w:tcPr>
            <w:tcW w:w="1643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4CD7EE2" w14:textId="77777777" w:rsidR="005B5885" w:rsidRPr="005B5885" w:rsidRDefault="005B5885" w:rsidP="005B5885">
            <w:r w:rsidRPr="005B5885">
              <w:t>2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A897088" w14:textId="77777777" w:rsidR="005B5885" w:rsidRPr="005B5885" w:rsidRDefault="005B5885" w:rsidP="005B5885">
            <w:r w:rsidRPr="005B5885">
              <w:t>−950.54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5AECF5E" w14:textId="77777777" w:rsidR="005B5885" w:rsidRPr="005B5885" w:rsidRDefault="005B5885" w:rsidP="005B5885">
            <w:r w:rsidRPr="005B5885">
              <w:t>2,011.08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E5651AB" w14:textId="77777777" w:rsidR="005B5885" w:rsidRPr="005B5885" w:rsidRDefault="005B5885" w:rsidP="005B5885">
            <w:r w:rsidRPr="005B5885">
              <w:t>2,170.46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087E529" w14:textId="77777777" w:rsidR="005B5885" w:rsidRPr="005B5885" w:rsidRDefault="005B5885" w:rsidP="005B5885">
            <w:r w:rsidRPr="005B5885">
              <w:t>1,996.48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86F4024" w14:textId="77777777" w:rsidR="005B5885" w:rsidRPr="005B5885" w:rsidRDefault="005B5885" w:rsidP="005B5885">
            <w:r w:rsidRPr="005B5885">
              <w:t>4.46 × 10</w:t>
            </w:r>
            <w:r w:rsidRPr="005B5885">
              <w:rPr>
                <w:vertAlign w:val="superscript"/>
              </w:rPr>
              <w:t>48</w:t>
            </w:r>
          </w:p>
        </w:tc>
      </w:tr>
      <w:tr w:rsidR="005B5885" w:rsidRPr="005B5885" w14:paraId="0DFD1E95" w14:textId="77777777" w:rsidTr="000833BD">
        <w:tc>
          <w:tcPr>
            <w:tcW w:w="1276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ADF6989" w14:textId="77777777" w:rsidR="005B5885" w:rsidRPr="005B5885" w:rsidRDefault="005B5885" w:rsidP="005B5885"/>
        </w:tc>
        <w:tc>
          <w:tcPr>
            <w:tcW w:w="1643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7E0A6AD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3*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0672912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−854.02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09F5270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1,874.03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B2A3D52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2,114.55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E7F5A32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1,852.01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6B3E24B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1.38 × 10</w:t>
            </w:r>
            <w:r w:rsidRPr="005B5885">
              <w:rPr>
                <w:b/>
                <w:bCs/>
                <w:vertAlign w:val="superscript"/>
              </w:rPr>
              <w:t>12</w:t>
            </w:r>
          </w:p>
        </w:tc>
      </w:tr>
      <w:tr w:rsidR="005B5885" w:rsidRPr="005B5885" w14:paraId="14B57B33" w14:textId="77777777" w:rsidTr="000833BD">
        <w:tc>
          <w:tcPr>
            <w:tcW w:w="1276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28AEA9C" w14:textId="77777777" w:rsidR="005B5885" w:rsidRPr="005B5885" w:rsidRDefault="005B5885" w:rsidP="005B5885">
            <w:pPr>
              <w:rPr>
                <w:b/>
                <w:bCs/>
              </w:rPr>
            </w:pPr>
          </w:p>
        </w:tc>
        <w:tc>
          <w:tcPr>
            <w:tcW w:w="1643" w:type="dxa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6572A27" w14:textId="77777777" w:rsidR="005B5885" w:rsidRPr="005B5885" w:rsidRDefault="005B5885" w:rsidP="005B5885">
            <w:r w:rsidRPr="005B5885">
              <w:t>4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8F8FEF3" w14:textId="77777777" w:rsidR="005B5885" w:rsidRPr="005B5885" w:rsidRDefault="005B5885" w:rsidP="005B5885">
            <w:r w:rsidRPr="005B5885">
              <w:t>−832.21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3596F84" w14:textId="77777777" w:rsidR="005B5885" w:rsidRPr="005B5885" w:rsidRDefault="005B5885" w:rsidP="005B5885">
            <w:r w:rsidRPr="005B5885">
              <w:t>1,886.42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918007B" w14:textId="77777777" w:rsidR="005B5885" w:rsidRPr="005B5885" w:rsidRDefault="005B5885" w:rsidP="005B5885">
            <w:r w:rsidRPr="005B5885">
              <w:t>2,208.08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8D74D3F" w14:textId="77777777" w:rsidR="005B5885" w:rsidRPr="005B5885" w:rsidRDefault="005B5885" w:rsidP="005B5885">
            <w:r w:rsidRPr="005B5885">
              <w:t>1,856.96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6BB2634" w14:textId="77777777" w:rsidR="005B5885" w:rsidRPr="005B5885" w:rsidRDefault="005B5885" w:rsidP="005B5885">
            <w:r w:rsidRPr="005B5885">
              <w:t>4.92 × 10</w:t>
            </w:r>
            <w:r w:rsidRPr="005B5885">
              <w:rPr>
                <w:vertAlign w:val="superscript"/>
              </w:rPr>
              <w:t>−21</w:t>
            </w:r>
          </w:p>
        </w:tc>
      </w:tr>
      <w:tr w:rsidR="005B5885" w:rsidRPr="005B5885" w14:paraId="5C9AFA8E" w14:textId="77777777" w:rsidTr="000833BD">
        <w:tc>
          <w:tcPr>
            <w:tcW w:w="1276" w:type="dxa"/>
            <w:tcBorders>
              <w:bottom w:val="single" w:sz="4" w:space="0" w:color="1A1A1A"/>
            </w:tcBorders>
            <w:tcMar>
              <w:top w:w="45" w:type="dxa"/>
              <w:left w:w="150" w:type="dxa"/>
              <w:bottom w:w="90" w:type="dxa"/>
              <w:right w:w="150" w:type="dxa"/>
            </w:tcMar>
            <w:hideMark/>
          </w:tcPr>
          <w:p w14:paraId="114412FF" w14:textId="77777777" w:rsidR="005B5885" w:rsidRPr="005B5885" w:rsidRDefault="005B5885" w:rsidP="005B5885"/>
        </w:tc>
        <w:tc>
          <w:tcPr>
            <w:tcW w:w="1643" w:type="dxa"/>
            <w:tcBorders>
              <w:bottom w:val="single" w:sz="4" w:space="0" w:color="1A1A1A"/>
            </w:tcBorders>
            <w:tcMar>
              <w:top w:w="45" w:type="dxa"/>
              <w:left w:w="150" w:type="dxa"/>
              <w:bottom w:w="90" w:type="dxa"/>
              <w:right w:w="150" w:type="dxa"/>
            </w:tcMar>
            <w:hideMark/>
          </w:tcPr>
          <w:p w14:paraId="7B996E57" w14:textId="77777777" w:rsidR="005B5885" w:rsidRPr="005B5885" w:rsidRDefault="005B5885" w:rsidP="005B5885">
            <w:r w:rsidRPr="005B5885">
              <w:t>5</w:t>
            </w:r>
          </w:p>
        </w:tc>
        <w:tc>
          <w:tcPr>
            <w:tcW w:w="0" w:type="auto"/>
            <w:tcBorders>
              <w:bottom w:val="single" w:sz="4" w:space="0" w:color="1A1A1A"/>
            </w:tcBorders>
            <w:tcMar>
              <w:top w:w="45" w:type="dxa"/>
              <w:left w:w="150" w:type="dxa"/>
              <w:bottom w:w="90" w:type="dxa"/>
              <w:right w:w="150" w:type="dxa"/>
            </w:tcMar>
            <w:hideMark/>
          </w:tcPr>
          <w:p w14:paraId="482AF82A" w14:textId="77777777" w:rsidR="005B5885" w:rsidRPr="005B5885" w:rsidRDefault="005B5885" w:rsidP="005B5885">
            <w:r w:rsidRPr="005B5885">
              <w:t>−815.30</w:t>
            </w:r>
          </w:p>
        </w:tc>
        <w:tc>
          <w:tcPr>
            <w:tcW w:w="0" w:type="auto"/>
            <w:tcBorders>
              <w:bottom w:val="single" w:sz="4" w:space="0" w:color="1A1A1A"/>
            </w:tcBorders>
            <w:tcMar>
              <w:top w:w="45" w:type="dxa"/>
              <w:left w:w="150" w:type="dxa"/>
              <w:bottom w:w="90" w:type="dxa"/>
              <w:right w:w="150" w:type="dxa"/>
            </w:tcMar>
            <w:hideMark/>
          </w:tcPr>
          <w:p w14:paraId="337F4723" w14:textId="77777777" w:rsidR="005B5885" w:rsidRPr="005B5885" w:rsidRDefault="005B5885" w:rsidP="005B5885">
            <w:r w:rsidRPr="005B5885">
              <w:t>1,908.59</w:t>
            </w:r>
          </w:p>
        </w:tc>
        <w:tc>
          <w:tcPr>
            <w:tcW w:w="0" w:type="auto"/>
            <w:tcBorders>
              <w:bottom w:val="single" w:sz="4" w:space="0" w:color="1A1A1A"/>
            </w:tcBorders>
            <w:tcMar>
              <w:top w:w="45" w:type="dxa"/>
              <w:left w:w="150" w:type="dxa"/>
              <w:bottom w:w="90" w:type="dxa"/>
              <w:right w:w="150" w:type="dxa"/>
            </w:tcMar>
            <w:hideMark/>
          </w:tcPr>
          <w:p w14:paraId="34D8E86D" w14:textId="77777777" w:rsidR="005B5885" w:rsidRPr="005B5885" w:rsidRDefault="005B5885" w:rsidP="005B5885">
            <w:r w:rsidRPr="005B5885">
              <w:t>2,311.39</w:t>
            </w:r>
          </w:p>
        </w:tc>
        <w:tc>
          <w:tcPr>
            <w:tcW w:w="0" w:type="auto"/>
            <w:tcBorders>
              <w:bottom w:val="single" w:sz="4" w:space="0" w:color="1A1A1A"/>
            </w:tcBorders>
            <w:tcMar>
              <w:top w:w="45" w:type="dxa"/>
              <w:left w:w="150" w:type="dxa"/>
              <w:bottom w:w="90" w:type="dxa"/>
              <w:right w:w="150" w:type="dxa"/>
            </w:tcMar>
            <w:hideMark/>
          </w:tcPr>
          <w:p w14:paraId="005967DB" w14:textId="77777777" w:rsidR="005B5885" w:rsidRPr="005B5885" w:rsidRDefault="005B5885" w:rsidP="005B5885">
            <w:r w:rsidRPr="005B5885">
              <w:t>1,871.70</w:t>
            </w:r>
          </w:p>
        </w:tc>
        <w:tc>
          <w:tcPr>
            <w:tcW w:w="0" w:type="auto"/>
            <w:tcBorders>
              <w:bottom w:val="single" w:sz="4" w:space="0" w:color="1A1A1A"/>
            </w:tcBorders>
            <w:tcMar>
              <w:top w:w="45" w:type="dxa"/>
              <w:left w:w="150" w:type="dxa"/>
              <w:bottom w:w="90" w:type="dxa"/>
              <w:right w:w="150" w:type="dxa"/>
            </w:tcMar>
            <w:hideMark/>
          </w:tcPr>
          <w:p w14:paraId="00F1F043" w14:textId="77777777" w:rsidR="005B5885" w:rsidRPr="005B5885" w:rsidRDefault="005B5885" w:rsidP="005B5885">
            <w:r w:rsidRPr="005B5885">
              <w:t>3.68 × 10</w:t>
            </w:r>
            <w:r w:rsidRPr="005B5885">
              <w:rPr>
                <w:vertAlign w:val="superscript"/>
              </w:rPr>
              <w:t>−23</w:t>
            </w:r>
          </w:p>
        </w:tc>
      </w:tr>
    </w:tbl>
    <w:p w14:paraId="408AF4FC" w14:textId="2D0C13B5" w:rsidR="005B5885" w:rsidRPr="005B5885" w:rsidRDefault="005B5885" w:rsidP="005B5885">
      <w:pPr>
        <w:rPr>
          <w:lang w:val="en-US"/>
        </w:rPr>
      </w:pPr>
      <w:r w:rsidRPr="005B5885">
        <w:rPr>
          <w:b/>
          <w:bCs/>
          <w:lang w:val="en-US"/>
        </w:rPr>
        <w:t>Note.</w:t>
      </w:r>
      <w:r w:rsidRPr="005B5885">
        <w:rPr>
          <w:lang w:val="en-US"/>
        </w:rPr>
        <w:t> LL = log-likelihood. AIC = Akaike Information Criterion (lower = better). BIC = Bayesian Information Criterion (lower = better); primary model selection criterion. SABIC = sample-size adjusted BIC. BF = BIC-approximated Bayes Factor comparing K vs. K − 1 class solutions; values &gt; 10 indicate strong evidence for the larger model; values &lt; 0.1 indicate evidence against. Full-item specification: 1</w:t>
      </w:r>
      <w:r w:rsidR="00567F90">
        <w:rPr>
          <w:lang w:val="en-US"/>
        </w:rPr>
        <w:t>4</w:t>
      </w:r>
      <w:r w:rsidRPr="005B5885">
        <w:rPr>
          <w:lang w:val="en-US"/>
        </w:rPr>
        <w:t xml:space="preserve"> original indicators. Sparse specification: 12 indicators after removing highly correlated variables (</w:t>
      </w:r>
      <w:r w:rsidRPr="005B5885">
        <w:rPr>
          <w:b/>
          <w:bCs/>
          <w:lang w:val="en-US"/>
        </w:rPr>
        <w:t>r</w:t>
      </w:r>
      <w:r w:rsidRPr="005B5885">
        <w:rPr>
          <w:lang w:val="en-US"/>
        </w:rPr>
        <w:t> &gt; .70) and collapsing rare response categories. UTAUT2 specification: 7 construct-level composites and single-item indicators. * Retained three-class solution.</w:t>
      </w:r>
    </w:p>
    <w:p w14:paraId="2DE54D13" w14:textId="77777777" w:rsidR="005B5885" w:rsidRPr="005B5885" w:rsidRDefault="005B5885" w:rsidP="005B5885">
      <w:pPr>
        <w:rPr>
          <w:b/>
          <w:bCs/>
          <w:lang w:val="en-US"/>
        </w:rPr>
      </w:pPr>
      <w:r w:rsidRPr="005B5885">
        <w:rPr>
          <w:b/>
          <w:bCs/>
          <w:lang w:val="en-US"/>
        </w:rPr>
        <w:lastRenderedPageBreak/>
        <w:t>Table C2</w:t>
      </w:r>
    </w:p>
    <w:p w14:paraId="50CAB076" w14:textId="77777777" w:rsidR="005B5885" w:rsidRPr="005B5885" w:rsidRDefault="005B5885" w:rsidP="005B5885">
      <w:pPr>
        <w:rPr>
          <w:i/>
          <w:iCs/>
          <w:lang w:val="en-US"/>
        </w:rPr>
      </w:pPr>
      <w:r w:rsidRPr="005B5885">
        <w:rPr>
          <w:i/>
          <w:iCs/>
          <w:lang w:val="en-US"/>
        </w:rPr>
        <w:t>Diagnostic Criteria Across Class Solutions: Full-Item, Sparse, and UTAUT2 Specifications</w:t>
      </w:r>
    </w:p>
    <w:tbl>
      <w:tblPr>
        <w:tblW w:w="8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233"/>
        <w:gridCol w:w="1533"/>
        <w:gridCol w:w="1599"/>
        <w:gridCol w:w="1202"/>
        <w:gridCol w:w="1080"/>
      </w:tblGrid>
      <w:tr w:rsidR="005B5885" w:rsidRPr="005B5885" w14:paraId="4B6B7426" w14:textId="77777777">
        <w:trPr>
          <w:tblHeader/>
        </w:trPr>
        <w:tc>
          <w:tcPr>
            <w:tcW w:w="0" w:type="auto"/>
            <w:tcBorders>
              <w:top w:val="single" w:sz="12" w:space="0" w:color="1A1A1A"/>
            </w:tcBorders>
            <w:tcMar>
              <w:top w:w="9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AE0818D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Specification</w:t>
            </w:r>
          </w:p>
        </w:tc>
        <w:tc>
          <w:tcPr>
            <w:tcW w:w="0" w:type="auto"/>
            <w:tcBorders>
              <w:top w:val="single" w:sz="12" w:space="0" w:color="1A1A1A"/>
            </w:tcBorders>
            <w:tcMar>
              <w:top w:w="9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1D6BA2A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Classes</w:t>
            </w:r>
          </w:p>
        </w:tc>
        <w:tc>
          <w:tcPr>
            <w:tcW w:w="0" w:type="auto"/>
            <w:tcBorders>
              <w:top w:val="single" w:sz="12" w:space="0" w:color="1A1A1A"/>
            </w:tcBorders>
            <w:tcMar>
              <w:top w:w="9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5B0C317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Smallest </w:t>
            </w:r>
            <w:r w:rsidRPr="005B5885">
              <w:rPr>
                <w:b/>
                <w:bCs/>
                <w:i/>
                <w:iCs/>
              </w:rPr>
              <w:t>n</w:t>
            </w:r>
          </w:p>
        </w:tc>
        <w:tc>
          <w:tcPr>
            <w:tcW w:w="0" w:type="auto"/>
            <w:tcBorders>
              <w:top w:val="single" w:sz="12" w:space="0" w:color="1A1A1A"/>
            </w:tcBorders>
            <w:tcMar>
              <w:top w:w="9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938F70F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Smallest %</w:t>
            </w:r>
          </w:p>
        </w:tc>
        <w:tc>
          <w:tcPr>
            <w:tcW w:w="0" w:type="auto"/>
            <w:tcBorders>
              <w:top w:val="single" w:sz="12" w:space="0" w:color="1A1A1A"/>
            </w:tcBorders>
            <w:tcMar>
              <w:top w:w="9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96AF302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Entropy</w:t>
            </w:r>
          </w:p>
        </w:tc>
        <w:tc>
          <w:tcPr>
            <w:tcW w:w="0" w:type="auto"/>
            <w:tcBorders>
              <w:top w:val="single" w:sz="12" w:space="0" w:color="1A1A1A"/>
            </w:tcBorders>
            <w:tcMar>
              <w:top w:w="9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6F97788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ALCPP</w:t>
            </w:r>
          </w:p>
        </w:tc>
      </w:tr>
      <w:tr w:rsidR="005B5885" w:rsidRPr="005B5885" w14:paraId="47CE5266" w14:textId="77777777">
        <w:trPr>
          <w:tblHeader/>
        </w:trPr>
        <w:tc>
          <w:tcPr>
            <w:tcW w:w="0" w:type="auto"/>
            <w:gridSpan w:val="6"/>
            <w:tcBorders>
              <w:bottom w:val="single" w:sz="4" w:space="0" w:color="1A1A1A"/>
            </w:tcBorders>
            <w:tcMar>
              <w:top w:w="45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453A42D" w14:textId="77777777" w:rsidR="005B5885" w:rsidRPr="005B5885" w:rsidRDefault="005B5885" w:rsidP="005B5885">
            <w:pPr>
              <w:rPr>
                <w:b/>
                <w:bCs/>
              </w:rPr>
            </w:pPr>
          </w:p>
        </w:tc>
      </w:tr>
      <w:tr w:rsidR="005B5885" w:rsidRPr="005B5885" w14:paraId="056E82AD" w14:textId="77777777">
        <w:tc>
          <w:tcPr>
            <w:tcW w:w="0" w:type="auto"/>
            <w:gridSpan w:val="6"/>
            <w:tcMar>
              <w:top w:w="150" w:type="dxa"/>
              <w:left w:w="150" w:type="dxa"/>
              <w:bottom w:w="45" w:type="dxa"/>
              <w:right w:w="150" w:type="dxa"/>
            </w:tcMar>
            <w:hideMark/>
          </w:tcPr>
          <w:p w14:paraId="513BFD3A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Full-Item</w:t>
            </w:r>
          </w:p>
        </w:tc>
      </w:tr>
      <w:tr w:rsidR="005B5885" w:rsidRPr="005B5885" w14:paraId="7796571B" w14:textId="77777777"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B97C9D6" w14:textId="77777777" w:rsidR="005B5885" w:rsidRPr="005B5885" w:rsidRDefault="005B5885" w:rsidP="005B5885">
            <w:pPr>
              <w:rPr>
                <w:b/>
                <w:bCs/>
              </w:rPr>
            </w:pP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9271048" w14:textId="77777777" w:rsidR="005B5885" w:rsidRPr="005B5885" w:rsidRDefault="005B5885" w:rsidP="005B5885">
            <w:r w:rsidRPr="005B5885">
              <w:t>1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AA83F3F" w14:textId="77777777" w:rsidR="005B5885" w:rsidRPr="005B5885" w:rsidRDefault="005B5885" w:rsidP="005B5885">
            <w:r w:rsidRPr="005B5885">
              <w:t>134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38F2A5A" w14:textId="77777777" w:rsidR="005B5885" w:rsidRPr="005B5885" w:rsidRDefault="005B5885" w:rsidP="005B5885">
            <w:r w:rsidRPr="005B5885">
              <w:t>100.0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658B011" w14:textId="77777777" w:rsidR="005B5885" w:rsidRPr="005B5885" w:rsidRDefault="005B5885" w:rsidP="005B5885">
            <w:r w:rsidRPr="005B5885">
              <w:t>—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36728D6" w14:textId="77777777" w:rsidR="005B5885" w:rsidRPr="005B5885" w:rsidRDefault="005B5885" w:rsidP="005B5885">
            <w:r w:rsidRPr="005B5885">
              <w:t>—</w:t>
            </w:r>
          </w:p>
        </w:tc>
      </w:tr>
      <w:tr w:rsidR="005B5885" w:rsidRPr="005B5885" w14:paraId="63FA7AA9" w14:textId="77777777"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D989DF1" w14:textId="77777777" w:rsidR="005B5885" w:rsidRPr="005B5885" w:rsidRDefault="005B5885" w:rsidP="005B5885"/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2F01F8F" w14:textId="77777777" w:rsidR="005B5885" w:rsidRPr="005B5885" w:rsidRDefault="005B5885" w:rsidP="005B5885">
            <w:r w:rsidRPr="005B5885">
              <w:t>2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0F79834" w14:textId="77777777" w:rsidR="005B5885" w:rsidRPr="005B5885" w:rsidRDefault="005B5885" w:rsidP="005B5885">
            <w:r w:rsidRPr="005B5885">
              <w:t>46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596C1E9" w14:textId="77777777" w:rsidR="005B5885" w:rsidRPr="005B5885" w:rsidRDefault="005B5885" w:rsidP="005B5885">
            <w:r w:rsidRPr="005B5885">
              <w:t>34.4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399B1E8" w14:textId="77777777" w:rsidR="005B5885" w:rsidRPr="005B5885" w:rsidRDefault="005B5885" w:rsidP="005B5885">
            <w:r w:rsidRPr="005B5885">
              <w:t>0.985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A4AD5D7" w14:textId="77777777" w:rsidR="005B5885" w:rsidRPr="005B5885" w:rsidRDefault="005B5885" w:rsidP="005B5885">
            <w:r w:rsidRPr="005B5885">
              <w:t>0.996</w:t>
            </w:r>
          </w:p>
        </w:tc>
      </w:tr>
      <w:tr w:rsidR="005B5885" w:rsidRPr="005B5885" w14:paraId="4542DC56" w14:textId="77777777"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B409245" w14:textId="77777777" w:rsidR="005B5885" w:rsidRPr="005B5885" w:rsidRDefault="005B5885" w:rsidP="005B5885"/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738119F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3*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D08CF36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33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6022B47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24.8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C430269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0.997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1C031CB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0.997</w:t>
            </w:r>
          </w:p>
        </w:tc>
      </w:tr>
      <w:tr w:rsidR="005B5885" w:rsidRPr="005B5885" w14:paraId="167A2DAA" w14:textId="77777777"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10BB3CD" w14:textId="77777777" w:rsidR="005B5885" w:rsidRPr="005B5885" w:rsidRDefault="005B5885" w:rsidP="005B5885">
            <w:pPr>
              <w:rPr>
                <w:b/>
                <w:bCs/>
              </w:rPr>
            </w:pP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8FD80D0" w14:textId="77777777" w:rsidR="005B5885" w:rsidRPr="005B5885" w:rsidRDefault="005B5885" w:rsidP="005B5885">
            <w:r w:rsidRPr="005B5885">
              <w:t>4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0436E07" w14:textId="77777777" w:rsidR="005B5885" w:rsidRPr="005B5885" w:rsidRDefault="005B5885" w:rsidP="005B5885">
            <w:r w:rsidRPr="005B5885">
              <w:t>20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5E0BA70" w14:textId="77777777" w:rsidR="005B5885" w:rsidRPr="005B5885" w:rsidRDefault="005B5885" w:rsidP="005B5885">
            <w:r w:rsidRPr="005B5885">
              <w:t>14.5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95D47DC" w14:textId="77777777" w:rsidR="005B5885" w:rsidRPr="005B5885" w:rsidRDefault="005B5885" w:rsidP="005B5885">
            <w:r w:rsidRPr="005B5885">
              <w:t>0.984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A9A8F58" w14:textId="77777777" w:rsidR="005B5885" w:rsidRPr="005B5885" w:rsidRDefault="005B5885" w:rsidP="005B5885">
            <w:r w:rsidRPr="005B5885">
              <w:t>0.993</w:t>
            </w:r>
          </w:p>
        </w:tc>
      </w:tr>
      <w:tr w:rsidR="005B5885" w:rsidRPr="005B5885" w14:paraId="0C76F568" w14:textId="77777777"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8368EA0" w14:textId="77777777" w:rsidR="005B5885" w:rsidRPr="005B5885" w:rsidRDefault="005B5885" w:rsidP="005B5885"/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00A6EFD" w14:textId="77777777" w:rsidR="005B5885" w:rsidRPr="005B5885" w:rsidRDefault="005B5885" w:rsidP="005B5885">
            <w:r w:rsidRPr="005B5885">
              <w:t>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B5091BC" w14:textId="77777777" w:rsidR="005B5885" w:rsidRPr="005B5885" w:rsidRDefault="005B5885" w:rsidP="005B5885">
            <w:r w:rsidRPr="005B5885">
              <w:t>15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CF3D17B" w14:textId="77777777" w:rsidR="005B5885" w:rsidRPr="005B5885" w:rsidRDefault="005B5885" w:rsidP="005B5885">
            <w:r w:rsidRPr="005B5885">
              <w:t>10.9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0B84303" w14:textId="77777777" w:rsidR="005B5885" w:rsidRPr="005B5885" w:rsidRDefault="005B5885" w:rsidP="005B5885">
            <w:r w:rsidRPr="005B5885">
              <w:t>0.987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7EF9014" w14:textId="77777777" w:rsidR="005B5885" w:rsidRPr="005B5885" w:rsidRDefault="005B5885" w:rsidP="005B5885">
            <w:r w:rsidRPr="005B5885">
              <w:t>0.993</w:t>
            </w:r>
          </w:p>
        </w:tc>
      </w:tr>
      <w:tr w:rsidR="005B5885" w:rsidRPr="005B5885" w14:paraId="11185985" w14:textId="77777777">
        <w:tc>
          <w:tcPr>
            <w:tcW w:w="0" w:type="auto"/>
            <w:gridSpan w:val="6"/>
            <w:tcMar>
              <w:top w:w="150" w:type="dxa"/>
              <w:left w:w="150" w:type="dxa"/>
              <w:bottom w:w="45" w:type="dxa"/>
              <w:right w:w="150" w:type="dxa"/>
            </w:tcMar>
            <w:hideMark/>
          </w:tcPr>
          <w:p w14:paraId="4AB15BB7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Sparse</w:t>
            </w:r>
          </w:p>
        </w:tc>
      </w:tr>
      <w:tr w:rsidR="005B5885" w:rsidRPr="005B5885" w14:paraId="00522633" w14:textId="77777777"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E2EF537" w14:textId="77777777" w:rsidR="005B5885" w:rsidRPr="005B5885" w:rsidRDefault="005B5885" w:rsidP="005B5885">
            <w:pPr>
              <w:rPr>
                <w:b/>
                <w:bCs/>
              </w:rPr>
            </w:pP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A823E23" w14:textId="77777777" w:rsidR="005B5885" w:rsidRPr="005B5885" w:rsidRDefault="005B5885" w:rsidP="005B5885">
            <w:r w:rsidRPr="005B5885">
              <w:t>1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19681A2" w14:textId="77777777" w:rsidR="005B5885" w:rsidRPr="005B5885" w:rsidRDefault="005B5885" w:rsidP="005B5885">
            <w:r w:rsidRPr="005B5885">
              <w:t>134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5F7F12D" w14:textId="77777777" w:rsidR="005B5885" w:rsidRPr="005B5885" w:rsidRDefault="005B5885" w:rsidP="005B5885">
            <w:r w:rsidRPr="005B5885">
              <w:t>100.0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3EC3692" w14:textId="77777777" w:rsidR="005B5885" w:rsidRPr="005B5885" w:rsidRDefault="005B5885" w:rsidP="005B5885">
            <w:r w:rsidRPr="005B5885">
              <w:t>—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7F6561B" w14:textId="77777777" w:rsidR="005B5885" w:rsidRPr="005B5885" w:rsidRDefault="005B5885" w:rsidP="005B5885">
            <w:r w:rsidRPr="005B5885">
              <w:t>—</w:t>
            </w:r>
          </w:p>
        </w:tc>
      </w:tr>
      <w:tr w:rsidR="005B5885" w:rsidRPr="005B5885" w14:paraId="1363D242" w14:textId="77777777"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A902494" w14:textId="77777777" w:rsidR="005B5885" w:rsidRPr="005B5885" w:rsidRDefault="005B5885" w:rsidP="005B5885"/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6D8287F" w14:textId="77777777" w:rsidR="005B5885" w:rsidRPr="005B5885" w:rsidRDefault="005B5885" w:rsidP="005B5885">
            <w:r w:rsidRPr="005B5885">
              <w:t>2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D965320" w14:textId="77777777" w:rsidR="005B5885" w:rsidRPr="005B5885" w:rsidRDefault="005B5885" w:rsidP="005B5885">
            <w:r w:rsidRPr="005B5885">
              <w:t>49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AFFB4F0" w14:textId="77777777" w:rsidR="005B5885" w:rsidRPr="005B5885" w:rsidRDefault="005B5885" w:rsidP="005B5885">
            <w:r w:rsidRPr="005B5885">
              <w:t>36.8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ECD2B83" w14:textId="77777777" w:rsidR="005B5885" w:rsidRPr="005B5885" w:rsidRDefault="005B5885" w:rsidP="005B5885">
            <w:r w:rsidRPr="005B5885">
              <w:t>0.971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00B0FA4" w14:textId="77777777" w:rsidR="005B5885" w:rsidRPr="005B5885" w:rsidRDefault="005B5885" w:rsidP="005B5885">
            <w:r w:rsidRPr="005B5885">
              <w:t>0.992</w:t>
            </w:r>
          </w:p>
        </w:tc>
      </w:tr>
      <w:tr w:rsidR="005B5885" w:rsidRPr="005B5885" w14:paraId="314FF0B8" w14:textId="77777777"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785F2FC" w14:textId="77777777" w:rsidR="005B5885" w:rsidRPr="005B5885" w:rsidRDefault="005B5885" w:rsidP="005B5885"/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8C7928C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3*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B4DFF5E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37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A4A9251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27.9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9DBE6BE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0.956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4300581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0.979</w:t>
            </w:r>
          </w:p>
        </w:tc>
      </w:tr>
      <w:tr w:rsidR="005B5885" w:rsidRPr="005B5885" w14:paraId="1F299A8E" w14:textId="77777777"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2D287ED" w14:textId="77777777" w:rsidR="005B5885" w:rsidRPr="005B5885" w:rsidRDefault="005B5885" w:rsidP="005B5885">
            <w:pPr>
              <w:rPr>
                <w:b/>
                <w:bCs/>
              </w:rPr>
            </w:pP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1B57B12" w14:textId="77777777" w:rsidR="005B5885" w:rsidRPr="005B5885" w:rsidRDefault="005B5885" w:rsidP="005B5885">
            <w:r w:rsidRPr="005B5885">
              <w:t>4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A3F318F" w14:textId="77777777" w:rsidR="005B5885" w:rsidRPr="005B5885" w:rsidRDefault="005B5885" w:rsidP="005B5885">
            <w:r w:rsidRPr="005B5885">
              <w:t>11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55D3ADB" w14:textId="77777777" w:rsidR="005B5885" w:rsidRPr="005B5885" w:rsidRDefault="005B5885" w:rsidP="005B5885">
            <w:r w:rsidRPr="005B5885">
              <w:t>8.3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4A7995C" w14:textId="77777777" w:rsidR="005B5885" w:rsidRPr="005B5885" w:rsidRDefault="005B5885" w:rsidP="005B5885">
            <w:r w:rsidRPr="005B5885">
              <w:t>0.963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CB321EF" w14:textId="77777777" w:rsidR="005B5885" w:rsidRPr="005B5885" w:rsidRDefault="005B5885" w:rsidP="005B5885">
            <w:r w:rsidRPr="005B5885">
              <w:t>0.980</w:t>
            </w:r>
          </w:p>
        </w:tc>
      </w:tr>
      <w:tr w:rsidR="005B5885" w:rsidRPr="005B5885" w14:paraId="02612EF6" w14:textId="77777777"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A1AED10" w14:textId="77777777" w:rsidR="005B5885" w:rsidRPr="005B5885" w:rsidRDefault="005B5885" w:rsidP="005B5885"/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605507D" w14:textId="77777777" w:rsidR="005B5885" w:rsidRPr="005B5885" w:rsidRDefault="005B5885" w:rsidP="005B5885">
            <w:r w:rsidRPr="005B5885">
              <w:t>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4ED7E6F" w14:textId="77777777" w:rsidR="005B5885" w:rsidRPr="005B5885" w:rsidRDefault="005B5885" w:rsidP="005B5885">
            <w:r w:rsidRPr="005B5885">
              <w:t>8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6185CEB" w14:textId="77777777" w:rsidR="005B5885" w:rsidRPr="005B5885" w:rsidRDefault="005B5885" w:rsidP="005B5885">
            <w:r w:rsidRPr="005B5885">
              <w:t>6.3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FB148C2" w14:textId="77777777" w:rsidR="005B5885" w:rsidRPr="005B5885" w:rsidRDefault="005B5885" w:rsidP="005B5885">
            <w:r w:rsidRPr="005B5885">
              <w:t>0.963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F412CD0" w14:textId="77777777" w:rsidR="005B5885" w:rsidRPr="005B5885" w:rsidRDefault="005B5885" w:rsidP="005B5885">
            <w:r w:rsidRPr="005B5885">
              <w:t>0.976</w:t>
            </w:r>
          </w:p>
        </w:tc>
      </w:tr>
      <w:tr w:rsidR="005B5885" w:rsidRPr="005B5885" w14:paraId="481F0F24" w14:textId="77777777">
        <w:tc>
          <w:tcPr>
            <w:tcW w:w="0" w:type="auto"/>
            <w:gridSpan w:val="6"/>
            <w:tcMar>
              <w:top w:w="150" w:type="dxa"/>
              <w:left w:w="150" w:type="dxa"/>
              <w:bottom w:w="45" w:type="dxa"/>
              <w:right w:w="150" w:type="dxa"/>
            </w:tcMar>
            <w:hideMark/>
          </w:tcPr>
          <w:p w14:paraId="65534F88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UTAUT2</w:t>
            </w:r>
          </w:p>
        </w:tc>
      </w:tr>
      <w:tr w:rsidR="005B5885" w:rsidRPr="005B5885" w14:paraId="5843223C" w14:textId="77777777"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A94B6C9" w14:textId="77777777" w:rsidR="005B5885" w:rsidRPr="005B5885" w:rsidRDefault="005B5885" w:rsidP="005B5885">
            <w:pPr>
              <w:rPr>
                <w:b/>
                <w:bCs/>
              </w:rPr>
            </w:pP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6352DA2" w14:textId="77777777" w:rsidR="005B5885" w:rsidRPr="005B5885" w:rsidRDefault="005B5885" w:rsidP="005B5885">
            <w:r w:rsidRPr="005B5885">
              <w:t>1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124A048" w14:textId="77777777" w:rsidR="005B5885" w:rsidRPr="005B5885" w:rsidRDefault="005B5885" w:rsidP="005B5885">
            <w:r w:rsidRPr="005B5885">
              <w:t>134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525AA5F" w14:textId="77777777" w:rsidR="005B5885" w:rsidRPr="005B5885" w:rsidRDefault="005B5885" w:rsidP="005B5885">
            <w:r w:rsidRPr="005B5885">
              <w:t>100.0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105CB89" w14:textId="77777777" w:rsidR="005B5885" w:rsidRPr="005B5885" w:rsidRDefault="005B5885" w:rsidP="005B5885">
            <w:r w:rsidRPr="005B5885">
              <w:t>—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65E3C7C" w14:textId="77777777" w:rsidR="005B5885" w:rsidRPr="005B5885" w:rsidRDefault="005B5885" w:rsidP="005B5885">
            <w:r w:rsidRPr="005B5885">
              <w:t>—</w:t>
            </w:r>
          </w:p>
        </w:tc>
      </w:tr>
      <w:tr w:rsidR="005B5885" w:rsidRPr="005B5885" w14:paraId="2F472388" w14:textId="77777777"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28532B0" w14:textId="77777777" w:rsidR="005B5885" w:rsidRPr="005B5885" w:rsidRDefault="005B5885" w:rsidP="005B5885"/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AF64A13" w14:textId="77777777" w:rsidR="005B5885" w:rsidRPr="005B5885" w:rsidRDefault="005B5885" w:rsidP="005B5885">
            <w:r w:rsidRPr="005B5885">
              <w:t>2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584A754" w14:textId="77777777" w:rsidR="005B5885" w:rsidRPr="005B5885" w:rsidRDefault="005B5885" w:rsidP="005B5885">
            <w:r w:rsidRPr="005B5885">
              <w:t>43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D13EEB2" w14:textId="77777777" w:rsidR="005B5885" w:rsidRPr="005B5885" w:rsidRDefault="005B5885" w:rsidP="005B5885">
            <w:r w:rsidRPr="005B5885">
              <w:t>32.0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0B910D0" w14:textId="77777777" w:rsidR="005B5885" w:rsidRPr="005B5885" w:rsidRDefault="005B5885" w:rsidP="005B5885">
            <w:r w:rsidRPr="005B5885">
              <w:t>0.951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6C6AF7D" w14:textId="77777777" w:rsidR="005B5885" w:rsidRPr="005B5885" w:rsidRDefault="005B5885" w:rsidP="005B5885">
            <w:r w:rsidRPr="005B5885">
              <w:t>0.986</w:t>
            </w:r>
          </w:p>
        </w:tc>
      </w:tr>
      <w:tr w:rsidR="005B5885" w:rsidRPr="005B5885" w14:paraId="1756AC81" w14:textId="77777777"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72AD911" w14:textId="77777777" w:rsidR="005B5885" w:rsidRPr="005B5885" w:rsidRDefault="005B5885" w:rsidP="005B5885"/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1D65804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3*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6FB4814" w14:textId="5B3B87A3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108EAB3" w14:textId="42C1FF11" w:rsidR="005B5885" w:rsidRPr="005B5885" w:rsidRDefault="005B5885" w:rsidP="005B5885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5B5885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E20C126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0.982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99EACC4" w14:textId="77777777" w:rsidR="005B5885" w:rsidRPr="005B5885" w:rsidRDefault="005B5885" w:rsidP="005B5885">
            <w:pPr>
              <w:rPr>
                <w:b/>
                <w:bCs/>
              </w:rPr>
            </w:pPr>
            <w:r w:rsidRPr="005B5885">
              <w:rPr>
                <w:b/>
                <w:bCs/>
              </w:rPr>
              <w:t>0.978</w:t>
            </w:r>
          </w:p>
        </w:tc>
      </w:tr>
      <w:tr w:rsidR="005B5885" w:rsidRPr="005B5885" w14:paraId="68114271" w14:textId="77777777"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3248769" w14:textId="77777777" w:rsidR="005B5885" w:rsidRPr="005B5885" w:rsidRDefault="005B5885" w:rsidP="005B5885">
            <w:pPr>
              <w:rPr>
                <w:b/>
                <w:bCs/>
              </w:rPr>
            </w:pP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B6BA9F9" w14:textId="77777777" w:rsidR="005B5885" w:rsidRPr="005B5885" w:rsidRDefault="005B5885" w:rsidP="005B5885">
            <w:r w:rsidRPr="005B5885">
              <w:t>4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C64A5C6" w14:textId="77777777" w:rsidR="005B5885" w:rsidRPr="005B5885" w:rsidRDefault="005B5885" w:rsidP="005B5885">
            <w:r w:rsidRPr="005B5885">
              <w:t>15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C38817C" w14:textId="77777777" w:rsidR="005B5885" w:rsidRPr="005B5885" w:rsidRDefault="005B5885" w:rsidP="005B5885">
            <w:r w:rsidRPr="005B5885">
              <w:t>11.5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ECC42BF" w14:textId="77777777" w:rsidR="005B5885" w:rsidRPr="005B5885" w:rsidRDefault="005B5885" w:rsidP="005B5885">
            <w:r w:rsidRPr="005B5885">
              <w:t>0.952</w:t>
            </w:r>
          </w:p>
        </w:tc>
        <w:tc>
          <w:tcPr>
            <w:tcW w:w="0" w:type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D2964E9" w14:textId="77777777" w:rsidR="005B5885" w:rsidRPr="005B5885" w:rsidRDefault="005B5885" w:rsidP="005B5885">
            <w:r w:rsidRPr="005B5885">
              <w:t>0.972</w:t>
            </w:r>
          </w:p>
        </w:tc>
      </w:tr>
      <w:tr w:rsidR="005B5885" w:rsidRPr="005B5885" w14:paraId="7E862768" w14:textId="77777777">
        <w:tc>
          <w:tcPr>
            <w:tcW w:w="0" w:type="auto"/>
            <w:tcBorders>
              <w:bottom w:val="single" w:sz="4" w:space="0" w:color="1A1A1A"/>
            </w:tcBorders>
            <w:tcMar>
              <w:top w:w="45" w:type="dxa"/>
              <w:left w:w="150" w:type="dxa"/>
              <w:bottom w:w="90" w:type="dxa"/>
              <w:right w:w="150" w:type="dxa"/>
            </w:tcMar>
            <w:hideMark/>
          </w:tcPr>
          <w:p w14:paraId="792ED65E" w14:textId="77777777" w:rsidR="005B5885" w:rsidRPr="005B5885" w:rsidRDefault="005B5885" w:rsidP="005B5885"/>
        </w:tc>
        <w:tc>
          <w:tcPr>
            <w:tcW w:w="0" w:type="auto"/>
            <w:tcBorders>
              <w:bottom w:val="single" w:sz="4" w:space="0" w:color="1A1A1A"/>
            </w:tcBorders>
            <w:tcMar>
              <w:top w:w="45" w:type="dxa"/>
              <w:left w:w="150" w:type="dxa"/>
              <w:bottom w:w="90" w:type="dxa"/>
              <w:right w:w="150" w:type="dxa"/>
            </w:tcMar>
            <w:hideMark/>
          </w:tcPr>
          <w:p w14:paraId="14E2D4E1" w14:textId="77777777" w:rsidR="005B5885" w:rsidRPr="005B5885" w:rsidRDefault="005B5885" w:rsidP="005B5885">
            <w:r w:rsidRPr="005B5885">
              <w:t>5</w:t>
            </w:r>
          </w:p>
        </w:tc>
        <w:tc>
          <w:tcPr>
            <w:tcW w:w="0" w:type="auto"/>
            <w:tcBorders>
              <w:bottom w:val="single" w:sz="4" w:space="0" w:color="1A1A1A"/>
            </w:tcBorders>
            <w:tcMar>
              <w:top w:w="45" w:type="dxa"/>
              <w:left w:w="150" w:type="dxa"/>
              <w:bottom w:w="90" w:type="dxa"/>
              <w:right w:w="150" w:type="dxa"/>
            </w:tcMar>
            <w:hideMark/>
          </w:tcPr>
          <w:p w14:paraId="5D0D719C" w14:textId="77777777" w:rsidR="005B5885" w:rsidRPr="005B5885" w:rsidRDefault="005B5885" w:rsidP="005B5885">
            <w:r w:rsidRPr="005B5885">
              <w:t>13</w:t>
            </w:r>
          </w:p>
        </w:tc>
        <w:tc>
          <w:tcPr>
            <w:tcW w:w="0" w:type="auto"/>
            <w:tcBorders>
              <w:bottom w:val="single" w:sz="4" w:space="0" w:color="1A1A1A"/>
            </w:tcBorders>
            <w:tcMar>
              <w:top w:w="45" w:type="dxa"/>
              <w:left w:w="150" w:type="dxa"/>
              <w:bottom w:w="90" w:type="dxa"/>
              <w:right w:w="150" w:type="dxa"/>
            </w:tcMar>
            <w:hideMark/>
          </w:tcPr>
          <w:p w14:paraId="67CC5E83" w14:textId="77777777" w:rsidR="005B5885" w:rsidRPr="005B5885" w:rsidRDefault="005B5885" w:rsidP="005B5885">
            <w:r w:rsidRPr="005B5885">
              <w:t>9.5</w:t>
            </w:r>
          </w:p>
        </w:tc>
        <w:tc>
          <w:tcPr>
            <w:tcW w:w="0" w:type="auto"/>
            <w:tcBorders>
              <w:bottom w:val="single" w:sz="4" w:space="0" w:color="1A1A1A"/>
            </w:tcBorders>
            <w:tcMar>
              <w:top w:w="45" w:type="dxa"/>
              <w:left w:w="150" w:type="dxa"/>
              <w:bottom w:w="90" w:type="dxa"/>
              <w:right w:w="150" w:type="dxa"/>
            </w:tcMar>
            <w:hideMark/>
          </w:tcPr>
          <w:p w14:paraId="2652B68F" w14:textId="77777777" w:rsidR="005B5885" w:rsidRPr="005B5885" w:rsidRDefault="005B5885" w:rsidP="005B5885">
            <w:r w:rsidRPr="005B5885">
              <w:t>0.956</w:t>
            </w:r>
          </w:p>
        </w:tc>
        <w:tc>
          <w:tcPr>
            <w:tcW w:w="0" w:type="auto"/>
            <w:tcBorders>
              <w:bottom w:val="single" w:sz="4" w:space="0" w:color="1A1A1A"/>
            </w:tcBorders>
            <w:tcMar>
              <w:top w:w="45" w:type="dxa"/>
              <w:left w:w="150" w:type="dxa"/>
              <w:bottom w:w="90" w:type="dxa"/>
              <w:right w:w="150" w:type="dxa"/>
            </w:tcMar>
            <w:hideMark/>
          </w:tcPr>
          <w:p w14:paraId="4E32662A" w14:textId="77777777" w:rsidR="005B5885" w:rsidRPr="005B5885" w:rsidRDefault="005B5885" w:rsidP="005B5885">
            <w:r w:rsidRPr="005B5885">
              <w:t>0.971</w:t>
            </w:r>
          </w:p>
        </w:tc>
      </w:tr>
    </w:tbl>
    <w:p w14:paraId="7BA2ABED" w14:textId="77777777" w:rsidR="005B5885" w:rsidRPr="005B5885" w:rsidRDefault="005B5885" w:rsidP="005B5885">
      <w:r w:rsidRPr="005B5885">
        <w:rPr>
          <w:b/>
          <w:bCs/>
          <w:lang w:val="en-US"/>
        </w:rPr>
        <w:t>Note.</w:t>
      </w:r>
      <w:r w:rsidRPr="005B5885">
        <w:rPr>
          <w:lang w:val="en-US"/>
        </w:rPr>
        <w:t xml:space="preserve"> ALCPP = Average Latent Class Posterior Probability; values ≥ .90 are considered acceptable, values closer to 1.0 indicate near-certain modal class assignment. Entropy ranges from 0 to 1; values ≥ .80 indicate good class separation, values ≥ .90 indicate </w:t>
      </w:r>
      <w:r w:rsidRPr="005B5885">
        <w:rPr>
          <w:lang w:val="en-US"/>
        </w:rPr>
        <w:lastRenderedPageBreak/>
        <w:t>excellent separation. Dashes indicate that entropy and ALCPP are not applicable for single-class solutions. For the Sparse 4-class solution (</w:t>
      </w:r>
      <w:r w:rsidRPr="005B5885">
        <w:rPr>
          <w:b/>
          <w:bCs/>
          <w:lang w:val="en-US"/>
        </w:rPr>
        <w:t>n</w:t>
      </w:r>
      <w:r w:rsidRPr="005B5885">
        <w:rPr>
          <w:lang w:val="en-US"/>
        </w:rPr>
        <w:t> = 11, 8.3%) and 5-class solution (</w:t>
      </w:r>
      <w:r w:rsidRPr="005B5885">
        <w:rPr>
          <w:b/>
          <w:bCs/>
          <w:lang w:val="en-US"/>
        </w:rPr>
        <w:t>n</w:t>
      </w:r>
      <w:r w:rsidRPr="005B5885">
        <w:rPr>
          <w:lang w:val="en-US"/>
        </w:rPr>
        <w:t xml:space="preserve"> = 8, 6.3%), smallest class sizes fall below the recommended minimum, supporting the three-class solution as optimal for that specification. </w:t>
      </w:r>
      <w:r w:rsidRPr="005B5885">
        <w:t>* Retained three-class solution.</w:t>
      </w:r>
    </w:p>
    <w:p w14:paraId="1E6BF8FC" w14:textId="77777777" w:rsidR="005B5885" w:rsidRDefault="005B5885"/>
    <w:sectPr w:rsidR="005B58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85"/>
    <w:rsid w:val="000540D5"/>
    <w:rsid w:val="000833BD"/>
    <w:rsid w:val="001E3D0F"/>
    <w:rsid w:val="00567F90"/>
    <w:rsid w:val="005B5885"/>
    <w:rsid w:val="00772E5F"/>
    <w:rsid w:val="007B1630"/>
    <w:rsid w:val="00966F3F"/>
    <w:rsid w:val="00EE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C6EF"/>
  <w15:chartTrackingRefBased/>
  <w15:docId w15:val="{599C4744-8F0E-44AC-8A15-16369E1E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5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5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5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5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5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5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5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5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5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5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5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5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58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58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58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58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58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58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5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5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5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5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5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58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58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58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5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58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5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9BEFC2EF67242B63C2161DE69B549" ma:contentTypeVersion="15" ma:contentTypeDescription="Create a new document." ma:contentTypeScope="" ma:versionID="47b8ece7481dff86bf6804926460bc8f">
  <xsd:schema xmlns:xsd="http://www.w3.org/2001/XMLSchema" xmlns:xs="http://www.w3.org/2001/XMLSchema" xmlns:p="http://schemas.microsoft.com/office/2006/metadata/properties" xmlns:ns3="e7cb0389-e245-4761-be2f-d6ffc273e6c7" xmlns:ns4="d79a75a0-4f5d-457b-a8a0-6081fb398348" targetNamespace="http://schemas.microsoft.com/office/2006/metadata/properties" ma:root="true" ma:fieldsID="61e2fd5150281ecf48b9667033147f64" ns3:_="" ns4:_="">
    <xsd:import namespace="e7cb0389-e245-4761-be2f-d6ffc273e6c7"/>
    <xsd:import namespace="d79a75a0-4f5d-457b-a8a0-6081fb3983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b0389-e245-4761-be2f-d6ffc273e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a75a0-4f5d-457b-a8a0-6081fb398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cb0389-e245-4761-be2f-d6ffc273e6c7" xsi:nil="true"/>
  </documentManagement>
</p:properties>
</file>

<file path=customXml/itemProps1.xml><?xml version="1.0" encoding="utf-8"?>
<ds:datastoreItem xmlns:ds="http://schemas.openxmlformats.org/officeDocument/2006/customXml" ds:itemID="{E0A3C471-5221-40BE-B88F-5E58AE371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DC87B-BFBD-467F-AEC7-E6235FD7B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b0389-e245-4761-be2f-d6ffc273e6c7"/>
    <ds:schemaRef ds:uri="d79a75a0-4f5d-457b-a8a0-6081fb398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121AE-1537-45CA-AACB-AB1A680DE679}">
  <ds:schemaRefs>
    <ds:schemaRef ds:uri="http://schemas.microsoft.com/office/2006/metadata/properties"/>
    <ds:schemaRef ds:uri="http://schemas.microsoft.com/office/infopath/2007/PartnerControls"/>
    <ds:schemaRef ds:uri="e7cb0389-e245-4761-be2f-d6ffc273e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Ferizaj, Drin</dc:creator>
  <cp:keywords/>
  <dc:description/>
  <cp:lastModifiedBy>Ferizaj, Drin</cp:lastModifiedBy>
  <cp:revision>1</cp:revision>
  <dcterms:created xsi:type="dcterms:W3CDTF">2026-03-31T10:52:00Z</dcterms:created>
  <dcterms:modified xsi:type="dcterms:W3CDTF">2026-04-07T08:43:00Z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0x01010043F9BEFC2EF67242B63C2161DE69B549</vt:lpwstr>
  </property>
</Properties>
</file>