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77144" w14:textId="753D5D98" w:rsidR="00A64D72" w:rsidRDefault="00A64D72" w:rsidP="00A64D72">
      <w:pPr>
        <w:pStyle w:val="Body"/>
        <w:spacing w:line="480" w:lineRule="auto"/>
        <w:rPr>
          <w:rStyle w:val="None"/>
          <w:b/>
          <w:bCs/>
          <w:sz w:val="22"/>
          <w:szCs w:val="22"/>
          <w:u w:val="single"/>
        </w:rPr>
      </w:pPr>
      <w:r w:rsidRPr="006E59E6">
        <w:rPr>
          <w:rStyle w:val="None"/>
          <w:b/>
          <w:bCs/>
          <w:sz w:val="22"/>
          <w:szCs w:val="22"/>
          <w:u w:val="single"/>
        </w:rPr>
        <w:t xml:space="preserve">Supplementary </w:t>
      </w:r>
      <w:r w:rsidR="00B459A7">
        <w:rPr>
          <w:rStyle w:val="None"/>
          <w:b/>
          <w:bCs/>
          <w:sz w:val="22"/>
          <w:szCs w:val="22"/>
          <w:u w:val="single"/>
        </w:rPr>
        <w:t>Results</w:t>
      </w:r>
    </w:p>
    <w:p w14:paraId="7D9D8C83" w14:textId="69F3DBAF" w:rsidR="00FE6322" w:rsidRPr="000C47CD" w:rsidRDefault="00FE6322" w:rsidP="00FE6322">
      <w:pPr>
        <w:pStyle w:val="Body"/>
        <w:tabs>
          <w:tab w:val="left" w:pos="2649"/>
        </w:tabs>
        <w:spacing w:line="480" w:lineRule="auto"/>
        <w:rPr>
          <w:rStyle w:val="None"/>
          <w:b/>
          <w:bCs/>
          <w:sz w:val="22"/>
          <w:szCs w:val="22"/>
        </w:rPr>
      </w:pPr>
      <w:r>
        <w:rPr>
          <w:rStyle w:val="None"/>
          <w:b/>
          <w:bCs/>
          <w:sz w:val="22"/>
          <w:szCs w:val="22"/>
        </w:rPr>
        <w:t>Sensitivity Analyses for</w:t>
      </w:r>
      <w:r w:rsidRPr="006E59E6">
        <w:rPr>
          <w:rStyle w:val="None"/>
          <w:b/>
          <w:bCs/>
          <w:sz w:val="22"/>
          <w:szCs w:val="22"/>
        </w:rPr>
        <w:t xml:space="preserve"> Neuroimaging-based Predictive Models</w:t>
      </w:r>
    </w:p>
    <w:p w14:paraId="63EAFFC2" w14:textId="44D10EEE" w:rsidR="00E6185D" w:rsidRDefault="00FE6322" w:rsidP="00FE6322">
      <w:pPr>
        <w:pStyle w:val="Body"/>
        <w:spacing w:line="480" w:lineRule="auto"/>
        <w:ind w:firstLine="720"/>
        <w:rPr>
          <w:rStyle w:val="None"/>
          <w:rFonts w:eastAsiaTheme="majorEastAsia"/>
          <w:color w:val="000000" w:themeColor="text1"/>
          <w:sz w:val="22"/>
          <w:szCs w:val="22"/>
          <w:bdr w:val="none" w:sz="0" w:space="0" w:color="auto"/>
          <w14:textOutline w14:w="0" w14:cap="rnd" w14:cmpd="sng" w14:algn="ctr">
            <w14:noFill/>
            <w14:prstDash w14:val="solid"/>
            <w14:bevel/>
          </w14:textOutline>
        </w:rPr>
      </w:pPr>
      <w:r w:rsidRPr="0011391A">
        <w:rPr>
          <w:rStyle w:val="None"/>
          <w:sz w:val="22"/>
          <w:szCs w:val="22"/>
        </w:rPr>
        <w:t xml:space="preserve">Regarding the data, we 1) balanced the number of participants by race, and 2) corrected for covariates and site. </w:t>
      </w:r>
      <w:r w:rsidR="00E6185D" w:rsidRPr="00E6185D">
        <w:rPr>
          <w:rStyle w:val="None"/>
          <w:rFonts w:eastAsiaTheme="majorEastAsia"/>
          <w:color w:val="000000" w:themeColor="text1"/>
          <w:sz w:val="22"/>
          <w:szCs w:val="22"/>
          <w:bdr w:val="none" w:sz="0" w:space="0" w:color="auto"/>
          <w14:textOutline w14:w="0" w14:cap="rnd" w14:cmpd="sng" w14:algn="ctr">
            <w14:noFill/>
            <w14:prstDash w14:val="solid"/>
            <w14:bevel/>
          </w14:textOutline>
        </w:rPr>
        <w:t>These analyses were conducted across 20 behavioral phenotypes and resting-state connectivity features.</w:t>
      </w:r>
      <w:r w:rsidR="00E6185D">
        <w:rPr>
          <w:rStyle w:val="None"/>
          <w:rFonts w:eastAsiaTheme="majorEastAsia"/>
          <w:color w:val="000000" w:themeColor="text1"/>
          <w:sz w:val="22"/>
          <w:szCs w:val="22"/>
          <w:bdr w:val="none" w:sz="0" w:space="0" w:color="auto"/>
          <w14:textOutline w14:w="0" w14:cap="rnd" w14:cmpd="sng" w14:algn="ctr">
            <w14:noFill/>
            <w14:prstDash w14:val="solid"/>
            <w14:bevel/>
          </w14:textOutline>
        </w:rPr>
        <w:t xml:space="preserve"> </w:t>
      </w:r>
      <w:r w:rsidRPr="0011391A">
        <w:rPr>
          <w:rStyle w:val="None"/>
          <w:sz w:val="22"/>
          <w:szCs w:val="22"/>
        </w:rPr>
        <w:t xml:space="preserve">In the first, one FDR-corrected (p&lt;=0.001) significant difference and two additional nominally significant (p&lt;0.05) differences </w:t>
      </w:r>
      <w:r>
        <w:rPr>
          <w:rStyle w:val="None"/>
          <w:sz w:val="22"/>
          <w:szCs w:val="22"/>
        </w:rPr>
        <w:t>in the var</w:t>
      </w:r>
      <w:r w:rsidR="00E6185D">
        <w:rPr>
          <w:rStyle w:val="None"/>
          <w:sz w:val="22"/>
          <w:szCs w:val="22"/>
        </w:rPr>
        <w:t xml:space="preserve">iance </w:t>
      </w:r>
      <w:r w:rsidRPr="0011391A">
        <w:rPr>
          <w:rStyle w:val="None"/>
          <w:sz w:val="22"/>
          <w:szCs w:val="22"/>
        </w:rPr>
        <w:t xml:space="preserve">were </w:t>
      </w:r>
      <w:r w:rsidRPr="00B5628E">
        <w:rPr>
          <w:rStyle w:val="None"/>
          <w:rFonts w:eastAsiaTheme="majorEastAsia"/>
          <w:color w:val="000000" w:themeColor="text1"/>
          <w:sz w:val="22"/>
          <w:szCs w:val="22"/>
          <w:bdr w:val="none" w:sz="0" w:space="0" w:color="auto"/>
          <w14:textOutline w14:w="0" w14:cap="rnd" w14:cmpd="sng" w14:algn="ctr">
            <w14:noFill/>
            <w14:prstDash w14:val="solid"/>
            <w14:bevel/>
          </w14:textOutline>
        </w:rPr>
        <w:t>observed, all of which had higher variance in Black participants. After incorporating site correction and covariate regression (age, self-reported sex, mean framewise displacement, parental income), only two models demonstrated nominally significant (p&lt;0.05) variance differences, with higher variance in Black participants (</w:t>
      </w:r>
      <w:r w:rsidRPr="00B5628E">
        <w:rPr>
          <w:rStyle w:val="None"/>
          <w:rFonts w:eastAsiaTheme="majorEastAsia"/>
          <w:b/>
          <w:bCs/>
          <w:color w:val="000000" w:themeColor="text1"/>
          <w:sz w:val="22"/>
          <w:szCs w:val="22"/>
          <w:bdr w:val="none" w:sz="0" w:space="0" w:color="auto"/>
          <w14:textOutline w14:w="0" w14:cap="rnd" w14:cmpd="sng" w14:algn="ctr">
            <w14:noFill/>
            <w14:prstDash w14:val="solid"/>
            <w14:bevel/>
          </w14:textOutline>
        </w:rPr>
        <w:t>Table S3</w:t>
      </w:r>
      <w:r w:rsidRPr="00B5628E">
        <w:rPr>
          <w:rStyle w:val="None"/>
          <w:rFonts w:eastAsiaTheme="majorEastAsia"/>
          <w:color w:val="000000" w:themeColor="text1"/>
          <w:sz w:val="22"/>
          <w:szCs w:val="22"/>
          <w:bdr w:val="none" w:sz="0" w:space="0" w:color="auto"/>
          <w14:textOutline w14:w="0" w14:cap="rnd" w14:cmpd="sng" w14:algn="ctr">
            <w14:noFill/>
            <w14:prstDash w14:val="solid"/>
            <w14:bevel/>
          </w14:textOutline>
        </w:rPr>
        <w:t xml:space="preserve">). </w:t>
      </w:r>
      <w:r w:rsidR="00E6185D" w:rsidRPr="00E6185D">
        <w:rPr>
          <w:rStyle w:val="None"/>
          <w:rFonts w:eastAsiaTheme="majorEastAsia"/>
          <w:color w:val="000000" w:themeColor="text1"/>
          <w:sz w:val="22"/>
          <w:szCs w:val="22"/>
          <w:bdr w:val="none" w:sz="0" w:space="0" w:color="auto"/>
          <w14:textOutline w14:w="0" w14:cap="rnd" w14:cmpd="sng" w14:algn="ctr">
            <w14:noFill/>
            <w14:prstDash w14:val="solid"/>
            <w14:bevel/>
          </w14:textOutline>
        </w:rPr>
        <w:t>The attenuation of significance after controlling for sample size is consistent with the interpretation that these effects are driven by differences in variance rather than differences in mean or association strength.</w:t>
      </w:r>
      <w:r w:rsidR="00E6185D">
        <w:rPr>
          <w:rStyle w:val="None"/>
          <w:rFonts w:eastAsiaTheme="majorEastAsia"/>
          <w:color w:val="000000" w:themeColor="text1"/>
          <w:sz w:val="22"/>
          <w:szCs w:val="22"/>
          <w:bdr w:val="none" w:sz="0" w:space="0" w:color="auto"/>
          <w14:textOutline w14:w="0" w14:cap="rnd" w14:cmpd="sng" w14:algn="ctr">
            <w14:noFill/>
            <w14:prstDash w14:val="solid"/>
            <w14:bevel/>
          </w14:textOutline>
        </w:rPr>
        <w:t xml:space="preserve"> </w:t>
      </w:r>
    </w:p>
    <w:p w14:paraId="02442A97" w14:textId="220D9E42" w:rsidR="00B459A7" w:rsidRDefault="00FE6322" w:rsidP="00FE6322">
      <w:pPr>
        <w:pStyle w:val="Body"/>
        <w:spacing w:line="480" w:lineRule="auto"/>
        <w:ind w:firstLine="720"/>
        <w:rPr>
          <w:rStyle w:val="None"/>
          <w:b/>
          <w:bCs/>
          <w:sz w:val="22"/>
          <w:szCs w:val="22"/>
          <w:u w:val="single"/>
        </w:rPr>
      </w:pPr>
      <w:r w:rsidRPr="00B5628E">
        <w:rPr>
          <w:rStyle w:val="None"/>
          <w:rFonts w:eastAsiaTheme="majorEastAsia" w:cs="Times New Roman"/>
          <w:color w:val="000000" w:themeColor="text1"/>
          <w:sz w:val="22"/>
          <w:szCs w:val="22"/>
          <w:bdr w:val="none" w:sz="0" w:space="0" w:color="auto"/>
          <w14:textOutline w14:w="0" w14:cap="rnd" w14:cmpd="sng" w14:algn="ctr">
            <w14:noFill/>
            <w14:prstDash w14:val="solid"/>
            <w14:bevel/>
          </w14:textOutline>
        </w:rPr>
        <w:t>In addition, we considered a sensitivity analysis based on model complexity, running the analysis for three more complex models: Kernel Ridge Regression (KRR), Random Forest Regression (RFR), and a</w:t>
      </w:r>
      <w:r>
        <w:rPr>
          <w:rStyle w:val="None"/>
          <w:rFonts w:eastAsiaTheme="majorEastAsia" w:cs="Times New Roman"/>
          <w:color w:val="000000" w:themeColor="text1"/>
          <w:sz w:val="22"/>
          <w:szCs w:val="22"/>
          <w:bdr w:val="none" w:sz="0" w:space="0" w:color="auto"/>
          <w14:textOutline w14:w="0" w14:cap="rnd" w14:cmpd="sng" w14:algn="ctr">
            <w14:noFill/>
            <w14:prstDash w14:val="solid"/>
            <w14:bevel/>
          </w14:textOutline>
        </w:rPr>
        <w:t>n Artificial</w:t>
      </w:r>
      <w:r w:rsidRPr="00B5628E">
        <w:rPr>
          <w:rStyle w:val="None"/>
          <w:rFonts w:eastAsiaTheme="majorEastAsia" w:cs="Times New Roman"/>
          <w:color w:val="000000" w:themeColor="text1"/>
          <w:sz w:val="22"/>
          <w:szCs w:val="22"/>
          <w:bdr w:val="none" w:sz="0" w:space="0" w:color="auto"/>
          <w14:textOutline w14:w="0" w14:cap="rnd" w14:cmpd="sng" w14:algn="ctr">
            <w14:noFill/>
            <w14:prstDash w14:val="solid"/>
            <w14:bevel/>
          </w14:textOutline>
        </w:rPr>
        <w:t xml:space="preserve"> Neural Network (</w:t>
      </w:r>
      <w:r>
        <w:rPr>
          <w:rStyle w:val="None"/>
          <w:rFonts w:eastAsiaTheme="majorEastAsia" w:cs="Times New Roman"/>
          <w:color w:val="000000" w:themeColor="text1"/>
          <w:sz w:val="22"/>
          <w:szCs w:val="22"/>
          <w:bdr w:val="none" w:sz="0" w:space="0" w:color="auto"/>
          <w14:textOutline w14:w="0" w14:cap="rnd" w14:cmpd="sng" w14:algn="ctr">
            <w14:noFill/>
            <w14:prstDash w14:val="solid"/>
            <w14:bevel/>
          </w14:textOutline>
        </w:rPr>
        <w:t>A</w:t>
      </w:r>
      <w:r w:rsidRPr="00B5628E">
        <w:rPr>
          <w:rStyle w:val="None"/>
          <w:rFonts w:eastAsiaTheme="majorEastAsia" w:cs="Times New Roman"/>
          <w:color w:val="000000" w:themeColor="text1"/>
          <w:sz w:val="22"/>
          <w:szCs w:val="22"/>
          <w:bdr w:val="none" w:sz="0" w:space="0" w:color="auto"/>
          <w14:textOutline w14:w="0" w14:cap="rnd" w14:cmpd="sng" w14:algn="ctr">
            <w14:noFill/>
            <w14:prstDash w14:val="solid"/>
            <w14:bevel/>
          </w14:textOutline>
        </w:rPr>
        <w:t xml:space="preserve">NN). </w:t>
      </w:r>
      <w:r w:rsidRPr="00B5628E">
        <w:rPr>
          <w:rFonts w:eastAsiaTheme="majorEastAsia"/>
          <w:color w:val="000000" w:themeColor="text1"/>
          <w:sz w:val="22"/>
          <w:szCs w:val="22"/>
          <w:bdr w:val="none" w:sz="0" w:space="0" w:color="auto"/>
          <w14:textOutline w14:w="0" w14:cap="rnd" w14:cmpd="sng" w14:algn="ctr">
            <w14:noFill/>
            <w14:prstDash w14:val="solid"/>
            <w14:bevel/>
          </w14:textOutline>
        </w:rPr>
        <w:t xml:space="preserve">Across models and phenotypes, </w:t>
      </w:r>
      <w:r w:rsidR="00E6185D" w:rsidRPr="00E6185D">
        <w:rPr>
          <w:rFonts w:eastAsiaTheme="majorEastAsia"/>
          <w:color w:val="000000" w:themeColor="text1"/>
          <w:sz w:val="22"/>
          <w:szCs w:val="22"/>
          <w:bdr w:val="none" w:sz="0" w:space="0" w:color="auto"/>
          <w14:textOutline w14:w="0" w14:cap="rnd" w14:cmpd="sng" w14:algn="ctr">
            <w14:noFill/>
            <w14:prstDash w14:val="solid"/>
            <w14:bevel/>
          </w14:textOutline>
        </w:rPr>
        <w:t>the variance of predicted values (i.e., prediction variance) was consistently greater for Black participants</w:t>
      </w:r>
      <w:r w:rsidR="00E6185D">
        <w:rPr>
          <w:rFonts w:eastAsiaTheme="majorEastAsia"/>
          <w:color w:val="000000" w:themeColor="text1"/>
          <w:sz w:val="22"/>
          <w:szCs w:val="22"/>
          <w:bdr w:val="none" w:sz="0" w:space="0" w:color="auto"/>
          <w14:textOutline w14:w="0" w14:cap="rnd" w14:cmpd="sng" w14:algn="ctr">
            <w14:noFill/>
            <w14:prstDash w14:val="solid"/>
            <w14:bevel/>
          </w14:textOutline>
        </w:rPr>
        <w:t>,</w:t>
      </w:r>
      <w:r w:rsidR="00E6185D">
        <w:t xml:space="preserve"> </w:t>
      </w:r>
      <w:r w:rsidRPr="00B5628E">
        <w:rPr>
          <w:rFonts w:eastAsiaTheme="majorEastAsia"/>
          <w:color w:val="000000" w:themeColor="text1"/>
          <w:sz w:val="22"/>
          <w:szCs w:val="22"/>
          <w:bdr w:val="none" w:sz="0" w:space="0" w:color="auto"/>
          <w14:textOutline w14:w="0" w14:cap="rnd" w14:cmpd="sng" w14:algn="ctr">
            <w14:noFill/>
            <w14:prstDash w14:val="solid"/>
            <w14:bevel/>
          </w14:textOutline>
        </w:rPr>
        <w:t>suggesting that more complex machine learning algorithms do not mitigate these problems (</w:t>
      </w:r>
      <w:r w:rsidRPr="00B5628E">
        <w:rPr>
          <w:rFonts w:eastAsiaTheme="majorEastAsia" w:cs="Times New Roman"/>
          <w:b/>
          <w:bCs/>
          <w:color w:val="000000" w:themeColor="text1"/>
          <w:sz w:val="22"/>
          <w:szCs w:val="22"/>
          <w:bdr w:val="none" w:sz="0" w:space="0" w:color="auto"/>
          <w14:textOutline w14:w="0" w14:cap="rnd" w14:cmpd="sng" w14:algn="ctr">
            <w14:noFill/>
            <w14:prstDash w14:val="solid"/>
            <w14:bevel/>
          </w14:textOutline>
        </w:rPr>
        <w:t>Figure S</w:t>
      </w:r>
      <w:r w:rsidRPr="00B5628E">
        <w:rPr>
          <w:rFonts w:eastAsiaTheme="majorEastAsia"/>
          <w:b/>
          <w:bCs/>
          <w:color w:val="000000" w:themeColor="text1"/>
          <w:sz w:val="22"/>
          <w:szCs w:val="22"/>
          <w:bdr w:val="none" w:sz="0" w:space="0" w:color="auto"/>
          <w14:textOutline w14:w="0" w14:cap="rnd" w14:cmpd="sng" w14:algn="ctr">
            <w14:noFill/>
            <w14:prstDash w14:val="solid"/>
            <w14:bevel/>
          </w14:textOutline>
        </w:rPr>
        <w:t>4</w:t>
      </w:r>
      <w:r w:rsidRPr="00B5628E">
        <w:rPr>
          <w:rFonts w:eastAsiaTheme="majorEastAsia"/>
          <w:color w:val="000000" w:themeColor="text1"/>
          <w:sz w:val="22"/>
          <w:szCs w:val="22"/>
          <w:bdr w:val="none" w:sz="0" w:space="0" w:color="auto"/>
          <w14:textOutline w14:w="0" w14:cap="rnd" w14:cmpd="sng" w14:algn="ctr">
            <w14:noFill/>
            <w14:prstDash w14:val="solid"/>
            <w14:bevel/>
          </w14:textOutline>
        </w:rPr>
        <w:t>)</w:t>
      </w:r>
      <w:r w:rsidRPr="00B5628E">
        <w:rPr>
          <w:rFonts w:eastAsiaTheme="majorEastAsia" w:cs="Times New Roman"/>
          <w:color w:val="000000" w:themeColor="text1"/>
          <w:sz w:val="22"/>
          <w:szCs w:val="22"/>
          <w:bdr w:val="none" w:sz="0" w:space="0" w:color="auto"/>
          <w14:textOutline w14:w="0" w14:cap="rnd" w14:cmpd="sng" w14:algn="ctr">
            <w14:noFill/>
            <w14:prstDash w14:val="solid"/>
            <w14:bevel/>
          </w14:textOutline>
        </w:rPr>
        <w:t xml:space="preserve">. </w:t>
      </w:r>
      <w:r w:rsidR="00E6185D" w:rsidRPr="00E6185D">
        <w:rPr>
          <w:rFonts w:eastAsiaTheme="majorEastAsia" w:cs="Times New Roman"/>
          <w:color w:val="000000" w:themeColor="text1"/>
          <w:sz w:val="22"/>
          <w:szCs w:val="22"/>
          <w:bdr w:val="none" w:sz="0" w:space="0" w:color="auto"/>
          <w14:textOutline w14:w="0" w14:cap="rnd" w14:cmpd="sng" w14:algn="ctr">
            <w14:noFill/>
            <w14:prstDash w14:val="solid"/>
            <w14:bevel/>
          </w14:textOutline>
        </w:rPr>
        <w:t>Here, we distinguish between variance in the original measures and variance in model predictions; this analysis focuses on the latter.</w:t>
      </w:r>
      <w:r w:rsidR="00E6185D">
        <w:rPr>
          <w:rFonts w:eastAsiaTheme="majorEastAsia" w:cs="Times New Roman"/>
          <w:color w:val="000000" w:themeColor="text1"/>
          <w:sz w:val="22"/>
          <w:szCs w:val="22"/>
          <w:bdr w:val="none" w:sz="0" w:space="0" w:color="auto"/>
          <w14:textOutline w14:w="0" w14:cap="rnd" w14:cmpd="sng" w14:algn="ctr">
            <w14:noFill/>
            <w14:prstDash w14:val="solid"/>
            <w14:bevel/>
          </w14:textOutline>
        </w:rPr>
        <w:t xml:space="preserve"> </w:t>
      </w:r>
      <w:r w:rsidRPr="00B5628E">
        <w:rPr>
          <w:rFonts w:eastAsiaTheme="majorEastAsia" w:cs="Times New Roman"/>
          <w:color w:val="000000" w:themeColor="text1"/>
          <w:sz w:val="22"/>
          <w:szCs w:val="22"/>
          <w:bdr w:val="none" w:sz="0" w:space="0" w:color="auto"/>
          <w14:textOutline w14:w="0" w14:cap="rnd" w14:cmpd="sng" w14:algn="ctr">
            <w14:noFill/>
            <w14:prstDash w14:val="solid"/>
            <w14:bevel/>
          </w14:textOutline>
        </w:rPr>
        <w:t xml:space="preserve">This pattern may </w:t>
      </w:r>
      <w:r w:rsidRPr="00B5628E">
        <w:rPr>
          <w:rFonts w:eastAsiaTheme="majorEastAsia"/>
          <w:color w:val="000000" w:themeColor="text1"/>
          <w:sz w:val="22"/>
          <w:szCs w:val="22"/>
          <w:bdr w:val="none" w:sz="0" w:space="0" w:color="auto"/>
          <w14:textOutline w14:w="0" w14:cap="rnd" w14:cmpd="sng" w14:algn="ctr">
            <w14:noFill/>
            <w14:prstDash w14:val="solid"/>
            <w14:bevel/>
          </w14:textOutline>
        </w:rPr>
        <w:t>reflect reduced prediction stability, rather than simply lower overall performance. Subgroup differences can persist even when aggregate performance appears acceptable.</w:t>
      </w:r>
      <w:r w:rsidR="00E936AC" w:rsidRPr="00E936AC">
        <w:rPr>
          <w:rStyle w:val="None"/>
          <w:rFonts w:eastAsiaTheme="majorEastAsia"/>
          <w:color w:val="000000" w:themeColor="text1"/>
          <w:sz w:val="22"/>
          <w:szCs w:val="22"/>
          <w:bdr w:val="none" w:sz="0" w:space="0" w:color="auto"/>
          <w14:textOutline w14:w="0" w14:cap="rnd" w14:cmpd="sng" w14:algn="ctr">
            <w14:noFill/>
            <w14:prstDash w14:val="solid"/>
            <w14:bevel/>
          </w14:textOutline>
        </w:rPr>
        <w:t xml:space="preserve"> </w:t>
      </w:r>
      <w:r w:rsidR="00E936AC" w:rsidRPr="00E936AC">
        <w:rPr>
          <w:rStyle w:val="None"/>
          <w:rFonts w:eastAsiaTheme="majorEastAsia"/>
          <w:color w:val="000000" w:themeColor="text1"/>
          <w:sz w:val="22"/>
          <w:szCs w:val="22"/>
          <w:bdr w:val="none" w:sz="0" w:space="0" w:color="auto"/>
          <w14:textOutline w14:w="0" w14:cap="rnd" w14:cmpd="sng" w14:algn="ctr">
            <w14:noFill/>
            <w14:prstDash w14:val="solid"/>
            <w14:bevel/>
          </w14:textOutline>
        </w:rPr>
        <w:t>Importantly, increased spread in predicted values is not inherently beneficial; when disproportionate to the variance in true outcomes, it contributes to increased prediction error and instability.</w:t>
      </w:r>
      <w:r w:rsidR="00E936AC">
        <w:rPr>
          <w:rStyle w:val="None"/>
          <w:rFonts w:eastAsiaTheme="majorEastAsia"/>
          <w:color w:val="000000" w:themeColor="text1"/>
          <w:sz w:val="22"/>
          <w:szCs w:val="22"/>
          <w:bdr w:val="none" w:sz="0" w:space="0" w:color="auto"/>
          <w14:textOutline w14:w="0" w14:cap="rnd" w14:cmpd="sng" w14:algn="ctr">
            <w14:noFill/>
            <w14:prstDash w14:val="solid"/>
            <w14:bevel/>
          </w14:textOutline>
        </w:rPr>
        <w:t xml:space="preserve"> </w:t>
      </w:r>
      <w:r w:rsidR="00E936AC" w:rsidRPr="00E936AC">
        <w:rPr>
          <w:rStyle w:val="None"/>
          <w:rFonts w:eastAsiaTheme="majorEastAsia"/>
          <w:color w:val="000000" w:themeColor="text1"/>
          <w:sz w:val="22"/>
          <w:szCs w:val="22"/>
          <w:bdr w:val="none" w:sz="0" w:space="0" w:color="auto"/>
          <w14:textOutline w14:w="0" w14:cap="rnd" w14:cmpd="sng" w14:algn="ctr">
            <w14:noFill/>
            <w14:prstDash w14:val="solid"/>
            <w14:bevel/>
          </w14:textOutline>
        </w:rPr>
        <w:t>Together, these findings indicate that differences in prediction performance are closely linked to differences in prediction variance, rather than solely to differences in underlying associations.</w:t>
      </w:r>
    </w:p>
    <w:p w14:paraId="0DEB3822" w14:textId="77777777" w:rsidR="00B459A7" w:rsidRPr="006E59E6" w:rsidRDefault="00B459A7" w:rsidP="00B459A7">
      <w:pPr>
        <w:pStyle w:val="Body"/>
        <w:spacing w:line="480" w:lineRule="auto"/>
        <w:rPr>
          <w:rStyle w:val="None"/>
          <w:b/>
          <w:bCs/>
          <w:sz w:val="22"/>
          <w:szCs w:val="22"/>
        </w:rPr>
      </w:pPr>
      <w:r>
        <w:rPr>
          <w:rStyle w:val="None"/>
          <w:b/>
          <w:bCs/>
          <w:sz w:val="22"/>
          <w:szCs w:val="22"/>
        </w:rPr>
        <w:t>Tests of Heteroscedasticity</w:t>
      </w:r>
      <w:r w:rsidRPr="006E59E6">
        <w:rPr>
          <w:rStyle w:val="None"/>
          <w:b/>
          <w:bCs/>
          <w:sz w:val="22"/>
          <w:szCs w:val="22"/>
        </w:rPr>
        <w:t xml:space="preserve"> </w:t>
      </w:r>
      <w:r>
        <w:rPr>
          <w:rStyle w:val="None"/>
          <w:b/>
          <w:bCs/>
          <w:sz w:val="22"/>
          <w:szCs w:val="22"/>
        </w:rPr>
        <w:t>for</w:t>
      </w:r>
      <w:r w:rsidRPr="006E59E6">
        <w:rPr>
          <w:rStyle w:val="None"/>
          <w:b/>
          <w:bCs/>
          <w:sz w:val="22"/>
          <w:szCs w:val="22"/>
        </w:rPr>
        <w:t xml:space="preserve"> </w:t>
      </w:r>
      <w:r>
        <w:rPr>
          <w:rStyle w:val="None"/>
          <w:b/>
          <w:bCs/>
          <w:sz w:val="22"/>
          <w:szCs w:val="22"/>
        </w:rPr>
        <w:t>Brain-behavior Summary Scores</w:t>
      </w:r>
    </w:p>
    <w:p w14:paraId="13D51751" w14:textId="083BC9B1" w:rsidR="00B459A7" w:rsidRPr="006E59E6" w:rsidRDefault="00B459A7" w:rsidP="00B459A7">
      <w:pPr>
        <w:pStyle w:val="Body"/>
        <w:spacing w:line="480" w:lineRule="auto"/>
        <w:ind w:firstLine="720"/>
        <w:rPr>
          <w:rStyle w:val="None"/>
          <w:sz w:val="22"/>
          <w:szCs w:val="22"/>
        </w:rPr>
      </w:pPr>
      <w:r w:rsidRPr="006E59E6">
        <w:rPr>
          <w:rStyle w:val="None"/>
          <w:sz w:val="22"/>
          <w:szCs w:val="22"/>
        </w:rPr>
        <w:t>To further investigate racialized heteroscedasticity in brain-behavior relationships, we conducted Levene’s test and the Breusch</w:t>
      </w:r>
      <w:r>
        <w:rPr>
          <w:rStyle w:val="None"/>
          <w:sz w:val="22"/>
          <w:szCs w:val="22"/>
        </w:rPr>
        <w:t>-</w:t>
      </w:r>
      <w:r w:rsidRPr="006E59E6">
        <w:rPr>
          <w:rStyle w:val="None"/>
          <w:sz w:val="22"/>
          <w:szCs w:val="22"/>
        </w:rPr>
        <w:t xml:space="preserve">Pagan test on brain-behavior summary scores. We used summary scores </w:t>
      </w:r>
      <w:r w:rsidRPr="006E59E6">
        <w:rPr>
          <w:rStyle w:val="None"/>
          <w:sz w:val="22"/>
          <w:szCs w:val="22"/>
        </w:rPr>
        <w:lastRenderedPageBreak/>
        <w:t>generated in the entire dataset (i.e., not cross-validated), representing the sum of edge weights significantly associated with the behavior of interest</w:t>
      </w:r>
      <w:r>
        <w:rPr>
          <w:rStyle w:val="None"/>
          <w:sz w:val="22"/>
          <w:szCs w:val="22"/>
        </w:rPr>
        <w:t xml:space="preserve">. </w:t>
      </w:r>
      <w:r w:rsidR="00E936AC" w:rsidRPr="00E936AC">
        <w:rPr>
          <w:rStyle w:val="None"/>
          <w:sz w:val="22"/>
          <w:szCs w:val="22"/>
        </w:rPr>
        <w:t>These brain</w:t>
      </w:r>
      <w:r w:rsidR="00E936AC">
        <w:rPr>
          <w:rStyle w:val="None"/>
          <w:sz w:val="22"/>
          <w:szCs w:val="22"/>
        </w:rPr>
        <w:t>-</w:t>
      </w:r>
      <w:r w:rsidR="00E936AC" w:rsidRPr="00E936AC">
        <w:rPr>
          <w:rStyle w:val="None"/>
          <w:sz w:val="22"/>
          <w:szCs w:val="22"/>
        </w:rPr>
        <w:t>behavior summary scores represent non-cross-validated aggregate association scores derived from CPM feature weights and are used here</w:t>
      </w:r>
      <w:r w:rsidR="00E936AC">
        <w:rPr>
          <w:rStyle w:val="None"/>
          <w:sz w:val="22"/>
          <w:szCs w:val="22"/>
        </w:rPr>
        <w:t xml:space="preserve"> </w:t>
      </w:r>
      <w:r w:rsidR="00E936AC" w:rsidRPr="00E936AC">
        <w:rPr>
          <w:rStyle w:val="None"/>
          <w:sz w:val="22"/>
          <w:szCs w:val="22"/>
        </w:rPr>
        <w:t>as a proxy to assess variance in model-derived signals independent of cross-validated prediction.</w:t>
      </w:r>
      <w:r w:rsidR="00E936AC">
        <w:rPr>
          <w:rStyle w:val="None"/>
          <w:sz w:val="22"/>
          <w:szCs w:val="22"/>
        </w:rPr>
        <w:t xml:space="preserve"> </w:t>
      </w:r>
      <w:r w:rsidR="00E936AC" w:rsidRPr="00E936AC">
        <w:rPr>
          <w:sz w:val="22"/>
          <w:szCs w:val="22"/>
        </w:rPr>
        <w:t>This distinction is necessary because formal tests of variance differences (e.g., Levene’s and Breusch</w:t>
      </w:r>
      <w:r w:rsidR="00E936AC">
        <w:rPr>
          <w:sz w:val="22"/>
          <w:szCs w:val="22"/>
        </w:rPr>
        <w:t>-</w:t>
      </w:r>
      <w:r w:rsidR="00E936AC" w:rsidRPr="00E936AC">
        <w:rPr>
          <w:sz w:val="22"/>
          <w:szCs w:val="22"/>
        </w:rPr>
        <w:t>Pagan tests) cannot be applied directly to cross-validated prediction outputs</w:t>
      </w:r>
      <w:r w:rsidRPr="006E59E6">
        <w:rPr>
          <w:rStyle w:val="None"/>
          <w:sz w:val="22"/>
          <w:szCs w:val="22"/>
        </w:rPr>
        <w:t>.</w:t>
      </w:r>
      <w:r>
        <w:rPr>
          <w:rStyle w:val="None"/>
          <w:sz w:val="22"/>
          <w:szCs w:val="22"/>
        </w:rPr>
        <w:t xml:space="preserve"> Overall, 36 summary scores were generated, one for each of the 36 behavioral measures. </w:t>
      </w:r>
    </w:p>
    <w:p w14:paraId="70EC4348" w14:textId="77777777" w:rsidR="00B459A7" w:rsidRPr="006E59E6" w:rsidRDefault="00B459A7" w:rsidP="00B459A7">
      <w:pPr>
        <w:pStyle w:val="Body"/>
        <w:spacing w:line="480" w:lineRule="auto"/>
        <w:ind w:firstLine="720"/>
        <w:rPr>
          <w:rStyle w:val="None"/>
          <w:sz w:val="22"/>
          <w:szCs w:val="22"/>
        </w:rPr>
      </w:pPr>
      <w:r w:rsidRPr="006E59E6">
        <w:rPr>
          <w:rStyle w:val="None"/>
          <w:sz w:val="22"/>
          <w:szCs w:val="22"/>
        </w:rPr>
        <w:t xml:space="preserve">For Levene’s test, we observed significant variance differences for </w:t>
      </w:r>
      <w:r>
        <w:rPr>
          <w:rStyle w:val="None"/>
          <w:sz w:val="22"/>
          <w:szCs w:val="22"/>
        </w:rPr>
        <w:t>nine</w:t>
      </w:r>
      <w:r w:rsidRPr="006E59E6">
        <w:rPr>
          <w:rStyle w:val="None"/>
          <w:sz w:val="22"/>
          <w:szCs w:val="22"/>
        </w:rPr>
        <w:t xml:space="preserve"> of 36 </w:t>
      </w:r>
      <w:r>
        <w:rPr>
          <w:rStyle w:val="None"/>
          <w:sz w:val="22"/>
          <w:szCs w:val="22"/>
        </w:rPr>
        <w:t xml:space="preserve">summary scores </w:t>
      </w:r>
      <w:r w:rsidRPr="006E59E6">
        <w:rPr>
          <w:rStyle w:val="None"/>
          <w:sz w:val="22"/>
          <w:szCs w:val="22"/>
        </w:rPr>
        <w:t>after FDR correction (1</w:t>
      </w:r>
      <w:r>
        <w:rPr>
          <w:rStyle w:val="None"/>
          <w:sz w:val="22"/>
          <w:szCs w:val="22"/>
        </w:rPr>
        <w:t>4</w:t>
      </w:r>
      <w:r w:rsidRPr="006E59E6">
        <w:rPr>
          <w:rStyle w:val="None"/>
          <w:sz w:val="22"/>
          <w:szCs w:val="22"/>
        </w:rPr>
        <w:t xml:space="preserve"> uncorrected</w:t>
      </w:r>
      <w:r>
        <w:rPr>
          <w:rStyle w:val="None"/>
          <w:sz w:val="22"/>
          <w:szCs w:val="22"/>
        </w:rPr>
        <w:t xml:space="preserve">; </w:t>
      </w:r>
      <w:r>
        <w:rPr>
          <w:rStyle w:val="None"/>
          <w:b/>
          <w:bCs/>
          <w:sz w:val="22"/>
          <w:szCs w:val="22"/>
        </w:rPr>
        <w:t>Table S4</w:t>
      </w:r>
      <w:r w:rsidRPr="000C47CD">
        <w:rPr>
          <w:rStyle w:val="None"/>
          <w:sz w:val="22"/>
          <w:szCs w:val="22"/>
        </w:rPr>
        <w:t>)</w:t>
      </w:r>
      <w:r w:rsidRPr="006E59E6">
        <w:rPr>
          <w:rStyle w:val="None"/>
          <w:sz w:val="22"/>
          <w:szCs w:val="22"/>
        </w:rPr>
        <w:t xml:space="preserve">. </w:t>
      </w:r>
      <w:r>
        <w:rPr>
          <w:rStyle w:val="None"/>
          <w:sz w:val="22"/>
          <w:szCs w:val="22"/>
        </w:rPr>
        <w:t>Six of the nine</w:t>
      </w:r>
      <w:r w:rsidRPr="006E59E6">
        <w:rPr>
          <w:rStyle w:val="None"/>
          <w:sz w:val="22"/>
          <w:szCs w:val="22"/>
        </w:rPr>
        <w:t xml:space="preserve"> showed greater variance in Black participants</w:t>
      </w:r>
      <w:r>
        <w:rPr>
          <w:rStyle w:val="None"/>
          <w:sz w:val="22"/>
          <w:szCs w:val="22"/>
        </w:rPr>
        <w:t xml:space="preserve"> (nine of 14 uncorrected)</w:t>
      </w:r>
      <w:r w:rsidRPr="006E59E6">
        <w:rPr>
          <w:rStyle w:val="None"/>
          <w:sz w:val="22"/>
          <w:szCs w:val="22"/>
        </w:rPr>
        <w:t xml:space="preserve">, providing additional evidence of brain-behavior variance differences by race. Furthermore, for the Breusch-Pagan test, we performed 100 iterations of bootstrapping with replacement to robustly estimate the variability in residual </w:t>
      </w:r>
      <w:r>
        <w:rPr>
          <w:rStyle w:val="None"/>
          <w:sz w:val="22"/>
          <w:szCs w:val="22"/>
        </w:rPr>
        <w:t xml:space="preserve">(i.e., error) </w:t>
      </w:r>
      <w:r w:rsidRPr="006E59E6">
        <w:rPr>
          <w:rStyle w:val="None"/>
          <w:sz w:val="22"/>
          <w:szCs w:val="22"/>
        </w:rPr>
        <w:t xml:space="preserve">patterns across racial groups. </w:t>
      </w:r>
      <w:r w:rsidRPr="00D94751">
        <w:rPr>
          <w:rStyle w:val="None"/>
          <w:sz w:val="22"/>
          <w:szCs w:val="22"/>
        </w:rPr>
        <w:t xml:space="preserve"> </w:t>
      </w:r>
      <w:r w:rsidRPr="006E59E6">
        <w:rPr>
          <w:rStyle w:val="None"/>
          <w:sz w:val="22"/>
          <w:szCs w:val="22"/>
        </w:rPr>
        <w:t>Breusch-Pagan test</w:t>
      </w:r>
      <w:r>
        <w:rPr>
          <w:rStyle w:val="None"/>
          <w:sz w:val="22"/>
          <w:szCs w:val="22"/>
        </w:rPr>
        <w:t xml:space="preserve"> results</w:t>
      </w:r>
      <w:r w:rsidRPr="006E59E6">
        <w:rPr>
          <w:rStyle w:val="None"/>
          <w:sz w:val="22"/>
          <w:szCs w:val="22"/>
        </w:rPr>
        <w:t xml:space="preserve"> are shown in </w:t>
      </w:r>
      <w:r>
        <w:rPr>
          <w:rStyle w:val="None"/>
          <w:b/>
          <w:bCs/>
          <w:sz w:val="22"/>
          <w:szCs w:val="22"/>
        </w:rPr>
        <w:t>Table S5</w:t>
      </w:r>
      <w:r w:rsidRPr="006E59E6">
        <w:rPr>
          <w:rStyle w:val="None"/>
          <w:sz w:val="22"/>
          <w:szCs w:val="22"/>
        </w:rPr>
        <w:t xml:space="preserve">, highlighting the higher dispersion of residuals for Black participants compared to the White counterparts and thus indicating greater prediction uncertainty. Moreover, some </w:t>
      </w:r>
      <w:r>
        <w:rPr>
          <w:rStyle w:val="None"/>
          <w:sz w:val="22"/>
          <w:szCs w:val="22"/>
        </w:rPr>
        <w:t xml:space="preserve">summary scores </w:t>
      </w:r>
      <w:r w:rsidRPr="006E59E6">
        <w:rPr>
          <w:rStyle w:val="None"/>
          <w:sz w:val="22"/>
          <w:szCs w:val="22"/>
        </w:rPr>
        <w:t>exhibited systematic skew in residuals for Black participants, suggesting systematic biases in Black participants</w:t>
      </w:r>
      <w:r>
        <w:rPr>
          <w:rStyle w:val="None"/>
          <w:sz w:val="22"/>
          <w:szCs w:val="22"/>
        </w:rPr>
        <w:t xml:space="preserve"> </w:t>
      </w:r>
      <w:r w:rsidRPr="000C47CD">
        <w:rPr>
          <w:rStyle w:val="None"/>
          <w:b/>
          <w:bCs/>
          <w:sz w:val="22"/>
          <w:szCs w:val="22"/>
        </w:rPr>
        <w:t>(</w:t>
      </w:r>
      <w:r>
        <w:rPr>
          <w:rStyle w:val="None"/>
          <w:b/>
          <w:bCs/>
          <w:sz w:val="22"/>
          <w:szCs w:val="22"/>
        </w:rPr>
        <w:t>Table S6</w:t>
      </w:r>
      <w:r w:rsidRPr="000C47CD">
        <w:rPr>
          <w:rStyle w:val="None"/>
          <w:b/>
          <w:bCs/>
          <w:sz w:val="22"/>
          <w:szCs w:val="22"/>
        </w:rPr>
        <w:t>)</w:t>
      </w:r>
      <w:r w:rsidRPr="006E59E6">
        <w:rPr>
          <w:rStyle w:val="None"/>
          <w:sz w:val="22"/>
          <w:szCs w:val="22"/>
        </w:rPr>
        <w:t xml:space="preserve">. In contrast, residuals for White participants in these same measures were symmetrically distributed. </w:t>
      </w:r>
    </w:p>
    <w:p w14:paraId="2874CF75" w14:textId="77777777" w:rsidR="00B459A7" w:rsidRDefault="00B459A7" w:rsidP="00A64D72">
      <w:pPr>
        <w:pStyle w:val="Body"/>
        <w:spacing w:line="480" w:lineRule="auto"/>
        <w:rPr>
          <w:rStyle w:val="None"/>
          <w:b/>
          <w:bCs/>
          <w:sz w:val="22"/>
          <w:szCs w:val="22"/>
          <w:u w:val="single"/>
        </w:rPr>
      </w:pPr>
    </w:p>
    <w:p w14:paraId="1CFC2064" w14:textId="77777777" w:rsidR="00C64337" w:rsidRPr="006E59E6" w:rsidRDefault="00C64337" w:rsidP="00C64337">
      <w:pPr>
        <w:pStyle w:val="Body"/>
        <w:spacing w:line="480" w:lineRule="auto"/>
        <w:jc w:val="center"/>
        <w:rPr>
          <w:rStyle w:val="None"/>
          <w:sz w:val="22"/>
          <w:szCs w:val="22"/>
        </w:rPr>
      </w:pPr>
      <w:r w:rsidRPr="006E59E6">
        <w:rPr>
          <w:rStyle w:val="None"/>
          <w:noProof/>
          <w:sz w:val="22"/>
          <w:szCs w:val="22"/>
        </w:rPr>
        <w:lastRenderedPageBreak/>
        <w:drawing>
          <wp:inline distT="0" distB="0" distL="0" distR="0" wp14:anchorId="59B1B680" wp14:editId="745743CB">
            <wp:extent cx="3740568" cy="5365948"/>
            <wp:effectExtent l="0" t="0" r="6350" b="0"/>
            <wp:docPr id="310032655" name="officeArt object" descr="A collage of graph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7" name="A collage of graphsAI-generated content may be incorrect." descr="A collage of graphsAI-generated content may be incorrect."/>
                    <pic:cNvPicPr>
                      <a:picLocks noChangeAspect="1"/>
                    </pic:cNvPicPr>
                  </pic:nvPicPr>
                  <pic:blipFill>
                    <a:blip r:embed="rId4"/>
                    <a:stretch>
                      <a:fillRect/>
                    </a:stretch>
                  </pic:blipFill>
                  <pic:spPr>
                    <a:xfrm>
                      <a:off x="0" y="0"/>
                      <a:ext cx="3754730" cy="5386264"/>
                    </a:xfrm>
                    <a:prstGeom prst="rect">
                      <a:avLst/>
                    </a:prstGeom>
                    <a:ln w="12700" cap="flat">
                      <a:noFill/>
                      <a:miter lim="400000"/>
                    </a:ln>
                    <a:effectLst/>
                  </pic:spPr>
                </pic:pic>
              </a:graphicData>
            </a:graphic>
          </wp:inline>
        </w:drawing>
      </w:r>
    </w:p>
    <w:p w14:paraId="0F7369E2" w14:textId="60A8E49C" w:rsidR="00C64337" w:rsidRPr="001B5DDF" w:rsidRDefault="00C64337" w:rsidP="00C64337">
      <w:pPr>
        <w:pStyle w:val="Body"/>
        <w:rPr>
          <w:rStyle w:val="None"/>
          <w:sz w:val="22"/>
          <w:szCs w:val="22"/>
        </w:rPr>
      </w:pPr>
      <w:r w:rsidRPr="001B5DDF">
        <w:rPr>
          <w:rStyle w:val="None"/>
          <w:b/>
          <w:bCs/>
          <w:sz w:val="22"/>
          <w:szCs w:val="22"/>
        </w:rPr>
        <w:t xml:space="preserve">Figure </w:t>
      </w:r>
      <w:r>
        <w:rPr>
          <w:rStyle w:val="None"/>
          <w:b/>
          <w:bCs/>
          <w:sz w:val="22"/>
          <w:szCs w:val="22"/>
        </w:rPr>
        <w:t>S</w:t>
      </w:r>
      <w:r w:rsidRPr="001B5DDF">
        <w:rPr>
          <w:rStyle w:val="None"/>
          <w:b/>
          <w:bCs/>
          <w:sz w:val="22"/>
          <w:szCs w:val="22"/>
        </w:rPr>
        <w:t xml:space="preserve">1. </w:t>
      </w:r>
      <w:r w:rsidRPr="00C64337">
        <w:rPr>
          <w:rStyle w:val="None"/>
          <w:b/>
          <w:bCs/>
          <w:sz w:val="22"/>
          <w:szCs w:val="22"/>
        </w:rPr>
        <w:t>Di</w:t>
      </w:r>
      <w:r w:rsidRPr="001B5DDF">
        <w:rPr>
          <w:rStyle w:val="None"/>
          <w:b/>
          <w:bCs/>
          <w:sz w:val="22"/>
          <w:szCs w:val="22"/>
        </w:rPr>
        <w:t xml:space="preserve">stribution of variance differences </w:t>
      </w:r>
      <w:r>
        <w:rPr>
          <w:rStyle w:val="None"/>
          <w:b/>
          <w:bCs/>
          <w:sz w:val="22"/>
          <w:szCs w:val="22"/>
        </w:rPr>
        <w:t xml:space="preserve">in imaging features between Black and White participants. </w:t>
      </w:r>
      <w:r w:rsidRPr="001B5DDF">
        <w:rPr>
          <w:rStyle w:val="None"/>
          <w:sz w:val="22"/>
          <w:szCs w:val="22"/>
        </w:rPr>
        <w:t>Histograms depict the distribution of variance differences (</w:t>
      </w:r>
      <w:proofErr w:type="gramStart"/>
      <w:r w:rsidRPr="001B5DDF">
        <w:rPr>
          <w:rStyle w:val="None"/>
          <w:sz w:val="22"/>
          <w:szCs w:val="22"/>
        </w:rPr>
        <w:t>Black-White</w:t>
      </w:r>
      <w:proofErr w:type="gramEnd"/>
      <w:r w:rsidRPr="001B5DDF">
        <w:rPr>
          <w:rStyle w:val="None"/>
          <w:sz w:val="22"/>
          <w:szCs w:val="22"/>
        </w:rPr>
        <w:t xml:space="preserve">) across six key neuroimaging modalities. </w:t>
      </w:r>
      <w:r w:rsidRPr="001B5DDF">
        <w:rPr>
          <w:rStyle w:val="None"/>
          <w:b/>
          <w:bCs/>
          <w:sz w:val="22"/>
          <w:szCs w:val="22"/>
        </w:rPr>
        <w:t>A</w:t>
      </w:r>
      <w:r>
        <w:rPr>
          <w:rStyle w:val="None"/>
          <w:b/>
          <w:bCs/>
          <w:sz w:val="22"/>
          <w:szCs w:val="22"/>
        </w:rPr>
        <w:t>)</w:t>
      </w:r>
      <w:r w:rsidRPr="001B5DDF">
        <w:rPr>
          <w:rStyle w:val="None"/>
          <w:sz w:val="22"/>
          <w:szCs w:val="22"/>
        </w:rPr>
        <w:t xml:space="preserve"> presents results without covariates, and </w:t>
      </w:r>
      <w:r w:rsidRPr="001B5DDF">
        <w:rPr>
          <w:rStyle w:val="None"/>
          <w:b/>
          <w:bCs/>
          <w:sz w:val="22"/>
          <w:szCs w:val="22"/>
        </w:rPr>
        <w:t>B</w:t>
      </w:r>
      <w:r>
        <w:rPr>
          <w:rStyle w:val="None"/>
          <w:b/>
          <w:bCs/>
          <w:sz w:val="22"/>
          <w:szCs w:val="22"/>
        </w:rPr>
        <w:t>)</w:t>
      </w:r>
      <w:r w:rsidRPr="001B5DDF">
        <w:rPr>
          <w:rStyle w:val="None"/>
          <w:sz w:val="22"/>
          <w:szCs w:val="22"/>
        </w:rPr>
        <w:t xml:space="preserve"> includes covariate regression (age, sex, head motion), site correction (</w:t>
      </w:r>
      <w:proofErr w:type="spellStart"/>
      <w:r w:rsidRPr="001B5DDF">
        <w:rPr>
          <w:rStyle w:val="None"/>
          <w:sz w:val="22"/>
          <w:szCs w:val="22"/>
        </w:rPr>
        <w:t>ComBat</w:t>
      </w:r>
      <w:proofErr w:type="spellEnd"/>
      <w:r w:rsidRPr="001B5DDF">
        <w:rPr>
          <w:rStyle w:val="None"/>
          <w:sz w:val="22"/>
          <w:szCs w:val="22"/>
        </w:rPr>
        <w:t>), and balanced sample sizes between Black and White participants. Neuroimaging modalities include resting-state fMRI (</w:t>
      </w:r>
      <w:proofErr w:type="spellStart"/>
      <w:r w:rsidRPr="001B5DDF">
        <w:rPr>
          <w:rStyle w:val="None"/>
          <w:sz w:val="22"/>
          <w:szCs w:val="22"/>
        </w:rPr>
        <w:t>rsfMRI</w:t>
      </w:r>
      <w:proofErr w:type="spellEnd"/>
      <w:r w:rsidRPr="001B5DDF">
        <w:rPr>
          <w:rStyle w:val="None"/>
          <w:sz w:val="22"/>
          <w:szCs w:val="22"/>
        </w:rPr>
        <w:t xml:space="preserve">), Monetary Incentive Delay task (MID), </w:t>
      </w:r>
      <w:proofErr w:type="spellStart"/>
      <w:r w:rsidRPr="001B5DDF">
        <w:rPr>
          <w:rStyle w:val="None"/>
          <w:sz w:val="22"/>
          <w:szCs w:val="22"/>
        </w:rPr>
        <w:t>nBack</w:t>
      </w:r>
      <w:proofErr w:type="spellEnd"/>
      <w:r w:rsidRPr="001B5DDF">
        <w:rPr>
          <w:rStyle w:val="None"/>
          <w:sz w:val="22"/>
          <w:szCs w:val="22"/>
        </w:rPr>
        <w:t xml:space="preserve"> task, Stop-Signal Task (SST), Diffusion Tensor Imaging fractional anisotropy (FA), and T1-weighted gray matter structural MRI (</w:t>
      </w:r>
      <w:r w:rsidR="00CE6265" w:rsidRPr="006E59E6">
        <w:rPr>
          <w:rStyle w:val="None"/>
          <w:sz w:val="22"/>
          <w:szCs w:val="22"/>
        </w:rPr>
        <w:t>T1 GM</w:t>
      </w:r>
      <w:r w:rsidRPr="001B5DDF">
        <w:rPr>
          <w:rStyle w:val="None"/>
          <w:sz w:val="22"/>
          <w:szCs w:val="22"/>
        </w:rPr>
        <w:t>). The x-axis represents the difference in variance (positive values indicate greater variance in Black participants, while negative values indicate greater variance in White participants), and the y-axis represents the count of features with corresponding variance differences. Across all modalities, features demonstrating significant variance differences (p &lt; 0.05) are included. For any results including balancing, a single representative random iteration is shown.</w:t>
      </w:r>
    </w:p>
    <w:p w14:paraId="14D07A9A" w14:textId="0DA3B0AA" w:rsidR="00CE6265" w:rsidRDefault="00CE6265">
      <w:pPr>
        <w:spacing w:after="160" w:line="278" w:lineRule="auto"/>
        <w:rPr>
          <w:rStyle w:val="None"/>
          <w:rFonts w:eastAsia="Arial Unicode MS" w:cs="Arial Unicode MS"/>
          <w:b/>
          <w:bCs/>
          <w:color w:val="000000"/>
          <w:sz w:val="22"/>
          <w:szCs w:val="22"/>
          <w:u w:val="single" w:color="000000"/>
          <w:bdr w:val="nil"/>
          <w14:textOutline w14:w="0" w14:cap="flat" w14:cmpd="sng" w14:algn="ctr">
            <w14:noFill/>
            <w14:prstDash w14:val="solid"/>
            <w14:bevel/>
          </w14:textOutline>
        </w:rPr>
      </w:pPr>
      <w:r>
        <w:rPr>
          <w:rStyle w:val="None"/>
          <w:b/>
          <w:bCs/>
          <w:sz w:val="22"/>
          <w:szCs w:val="22"/>
          <w:u w:val="single"/>
        </w:rPr>
        <w:br w:type="page"/>
      </w:r>
    </w:p>
    <w:p w14:paraId="311CCF8B" w14:textId="77777777" w:rsidR="00EA5594" w:rsidRPr="006E59E6" w:rsidRDefault="00EA5594" w:rsidP="00EA5594">
      <w:pPr>
        <w:pStyle w:val="Body"/>
        <w:spacing w:line="480" w:lineRule="auto"/>
        <w:rPr>
          <w:rStyle w:val="None"/>
          <w:sz w:val="22"/>
          <w:szCs w:val="22"/>
        </w:rPr>
      </w:pPr>
      <w:r w:rsidRPr="006E59E6">
        <w:rPr>
          <w:rStyle w:val="None"/>
          <w:noProof/>
          <w:sz w:val="22"/>
          <w:szCs w:val="22"/>
        </w:rPr>
        <w:lastRenderedPageBreak/>
        <w:drawing>
          <wp:inline distT="0" distB="0" distL="0" distR="0" wp14:anchorId="39FAA4AB" wp14:editId="5F8BFD40">
            <wp:extent cx="6400800" cy="4011296"/>
            <wp:effectExtent l="0" t="0" r="0" b="0"/>
            <wp:docPr id="793799137" name="officeArt object" descr="A group of graphs showing different difference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A group of graphs showing different differencesDescription automatically generated" descr="A group of graphs showing different differencesDescription automatically generated"/>
                    <pic:cNvPicPr>
                      <a:picLocks noChangeAspect="1"/>
                    </pic:cNvPicPr>
                  </pic:nvPicPr>
                  <pic:blipFill>
                    <a:blip r:embed="rId5"/>
                    <a:stretch>
                      <a:fillRect/>
                    </a:stretch>
                  </pic:blipFill>
                  <pic:spPr>
                    <a:xfrm>
                      <a:off x="0" y="0"/>
                      <a:ext cx="6400800" cy="4011296"/>
                    </a:xfrm>
                    <a:prstGeom prst="rect">
                      <a:avLst/>
                    </a:prstGeom>
                    <a:ln w="12700" cap="flat">
                      <a:noFill/>
                      <a:miter lim="400000"/>
                    </a:ln>
                    <a:effectLst/>
                  </pic:spPr>
                </pic:pic>
              </a:graphicData>
            </a:graphic>
          </wp:inline>
        </w:drawing>
      </w:r>
    </w:p>
    <w:p w14:paraId="3952D679" w14:textId="762E6D15" w:rsidR="00EA5594" w:rsidRPr="006E59E6" w:rsidRDefault="00EA5594" w:rsidP="00EA5594">
      <w:pPr>
        <w:pStyle w:val="Body"/>
        <w:rPr>
          <w:rStyle w:val="None"/>
          <w:sz w:val="22"/>
          <w:szCs w:val="22"/>
        </w:rPr>
      </w:pPr>
      <w:r w:rsidRPr="006E59E6">
        <w:rPr>
          <w:rStyle w:val="None"/>
          <w:b/>
          <w:bCs/>
          <w:sz w:val="22"/>
          <w:szCs w:val="22"/>
        </w:rPr>
        <w:t xml:space="preserve">Figure </w:t>
      </w:r>
      <w:r w:rsidR="00CE6265">
        <w:rPr>
          <w:rStyle w:val="None"/>
          <w:b/>
          <w:bCs/>
          <w:sz w:val="22"/>
          <w:szCs w:val="22"/>
        </w:rPr>
        <w:t>S2</w:t>
      </w:r>
      <w:r w:rsidRPr="006E59E6">
        <w:rPr>
          <w:rStyle w:val="None"/>
          <w:b/>
          <w:bCs/>
          <w:sz w:val="22"/>
          <w:szCs w:val="22"/>
        </w:rPr>
        <w:t>.</w:t>
      </w:r>
      <w:r w:rsidRPr="006E59E6">
        <w:rPr>
          <w:rStyle w:val="None"/>
          <w:sz w:val="22"/>
          <w:szCs w:val="22"/>
        </w:rPr>
        <w:t xml:space="preserve"> </w:t>
      </w:r>
      <w:r w:rsidRPr="00EA5594">
        <w:rPr>
          <w:rStyle w:val="None"/>
          <w:b/>
          <w:bCs/>
          <w:sz w:val="22"/>
          <w:szCs w:val="22"/>
        </w:rPr>
        <w:t>Significance of variance differences between Black and White participants across six neuroimaging modalities.</w:t>
      </w:r>
      <w:r w:rsidRPr="006E59E6">
        <w:rPr>
          <w:rStyle w:val="None"/>
          <w:sz w:val="22"/>
          <w:szCs w:val="22"/>
        </w:rPr>
        <w:t xml:space="preserve"> The -log10(p) values represent the statistical significance of Levene's test for each imaging feature. Dashed lines indicate significance thresholds: p &lt; 0.05 (orange), less stringent FDR threshold (</w:t>
      </w:r>
      <w:proofErr w:type="spellStart"/>
      <w:r w:rsidRPr="006E59E6">
        <w:rPr>
          <w:rStyle w:val="None"/>
          <w:sz w:val="22"/>
          <w:szCs w:val="22"/>
        </w:rPr>
        <w:t>pID</w:t>
      </w:r>
      <w:proofErr w:type="spellEnd"/>
      <w:r w:rsidRPr="006E59E6">
        <w:rPr>
          <w:rStyle w:val="None"/>
          <w:sz w:val="22"/>
          <w:szCs w:val="22"/>
        </w:rPr>
        <w:t>, green), and more stringent FDR threshold (</w:t>
      </w:r>
      <w:proofErr w:type="spellStart"/>
      <w:r w:rsidRPr="006E59E6">
        <w:rPr>
          <w:rStyle w:val="None"/>
          <w:sz w:val="22"/>
          <w:szCs w:val="22"/>
        </w:rPr>
        <w:t>pN</w:t>
      </w:r>
      <w:proofErr w:type="spellEnd"/>
      <w:r w:rsidRPr="006E59E6">
        <w:rPr>
          <w:rStyle w:val="None"/>
          <w:sz w:val="22"/>
          <w:szCs w:val="22"/>
        </w:rPr>
        <w:t>, purple). Results are shown for resting-state fMRI (</w:t>
      </w:r>
      <w:proofErr w:type="spellStart"/>
      <w:r w:rsidRPr="006E59E6">
        <w:rPr>
          <w:rStyle w:val="None"/>
          <w:sz w:val="22"/>
          <w:szCs w:val="22"/>
        </w:rPr>
        <w:t>rsfMRI</w:t>
      </w:r>
      <w:proofErr w:type="spellEnd"/>
      <w:r w:rsidRPr="006E59E6">
        <w:rPr>
          <w:rStyle w:val="None"/>
          <w:sz w:val="22"/>
          <w:szCs w:val="22"/>
        </w:rPr>
        <w:t xml:space="preserve">), task-based fMRI (Monetary Incentive Delay [MID], </w:t>
      </w:r>
      <w:proofErr w:type="spellStart"/>
      <w:r w:rsidRPr="006E59E6">
        <w:rPr>
          <w:rStyle w:val="None"/>
          <w:sz w:val="22"/>
          <w:szCs w:val="22"/>
        </w:rPr>
        <w:t>nBack</w:t>
      </w:r>
      <w:proofErr w:type="spellEnd"/>
      <w:r w:rsidRPr="006E59E6">
        <w:rPr>
          <w:rStyle w:val="None"/>
          <w:sz w:val="22"/>
          <w:szCs w:val="22"/>
        </w:rPr>
        <w:t>, and Stop-Signal Task [SST]), Diffusion Tensor Imaging (FA), and T1-weighted structural MRI (T1 GM). Positive findings highlight features with greater variance in Black participants compared to White participants.</w:t>
      </w:r>
    </w:p>
    <w:p w14:paraId="28511140" w14:textId="77777777" w:rsidR="00A64D72" w:rsidRDefault="00A64D72" w:rsidP="00A64D72">
      <w:pPr>
        <w:pStyle w:val="Body"/>
        <w:spacing w:line="480" w:lineRule="auto"/>
        <w:rPr>
          <w:rStyle w:val="None"/>
          <w:b/>
          <w:bCs/>
          <w:sz w:val="22"/>
          <w:szCs w:val="22"/>
          <w:u w:val="single"/>
        </w:rPr>
      </w:pPr>
    </w:p>
    <w:p w14:paraId="490F8C08" w14:textId="77777777" w:rsidR="00A64D72" w:rsidRPr="006E59E6" w:rsidRDefault="00A64D72" w:rsidP="00A64D72">
      <w:pPr>
        <w:pStyle w:val="Body"/>
        <w:spacing w:line="480" w:lineRule="auto"/>
        <w:rPr>
          <w:rStyle w:val="None"/>
          <w:sz w:val="22"/>
          <w:szCs w:val="22"/>
        </w:rPr>
      </w:pPr>
      <w:r w:rsidRPr="006E59E6">
        <w:rPr>
          <w:rStyle w:val="None"/>
          <w:noProof/>
          <w:sz w:val="22"/>
          <w:szCs w:val="22"/>
        </w:rPr>
        <w:lastRenderedPageBreak/>
        <w:drawing>
          <wp:inline distT="0" distB="0" distL="0" distR="0" wp14:anchorId="7FDA6F60" wp14:editId="79EFA67D">
            <wp:extent cx="6400800" cy="2654300"/>
            <wp:effectExtent l="0" t="0" r="0" b="0"/>
            <wp:docPr id="1192491095" name="officeArt object" descr="image6.png"/>
            <wp:cNvGraphicFramePr/>
            <a:graphic xmlns:a="http://schemas.openxmlformats.org/drawingml/2006/main">
              <a:graphicData uri="http://schemas.openxmlformats.org/drawingml/2006/picture">
                <pic:pic xmlns:pic="http://schemas.openxmlformats.org/drawingml/2006/picture">
                  <pic:nvPicPr>
                    <pic:cNvPr id="1073741837" name="image6.png" descr="image6.png"/>
                    <pic:cNvPicPr>
                      <a:picLocks noChangeAspect="1"/>
                    </pic:cNvPicPr>
                  </pic:nvPicPr>
                  <pic:blipFill>
                    <a:blip r:embed="rId6"/>
                    <a:stretch>
                      <a:fillRect/>
                    </a:stretch>
                  </pic:blipFill>
                  <pic:spPr>
                    <a:xfrm>
                      <a:off x="0" y="0"/>
                      <a:ext cx="6400800" cy="2654300"/>
                    </a:xfrm>
                    <a:prstGeom prst="rect">
                      <a:avLst/>
                    </a:prstGeom>
                    <a:ln w="12700" cap="flat">
                      <a:noFill/>
                      <a:miter lim="400000"/>
                    </a:ln>
                    <a:effectLst/>
                  </pic:spPr>
                </pic:pic>
              </a:graphicData>
            </a:graphic>
          </wp:inline>
        </w:drawing>
      </w:r>
    </w:p>
    <w:p w14:paraId="436F7A8D" w14:textId="3FD5A69F" w:rsidR="00CE6265" w:rsidRDefault="00A64D72" w:rsidP="00CE6265">
      <w:pPr>
        <w:pStyle w:val="Body"/>
        <w:rPr>
          <w:rStyle w:val="None"/>
          <w:b/>
          <w:bCs/>
          <w:sz w:val="22"/>
          <w:szCs w:val="22"/>
        </w:rPr>
      </w:pPr>
      <w:r w:rsidRPr="006E59E6">
        <w:rPr>
          <w:rStyle w:val="None"/>
          <w:b/>
          <w:bCs/>
          <w:sz w:val="22"/>
          <w:szCs w:val="22"/>
        </w:rPr>
        <w:t xml:space="preserve">Figure </w:t>
      </w:r>
      <w:r w:rsidR="00CE6265">
        <w:rPr>
          <w:rStyle w:val="None"/>
          <w:b/>
          <w:bCs/>
          <w:sz w:val="22"/>
          <w:szCs w:val="22"/>
        </w:rPr>
        <w:t>S3</w:t>
      </w:r>
      <w:r w:rsidRPr="006E59E6">
        <w:rPr>
          <w:rStyle w:val="None"/>
          <w:b/>
          <w:bCs/>
          <w:sz w:val="22"/>
          <w:szCs w:val="22"/>
        </w:rPr>
        <w:t xml:space="preserve">. </w:t>
      </w:r>
      <w:r w:rsidRPr="00EA5594">
        <w:rPr>
          <w:rStyle w:val="None"/>
          <w:b/>
          <w:bCs/>
          <w:sz w:val="22"/>
          <w:szCs w:val="22"/>
        </w:rPr>
        <w:t xml:space="preserve">Regions with higher variance in Black relative to White participants across all four functional modalities. </w:t>
      </w:r>
      <w:r w:rsidRPr="006E59E6">
        <w:rPr>
          <w:rStyle w:val="None"/>
          <w:sz w:val="22"/>
          <w:szCs w:val="22"/>
        </w:rPr>
        <w:t xml:space="preserve">A degree threshold of 10 was set so that each region must contain at least 10 edges exhibiting higher variance in Black participants in all four modalities. The distribution of the regions is plotted in </w:t>
      </w:r>
      <w:r w:rsidRPr="006E59E6">
        <w:rPr>
          <w:rStyle w:val="None"/>
          <w:b/>
          <w:bCs/>
          <w:sz w:val="22"/>
          <w:szCs w:val="22"/>
        </w:rPr>
        <w:t>(</w:t>
      </w:r>
      <w:r w:rsidR="00CE6265">
        <w:rPr>
          <w:rStyle w:val="None"/>
          <w:b/>
          <w:bCs/>
          <w:sz w:val="22"/>
          <w:szCs w:val="22"/>
        </w:rPr>
        <w:t>A</w:t>
      </w:r>
      <w:r w:rsidRPr="006E59E6">
        <w:rPr>
          <w:rStyle w:val="None"/>
          <w:b/>
          <w:bCs/>
          <w:sz w:val="22"/>
          <w:szCs w:val="22"/>
        </w:rPr>
        <w:t>)</w:t>
      </w:r>
      <w:r w:rsidRPr="006E59E6">
        <w:rPr>
          <w:rStyle w:val="None"/>
          <w:sz w:val="22"/>
          <w:szCs w:val="22"/>
        </w:rPr>
        <w:t xml:space="preserve">, and their distribution across networks is shown in </w:t>
      </w:r>
      <w:r w:rsidRPr="006E59E6">
        <w:rPr>
          <w:rStyle w:val="None"/>
          <w:b/>
          <w:bCs/>
          <w:sz w:val="22"/>
          <w:szCs w:val="22"/>
        </w:rPr>
        <w:t>(</w:t>
      </w:r>
      <w:r w:rsidR="00CE6265">
        <w:rPr>
          <w:rStyle w:val="None"/>
          <w:b/>
          <w:bCs/>
          <w:sz w:val="22"/>
          <w:szCs w:val="22"/>
        </w:rPr>
        <w:t>B</w:t>
      </w:r>
      <w:r w:rsidRPr="006E59E6">
        <w:rPr>
          <w:rStyle w:val="None"/>
          <w:b/>
          <w:bCs/>
          <w:sz w:val="22"/>
          <w:szCs w:val="22"/>
        </w:rPr>
        <w:t>)</w:t>
      </w:r>
      <w:r w:rsidRPr="006E59E6">
        <w:rPr>
          <w:rStyle w:val="None"/>
          <w:sz w:val="22"/>
          <w:szCs w:val="22"/>
        </w:rPr>
        <w:t>.</w:t>
      </w:r>
      <w:r w:rsidR="00CE6265">
        <w:rPr>
          <w:rStyle w:val="None"/>
          <w:b/>
          <w:bCs/>
          <w:sz w:val="22"/>
          <w:szCs w:val="22"/>
        </w:rPr>
        <w:br w:type="page"/>
      </w:r>
      <w:r w:rsidR="00CE6265" w:rsidRPr="00CE6265">
        <w:rPr>
          <w:rStyle w:val="None"/>
          <w:b/>
          <w:bCs/>
          <w:noProof/>
          <w:sz w:val="22"/>
          <w:szCs w:val="22"/>
        </w:rPr>
        <w:lastRenderedPageBreak/>
        <w:drawing>
          <wp:inline distT="0" distB="0" distL="0" distR="0" wp14:anchorId="7D0151E1" wp14:editId="2C93F273">
            <wp:extent cx="4893164" cy="7662041"/>
            <wp:effectExtent l="0" t="0" r="0" b="0"/>
            <wp:docPr id="84840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00324" name=""/>
                    <pic:cNvPicPr/>
                  </pic:nvPicPr>
                  <pic:blipFill rotWithShape="1">
                    <a:blip r:embed="rId7"/>
                    <a:srcRect t="1533" b="5361"/>
                    <a:stretch>
                      <a:fillRect/>
                    </a:stretch>
                  </pic:blipFill>
                  <pic:spPr bwMode="auto">
                    <a:xfrm>
                      <a:off x="0" y="0"/>
                      <a:ext cx="4893310" cy="7662269"/>
                    </a:xfrm>
                    <a:prstGeom prst="rect">
                      <a:avLst/>
                    </a:prstGeom>
                    <a:ln>
                      <a:noFill/>
                    </a:ln>
                    <a:extLst>
                      <a:ext uri="{53640926-AAD7-44D8-BBD7-CCE9431645EC}">
                        <a14:shadowObscured xmlns:a14="http://schemas.microsoft.com/office/drawing/2010/main"/>
                      </a:ext>
                    </a:extLst>
                  </pic:spPr>
                </pic:pic>
              </a:graphicData>
            </a:graphic>
          </wp:inline>
        </w:drawing>
      </w:r>
    </w:p>
    <w:p w14:paraId="1DBA6DB6" w14:textId="435EC4F6" w:rsidR="00CE6265" w:rsidRDefault="00CE6265">
      <w:pPr>
        <w:spacing w:after="160" w:line="278" w:lineRule="auto"/>
        <w:rPr>
          <w:rStyle w:val="None"/>
          <w:rFonts w:eastAsia="Arial Unicode MS" w:cs="Arial Unicode MS"/>
          <w:b/>
          <w:bCs/>
          <w:color w:val="000000"/>
          <w:sz w:val="22"/>
          <w:szCs w:val="22"/>
          <w:u w:color="000000"/>
          <w:bdr w:val="nil"/>
          <w14:textOutline w14:w="0" w14:cap="flat" w14:cmpd="sng" w14:algn="ctr">
            <w14:noFill/>
            <w14:prstDash w14:val="solid"/>
            <w14:bevel/>
          </w14:textOutline>
        </w:rPr>
      </w:pPr>
      <w:r w:rsidRPr="006E59E6">
        <w:rPr>
          <w:rStyle w:val="None"/>
          <w:b/>
          <w:bCs/>
          <w:sz w:val="22"/>
          <w:szCs w:val="22"/>
        </w:rPr>
        <w:t xml:space="preserve">Figure </w:t>
      </w:r>
      <w:r>
        <w:rPr>
          <w:rStyle w:val="None"/>
          <w:b/>
          <w:bCs/>
          <w:sz w:val="22"/>
          <w:szCs w:val="22"/>
        </w:rPr>
        <w:t>S4</w:t>
      </w:r>
      <w:r w:rsidRPr="006E59E6">
        <w:rPr>
          <w:rStyle w:val="None"/>
          <w:b/>
          <w:bCs/>
          <w:sz w:val="22"/>
          <w:szCs w:val="22"/>
        </w:rPr>
        <w:t xml:space="preserve">. </w:t>
      </w:r>
      <w:r w:rsidRPr="001B5DDF">
        <w:rPr>
          <w:rStyle w:val="None"/>
          <w:b/>
          <w:bCs/>
          <w:sz w:val="22"/>
          <w:szCs w:val="22"/>
        </w:rPr>
        <w:t>Variance differences in predicted values by race.</w:t>
      </w:r>
      <w:r w:rsidRPr="001B5DDF">
        <w:rPr>
          <w:rStyle w:val="None"/>
          <w:i/>
          <w:iCs/>
          <w:sz w:val="22"/>
          <w:szCs w:val="22"/>
        </w:rPr>
        <w:t xml:space="preserve"> </w:t>
      </w:r>
      <w:r w:rsidRPr="001B5DDF">
        <w:rPr>
          <w:rStyle w:val="None"/>
          <w:sz w:val="22"/>
          <w:szCs w:val="22"/>
        </w:rPr>
        <w:t>The figure presents results for predictive models with at least modest (</w:t>
      </w:r>
      <w:r w:rsidRPr="001B5DDF">
        <w:rPr>
          <w:rStyle w:val="None"/>
          <w:i/>
          <w:iCs/>
          <w:sz w:val="22"/>
          <w:szCs w:val="22"/>
        </w:rPr>
        <w:t>r</w:t>
      </w:r>
      <w:r w:rsidRPr="001B5DDF">
        <w:rPr>
          <w:rStyle w:val="None"/>
          <w:sz w:val="22"/>
          <w:szCs w:val="22"/>
        </w:rPr>
        <w:t>&gt;0.1) and significant (p&lt;0.0</w:t>
      </w:r>
      <w:r>
        <w:rPr>
          <w:rStyle w:val="None"/>
          <w:sz w:val="22"/>
          <w:szCs w:val="22"/>
        </w:rPr>
        <w:t>5</w:t>
      </w:r>
      <w:r w:rsidRPr="001B5DDF">
        <w:rPr>
          <w:rStyle w:val="None"/>
          <w:sz w:val="22"/>
          <w:szCs w:val="22"/>
        </w:rPr>
        <w:t>) predictions</w:t>
      </w:r>
      <w:r>
        <w:rPr>
          <w:rStyle w:val="None"/>
          <w:sz w:val="22"/>
          <w:szCs w:val="22"/>
        </w:rPr>
        <w:t xml:space="preserve"> from </w:t>
      </w:r>
      <w:r w:rsidRPr="00CE6265">
        <w:rPr>
          <w:rStyle w:val="None"/>
          <w:b/>
          <w:bCs/>
          <w:sz w:val="22"/>
          <w:szCs w:val="22"/>
        </w:rPr>
        <w:t>A)</w:t>
      </w:r>
      <w:r w:rsidR="0008384F" w:rsidRPr="0008384F">
        <w:rPr>
          <w:rStyle w:val="Heading4Char"/>
          <w:sz w:val="22"/>
          <w:szCs w:val="22"/>
        </w:rPr>
        <w:t xml:space="preserve"> </w:t>
      </w:r>
      <w:r w:rsidR="0008384F">
        <w:rPr>
          <w:rStyle w:val="None"/>
          <w:sz w:val="22"/>
          <w:szCs w:val="22"/>
        </w:rPr>
        <w:t>artificial neural network (ANN),</w:t>
      </w:r>
      <w:r>
        <w:rPr>
          <w:rStyle w:val="None"/>
          <w:b/>
          <w:bCs/>
          <w:sz w:val="22"/>
          <w:szCs w:val="22"/>
        </w:rPr>
        <w:t xml:space="preserve"> </w:t>
      </w:r>
      <w:r w:rsidR="0008384F">
        <w:rPr>
          <w:rStyle w:val="None"/>
          <w:b/>
          <w:bCs/>
          <w:sz w:val="22"/>
          <w:szCs w:val="22"/>
        </w:rPr>
        <w:t>B</w:t>
      </w:r>
      <w:r w:rsidRPr="00CE6265">
        <w:rPr>
          <w:rStyle w:val="None"/>
          <w:b/>
          <w:bCs/>
          <w:sz w:val="22"/>
          <w:szCs w:val="22"/>
        </w:rPr>
        <w:t>)</w:t>
      </w:r>
      <w:r w:rsidR="0008384F">
        <w:rPr>
          <w:rStyle w:val="None"/>
          <w:b/>
          <w:bCs/>
          <w:sz w:val="22"/>
          <w:szCs w:val="22"/>
        </w:rPr>
        <w:t xml:space="preserve"> </w:t>
      </w:r>
      <w:r w:rsidR="0008384F" w:rsidRPr="0008384F">
        <w:rPr>
          <w:rStyle w:val="None"/>
          <w:sz w:val="22"/>
          <w:szCs w:val="22"/>
        </w:rPr>
        <w:t>kernel ridge regression</w:t>
      </w:r>
      <w:r w:rsidR="0008384F">
        <w:rPr>
          <w:rStyle w:val="None"/>
          <w:sz w:val="22"/>
          <w:szCs w:val="22"/>
        </w:rPr>
        <w:t xml:space="preserve"> (KRR)</w:t>
      </w:r>
      <w:r w:rsidRPr="00CE6265">
        <w:rPr>
          <w:rStyle w:val="None"/>
          <w:sz w:val="22"/>
          <w:szCs w:val="22"/>
        </w:rPr>
        <w:t xml:space="preserve">, and </w:t>
      </w:r>
      <w:r w:rsidR="0008384F">
        <w:rPr>
          <w:rStyle w:val="None"/>
          <w:b/>
          <w:bCs/>
          <w:sz w:val="22"/>
          <w:szCs w:val="22"/>
        </w:rPr>
        <w:t>C</w:t>
      </w:r>
      <w:r w:rsidRPr="00CE6265">
        <w:rPr>
          <w:rStyle w:val="None"/>
          <w:b/>
          <w:bCs/>
          <w:sz w:val="22"/>
          <w:szCs w:val="22"/>
        </w:rPr>
        <w:t>)</w:t>
      </w:r>
      <w:r w:rsidRPr="001B5DDF">
        <w:rPr>
          <w:rStyle w:val="None"/>
          <w:sz w:val="22"/>
          <w:szCs w:val="22"/>
        </w:rPr>
        <w:t xml:space="preserve"> </w:t>
      </w:r>
      <w:r w:rsidR="0008384F">
        <w:rPr>
          <w:rStyle w:val="None"/>
          <w:sz w:val="22"/>
          <w:szCs w:val="22"/>
        </w:rPr>
        <w:t>random forest regression (RFR)</w:t>
      </w:r>
      <w:r>
        <w:rPr>
          <w:rStyle w:val="None"/>
          <w:sz w:val="22"/>
          <w:szCs w:val="22"/>
        </w:rPr>
        <w:t>.</w:t>
      </w:r>
      <w:r w:rsidR="0008384F">
        <w:rPr>
          <w:rStyle w:val="None"/>
          <w:sz w:val="22"/>
          <w:szCs w:val="22"/>
        </w:rPr>
        <w:t xml:space="preserve"> </w:t>
      </w:r>
      <w:r>
        <w:rPr>
          <w:rStyle w:val="None"/>
          <w:sz w:val="22"/>
          <w:szCs w:val="22"/>
        </w:rPr>
        <w:t>In the left violin plot</w:t>
      </w:r>
      <w:r w:rsidRPr="001B5DDF">
        <w:rPr>
          <w:rStyle w:val="None"/>
          <w:sz w:val="22"/>
          <w:szCs w:val="22"/>
        </w:rPr>
        <w:t xml:space="preserve">, </w:t>
      </w:r>
      <w:r w:rsidRPr="001B5DDF">
        <w:rPr>
          <w:rStyle w:val="None"/>
          <w:sz w:val="22"/>
          <w:szCs w:val="22"/>
        </w:rPr>
        <w:lastRenderedPageBreak/>
        <w:t>the observed variance difference (variance in predicted values of Black participants minus variance in predicted values of White participants) is shown</w:t>
      </w:r>
      <w:r>
        <w:rPr>
          <w:rStyle w:val="None"/>
          <w:sz w:val="22"/>
          <w:szCs w:val="22"/>
        </w:rPr>
        <w:t>, colored by median variance difference</w:t>
      </w:r>
      <w:r w:rsidRPr="001B5DDF">
        <w:rPr>
          <w:rStyle w:val="None"/>
          <w:sz w:val="22"/>
          <w:szCs w:val="22"/>
        </w:rPr>
        <w:t xml:space="preserve">. </w:t>
      </w:r>
      <w:r>
        <w:rPr>
          <w:rStyle w:val="None"/>
          <w:sz w:val="22"/>
          <w:szCs w:val="22"/>
        </w:rPr>
        <w:t>In the right violin plot</w:t>
      </w:r>
      <w:r w:rsidRPr="001B5DDF">
        <w:rPr>
          <w:rStyle w:val="None"/>
          <w:sz w:val="22"/>
          <w:szCs w:val="22"/>
        </w:rPr>
        <w:t>, the null distribution of variance differences resulting from 1000 permutations shuffling the race is shown.</w:t>
      </w:r>
      <w:r w:rsidRPr="001B5DDF">
        <w:rPr>
          <w:rStyle w:val="None"/>
          <w:i/>
          <w:iCs/>
          <w:sz w:val="22"/>
          <w:szCs w:val="22"/>
        </w:rPr>
        <w:t xml:space="preserve"> </w:t>
      </w:r>
      <w:r w:rsidRPr="001B5DDF">
        <w:rPr>
          <w:rStyle w:val="Hyperlink3"/>
          <w:sz w:val="22"/>
          <w:szCs w:val="22"/>
        </w:rPr>
        <w:t>*p&lt;0.05. **FDR-significant</w:t>
      </w:r>
      <w:r>
        <w:rPr>
          <w:rStyle w:val="Hyperlink3"/>
          <w:sz w:val="22"/>
          <w:szCs w:val="22"/>
        </w:rPr>
        <w:t>.</w:t>
      </w:r>
    </w:p>
    <w:p w14:paraId="04D2BAD3" w14:textId="77777777" w:rsidR="00CE6265" w:rsidRDefault="00CE6265" w:rsidP="00A64D72">
      <w:pPr>
        <w:pStyle w:val="Body"/>
        <w:spacing w:line="480" w:lineRule="auto"/>
        <w:jc w:val="center"/>
        <w:rPr>
          <w:rStyle w:val="None"/>
          <w:b/>
          <w:bCs/>
          <w:sz w:val="22"/>
          <w:szCs w:val="22"/>
        </w:rPr>
      </w:pPr>
      <w:r>
        <w:rPr>
          <w:rStyle w:val="None"/>
          <w:b/>
          <w:bCs/>
          <w:sz w:val="22"/>
          <w:szCs w:val="22"/>
        </w:rPr>
        <w:br w:type="page"/>
      </w:r>
    </w:p>
    <w:p w14:paraId="26BD5A7A" w14:textId="09D031CD" w:rsidR="00A64D72" w:rsidRDefault="00A64D72" w:rsidP="00A64D72">
      <w:pPr>
        <w:pStyle w:val="Body"/>
        <w:spacing w:line="480" w:lineRule="auto"/>
        <w:jc w:val="center"/>
        <w:rPr>
          <w:rStyle w:val="None"/>
          <w:b/>
          <w:bCs/>
          <w:sz w:val="22"/>
          <w:szCs w:val="22"/>
        </w:rPr>
      </w:pPr>
    </w:p>
    <w:p w14:paraId="7B1F7AE7" w14:textId="2F0DFB1E" w:rsidR="00951CF0" w:rsidRPr="006E59E6" w:rsidRDefault="008F6B4D" w:rsidP="00A64D72">
      <w:pPr>
        <w:pStyle w:val="Body"/>
        <w:spacing w:line="480" w:lineRule="auto"/>
        <w:jc w:val="center"/>
        <w:rPr>
          <w:rStyle w:val="None"/>
          <w:b/>
          <w:bCs/>
          <w:sz w:val="22"/>
          <w:szCs w:val="22"/>
        </w:rPr>
      </w:pPr>
      <w:r w:rsidRPr="008F6B4D">
        <w:rPr>
          <w:b/>
          <w:bCs/>
          <w:noProof/>
          <w:sz w:val="22"/>
          <w:szCs w:val="22"/>
        </w:rPr>
        <w:drawing>
          <wp:inline distT="0" distB="0" distL="0" distR="0" wp14:anchorId="46677DC6" wp14:editId="37ACCC23">
            <wp:extent cx="5943600" cy="2268855"/>
            <wp:effectExtent l="0" t="0" r="0" b="4445"/>
            <wp:docPr id="17" name="Picture 16">
              <a:extLst xmlns:a="http://schemas.openxmlformats.org/drawingml/2006/main">
                <a:ext uri="{FF2B5EF4-FFF2-40B4-BE49-F238E27FC236}">
                  <a16:creationId xmlns:a16="http://schemas.microsoft.com/office/drawing/2014/main" id="{F1BD9CEE-9EFA-43C3-40E3-51AC64F6A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1BD9CEE-9EFA-43C3-40E3-51AC64F6AD92}"/>
                        </a:ext>
                      </a:extLst>
                    </pic:cNvPr>
                    <pic:cNvPicPr>
                      <a:picLocks noChangeAspect="1"/>
                    </pic:cNvPicPr>
                  </pic:nvPicPr>
                  <pic:blipFill>
                    <a:blip r:embed="rId8"/>
                    <a:stretch>
                      <a:fillRect/>
                    </a:stretch>
                  </pic:blipFill>
                  <pic:spPr>
                    <a:xfrm>
                      <a:off x="0" y="0"/>
                      <a:ext cx="5943600" cy="2268855"/>
                    </a:xfrm>
                    <a:prstGeom prst="rect">
                      <a:avLst/>
                    </a:prstGeom>
                  </pic:spPr>
                </pic:pic>
              </a:graphicData>
            </a:graphic>
          </wp:inline>
        </w:drawing>
      </w:r>
    </w:p>
    <w:p w14:paraId="4944B956" w14:textId="13132F23" w:rsidR="00A64D72" w:rsidRPr="006E59E6" w:rsidRDefault="00A64D72" w:rsidP="00951CF0">
      <w:pPr>
        <w:pStyle w:val="Body"/>
        <w:rPr>
          <w:rStyle w:val="None"/>
          <w:sz w:val="22"/>
          <w:szCs w:val="22"/>
        </w:rPr>
      </w:pPr>
      <w:r w:rsidRPr="006E59E6">
        <w:rPr>
          <w:rStyle w:val="None"/>
          <w:b/>
          <w:bCs/>
          <w:sz w:val="22"/>
          <w:szCs w:val="22"/>
        </w:rPr>
        <w:t xml:space="preserve">Figure </w:t>
      </w:r>
      <w:r w:rsidR="00CE6265">
        <w:rPr>
          <w:rStyle w:val="None"/>
          <w:b/>
          <w:bCs/>
          <w:sz w:val="22"/>
          <w:szCs w:val="22"/>
        </w:rPr>
        <w:t>S</w:t>
      </w:r>
      <w:r w:rsidR="00487FBB">
        <w:rPr>
          <w:rStyle w:val="None"/>
          <w:b/>
          <w:bCs/>
          <w:sz w:val="22"/>
          <w:szCs w:val="22"/>
        </w:rPr>
        <w:t>5</w:t>
      </w:r>
      <w:r w:rsidRPr="006E59E6">
        <w:rPr>
          <w:rStyle w:val="None"/>
          <w:b/>
          <w:bCs/>
          <w:sz w:val="22"/>
          <w:szCs w:val="22"/>
        </w:rPr>
        <w:t>.</w:t>
      </w:r>
      <w:r w:rsidRPr="006E59E6">
        <w:rPr>
          <w:rStyle w:val="None"/>
          <w:sz w:val="22"/>
          <w:szCs w:val="22"/>
        </w:rPr>
        <w:t xml:space="preserve"> </w:t>
      </w:r>
      <w:r w:rsidR="00F063B0">
        <w:rPr>
          <w:rStyle w:val="None"/>
          <w:b/>
          <w:bCs/>
          <w:sz w:val="22"/>
          <w:szCs w:val="22"/>
        </w:rPr>
        <w:t xml:space="preserve">Simulation of heteroscedasticity. </w:t>
      </w:r>
      <w:r w:rsidR="00951CF0">
        <w:rPr>
          <w:rStyle w:val="None"/>
          <w:sz w:val="22"/>
          <w:szCs w:val="22"/>
        </w:rPr>
        <w:t xml:space="preserve"> </w:t>
      </w:r>
      <w:r w:rsidR="00951CF0" w:rsidRPr="00951CF0">
        <w:rPr>
          <w:rStyle w:val="None"/>
          <w:sz w:val="22"/>
          <w:szCs w:val="22"/>
        </w:rPr>
        <w:t>Mean squared error ratio increases with increasing</w:t>
      </w:r>
      <w:r w:rsidR="00951CF0">
        <w:rPr>
          <w:rStyle w:val="None"/>
          <w:sz w:val="22"/>
          <w:szCs w:val="22"/>
        </w:rPr>
        <w:t xml:space="preserve"> </w:t>
      </w:r>
      <w:r w:rsidR="00951CF0" w:rsidRPr="00951CF0">
        <w:rPr>
          <w:rStyle w:val="None"/>
          <w:sz w:val="22"/>
          <w:szCs w:val="22"/>
        </w:rPr>
        <w:t xml:space="preserve">outcome variable (Y) variance </w:t>
      </w:r>
      <w:r w:rsidR="005C6E5A" w:rsidRPr="00951CF0">
        <w:rPr>
          <w:rStyle w:val="None"/>
          <w:sz w:val="22"/>
          <w:szCs w:val="22"/>
        </w:rPr>
        <w:t>ratio but</w:t>
      </w:r>
      <w:r w:rsidR="00951CF0" w:rsidRPr="00951CF0">
        <w:rPr>
          <w:rStyle w:val="None"/>
          <w:sz w:val="22"/>
          <w:szCs w:val="22"/>
        </w:rPr>
        <w:t xml:space="preserve"> decreases with increasing predictor variable (X)</w:t>
      </w:r>
      <w:r w:rsidR="00951CF0">
        <w:rPr>
          <w:rStyle w:val="None"/>
          <w:sz w:val="22"/>
          <w:szCs w:val="22"/>
        </w:rPr>
        <w:t xml:space="preserve"> </w:t>
      </w:r>
      <w:r w:rsidR="00951CF0" w:rsidRPr="00951CF0">
        <w:rPr>
          <w:rStyle w:val="None"/>
          <w:sz w:val="22"/>
          <w:szCs w:val="22"/>
        </w:rPr>
        <w:t xml:space="preserve">variance ratio. </w:t>
      </w:r>
      <w:r w:rsidR="009E5A12">
        <w:rPr>
          <w:rStyle w:val="None"/>
          <w:sz w:val="22"/>
          <w:szCs w:val="22"/>
        </w:rPr>
        <w:t>Conversely, correlation</w:t>
      </w:r>
      <w:r w:rsidR="009E5A12" w:rsidRPr="00951CF0">
        <w:rPr>
          <w:rStyle w:val="None"/>
          <w:sz w:val="22"/>
          <w:szCs w:val="22"/>
        </w:rPr>
        <w:t xml:space="preserve"> ratio increases with increasing</w:t>
      </w:r>
      <w:r w:rsidR="009E5A12">
        <w:rPr>
          <w:rStyle w:val="None"/>
          <w:sz w:val="22"/>
          <w:szCs w:val="22"/>
        </w:rPr>
        <w:t xml:space="preserve"> </w:t>
      </w:r>
      <w:r w:rsidR="009E5A12" w:rsidRPr="00951CF0">
        <w:rPr>
          <w:rStyle w:val="None"/>
          <w:sz w:val="22"/>
          <w:szCs w:val="22"/>
        </w:rPr>
        <w:t>outcome variable (</w:t>
      </w:r>
      <w:r w:rsidR="009E5A12">
        <w:rPr>
          <w:rStyle w:val="None"/>
          <w:sz w:val="22"/>
          <w:szCs w:val="22"/>
        </w:rPr>
        <w:t>X</w:t>
      </w:r>
      <w:r w:rsidR="009E5A12" w:rsidRPr="00951CF0">
        <w:rPr>
          <w:rStyle w:val="None"/>
          <w:sz w:val="22"/>
          <w:szCs w:val="22"/>
        </w:rPr>
        <w:t xml:space="preserve">) variance </w:t>
      </w:r>
      <w:r w:rsidR="005C6E5A" w:rsidRPr="00951CF0">
        <w:rPr>
          <w:rStyle w:val="None"/>
          <w:sz w:val="22"/>
          <w:szCs w:val="22"/>
        </w:rPr>
        <w:t>ratio but</w:t>
      </w:r>
      <w:r w:rsidR="009E5A12" w:rsidRPr="00951CF0">
        <w:rPr>
          <w:rStyle w:val="None"/>
          <w:sz w:val="22"/>
          <w:szCs w:val="22"/>
        </w:rPr>
        <w:t xml:space="preserve"> decreases with increasing predictor variable (</w:t>
      </w:r>
      <w:r w:rsidR="009E5A12">
        <w:rPr>
          <w:rStyle w:val="None"/>
          <w:sz w:val="22"/>
          <w:szCs w:val="22"/>
        </w:rPr>
        <w:t>Y</w:t>
      </w:r>
      <w:r w:rsidR="009E5A12" w:rsidRPr="00951CF0">
        <w:rPr>
          <w:rStyle w:val="None"/>
          <w:sz w:val="22"/>
          <w:szCs w:val="22"/>
        </w:rPr>
        <w:t>)</w:t>
      </w:r>
      <w:r w:rsidR="009E5A12">
        <w:rPr>
          <w:rStyle w:val="None"/>
          <w:sz w:val="22"/>
          <w:szCs w:val="22"/>
        </w:rPr>
        <w:t xml:space="preserve"> </w:t>
      </w:r>
      <w:r w:rsidR="009E5A12" w:rsidRPr="00951CF0">
        <w:rPr>
          <w:rStyle w:val="None"/>
          <w:sz w:val="22"/>
          <w:szCs w:val="22"/>
        </w:rPr>
        <w:t>variance ratio.</w:t>
      </w:r>
      <w:r w:rsidR="009E5A12">
        <w:rPr>
          <w:rStyle w:val="None"/>
          <w:sz w:val="22"/>
          <w:szCs w:val="22"/>
        </w:rPr>
        <w:t xml:space="preserve"> X variance appears to have a greater effect on correlation than MSE. </w:t>
      </w:r>
      <w:r w:rsidR="005C6E5A">
        <w:rPr>
          <w:rStyle w:val="None"/>
          <w:sz w:val="22"/>
          <w:szCs w:val="22"/>
        </w:rPr>
        <w:t>Whereas</w:t>
      </w:r>
      <w:r w:rsidR="009E5A12">
        <w:rPr>
          <w:rStyle w:val="None"/>
          <w:sz w:val="22"/>
          <w:szCs w:val="22"/>
        </w:rPr>
        <w:t xml:space="preserve"> Y variance impacts both performance measures similarly. </w:t>
      </w:r>
      <w:r w:rsidR="00951CF0" w:rsidRPr="00951CF0">
        <w:rPr>
          <w:rStyle w:val="None"/>
          <w:sz w:val="22"/>
          <w:szCs w:val="22"/>
        </w:rPr>
        <w:t>X and Y data for group 1 were generated with their variance held</w:t>
      </w:r>
      <w:r w:rsidR="00951CF0">
        <w:rPr>
          <w:rStyle w:val="None"/>
          <w:sz w:val="22"/>
          <w:szCs w:val="22"/>
        </w:rPr>
        <w:t xml:space="preserve"> </w:t>
      </w:r>
      <w:r w:rsidR="00951CF0" w:rsidRPr="00951CF0">
        <w:rPr>
          <w:rStyle w:val="None"/>
          <w:sz w:val="22"/>
          <w:szCs w:val="22"/>
        </w:rPr>
        <w:t>constant in each iteration of the simulation. The variances for X and Y in group 2 were</w:t>
      </w:r>
      <w:r w:rsidR="00951CF0">
        <w:rPr>
          <w:rStyle w:val="None"/>
          <w:sz w:val="22"/>
          <w:szCs w:val="22"/>
        </w:rPr>
        <w:t xml:space="preserve"> </w:t>
      </w:r>
      <w:r w:rsidR="00951CF0" w:rsidRPr="00951CF0">
        <w:rPr>
          <w:rStyle w:val="None"/>
          <w:sz w:val="22"/>
          <w:szCs w:val="22"/>
        </w:rPr>
        <w:t>set to 1x (no difference), 1.1x (small difference), 1.5x (medium difference), and 2x (large</w:t>
      </w:r>
      <w:r w:rsidR="00951CF0">
        <w:rPr>
          <w:rStyle w:val="None"/>
          <w:sz w:val="22"/>
          <w:szCs w:val="22"/>
        </w:rPr>
        <w:t xml:space="preserve"> </w:t>
      </w:r>
      <w:r w:rsidR="00951CF0" w:rsidRPr="00951CF0">
        <w:rPr>
          <w:rStyle w:val="None"/>
          <w:sz w:val="22"/>
          <w:szCs w:val="22"/>
        </w:rPr>
        <w:t>difference) compared to their respective variances in group 1. For each possible pair of</w:t>
      </w:r>
      <w:r w:rsidR="00951CF0">
        <w:rPr>
          <w:rStyle w:val="None"/>
          <w:sz w:val="22"/>
          <w:szCs w:val="22"/>
        </w:rPr>
        <w:t xml:space="preserve"> </w:t>
      </w:r>
      <w:r w:rsidR="00951CF0" w:rsidRPr="00951CF0">
        <w:rPr>
          <w:rStyle w:val="None"/>
          <w:sz w:val="22"/>
          <w:szCs w:val="22"/>
        </w:rPr>
        <w:t>X and Y variances in group 2, 100 iterations of the simulation were performed in which</w:t>
      </w:r>
      <w:r w:rsidR="00951CF0">
        <w:rPr>
          <w:rStyle w:val="None"/>
          <w:sz w:val="22"/>
          <w:szCs w:val="22"/>
        </w:rPr>
        <w:t xml:space="preserve"> </w:t>
      </w:r>
      <w:r w:rsidR="00951CF0" w:rsidRPr="00951CF0">
        <w:rPr>
          <w:rStyle w:val="None"/>
          <w:sz w:val="22"/>
          <w:szCs w:val="22"/>
        </w:rPr>
        <w:t>unique data was generated for both groups. The relationship between X and Y was the</w:t>
      </w:r>
      <w:r w:rsidR="00951CF0">
        <w:rPr>
          <w:rStyle w:val="None"/>
          <w:sz w:val="22"/>
          <w:szCs w:val="22"/>
        </w:rPr>
        <w:t xml:space="preserve"> </w:t>
      </w:r>
      <w:r w:rsidR="00951CF0" w:rsidRPr="00951CF0">
        <w:rPr>
          <w:rStyle w:val="None"/>
          <w:sz w:val="22"/>
          <w:szCs w:val="22"/>
        </w:rPr>
        <w:t>same for both groups. Each bar indicates the average log of the MSE</w:t>
      </w:r>
      <w:r w:rsidR="005C6E5A">
        <w:rPr>
          <w:rStyle w:val="None"/>
          <w:sz w:val="22"/>
          <w:szCs w:val="22"/>
        </w:rPr>
        <w:t xml:space="preserve"> (or correlation)</w:t>
      </w:r>
      <w:r w:rsidR="00951CF0" w:rsidRPr="00951CF0">
        <w:rPr>
          <w:rStyle w:val="None"/>
          <w:sz w:val="22"/>
          <w:szCs w:val="22"/>
        </w:rPr>
        <w:t xml:space="preserve"> ratio between</w:t>
      </w:r>
      <w:r w:rsidR="00951CF0">
        <w:rPr>
          <w:rStyle w:val="None"/>
          <w:sz w:val="22"/>
          <w:szCs w:val="22"/>
        </w:rPr>
        <w:t xml:space="preserve"> </w:t>
      </w:r>
      <w:r w:rsidR="00951CF0" w:rsidRPr="00951CF0">
        <w:rPr>
          <w:rStyle w:val="None"/>
          <w:sz w:val="22"/>
          <w:szCs w:val="22"/>
        </w:rPr>
        <w:t>group 2 and group 1 for a given pair of X and Y variances for group 2.</w:t>
      </w:r>
      <w:r w:rsidR="00951CF0">
        <w:rPr>
          <w:rStyle w:val="None"/>
          <w:sz w:val="22"/>
          <w:szCs w:val="22"/>
        </w:rPr>
        <w:t xml:space="preserve"> </w:t>
      </w:r>
      <w:r w:rsidR="00951CF0" w:rsidRPr="00951CF0">
        <w:rPr>
          <w:rStyle w:val="None"/>
          <w:sz w:val="22"/>
          <w:szCs w:val="22"/>
        </w:rPr>
        <w:t>Error bars</w:t>
      </w:r>
      <w:r w:rsidR="00951CF0">
        <w:rPr>
          <w:rStyle w:val="None"/>
          <w:sz w:val="22"/>
          <w:szCs w:val="22"/>
        </w:rPr>
        <w:t xml:space="preserve"> </w:t>
      </w:r>
      <w:r w:rsidR="00951CF0" w:rsidRPr="00951CF0">
        <w:rPr>
          <w:rStyle w:val="None"/>
          <w:sz w:val="22"/>
          <w:szCs w:val="22"/>
        </w:rPr>
        <w:t>indicate one standard deviation</w:t>
      </w:r>
    </w:p>
    <w:p w14:paraId="6C86E8DD" w14:textId="5D90AFEF" w:rsidR="00BB4E28" w:rsidRDefault="00BB4E28" w:rsidP="00A64D72">
      <w:pPr>
        <w:pStyle w:val="Body"/>
        <w:spacing w:line="480" w:lineRule="auto"/>
        <w:rPr>
          <w:rStyle w:val="Hyperlink3"/>
          <w:sz w:val="22"/>
          <w:szCs w:val="22"/>
        </w:rPr>
      </w:pPr>
      <w:r>
        <w:rPr>
          <w:rStyle w:val="Hyperlink3"/>
          <w:sz w:val="22"/>
          <w:szCs w:val="22"/>
        </w:rPr>
        <w:br w:type="page"/>
      </w:r>
    </w:p>
    <w:p w14:paraId="12BA49CE" w14:textId="77777777" w:rsidR="00A64D72" w:rsidRPr="006E59E6" w:rsidRDefault="00A64D72" w:rsidP="00A64D72">
      <w:pPr>
        <w:pStyle w:val="Body"/>
        <w:spacing w:line="480" w:lineRule="auto"/>
        <w:rPr>
          <w:rStyle w:val="Hyperlink3"/>
          <w:sz w:val="22"/>
          <w:szCs w:val="22"/>
        </w:rPr>
      </w:pPr>
    </w:p>
    <w:tbl>
      <w:tblPr>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581"/>
        <w:gridCol w:w="5499"/>
      </w:tblGrid>
      <w:tr w:rsidR="00A64D72" w:rsidRPr="006E59E6" w14:paraId="4F97B4F1" w14:textId="77777777" w:rsidTr="00536943">
        <w:trPr>
          <w:trHeight w:val="2792"/>
        </w:trPr>
        <w:tc>
          <w:tcPr>
            <w:tcW w:w="4581" w:type="dxa"/>
            <w:tcBorders>
              <w:top w:val="nil"/>
              <w:left w:val="nil"/>
              <w:bottom w:val="nil"/>
              <w:right w:val="nil"/>
            </w:tcBorders>
            <w:tcMar>
              <w:top w:w="80" w:type="dxa"/>
              <w:left w:w="80" w:type="dxa"/>
              <w:bottom w:w="80" w:type="dxa"/>
              <w:right w:w="80" w:type="dxa"/>
            </w:tcMar>
          </w:tcPr>
          <w:p w14:paraId="0EA05136" w14:textId="77777777" w:rsidR="00A64D72" w:rsidRPr="006E59E6" w:rsidRDefault="00A64D72" w:rsidP="00536943">
            <w:pPr>
              <w:pStyle w:val="Body"/>
              <w:spacing w:line="480" w:lineRule="auto"/>
            </w:pPr>
            <w:r w:rsidRPr="006E59E6">
              <w:rPr>
                <w:rStyle w:val="None"/>
                <w:noProof/>
                <w:sz w:val="22"/>
                <w:szCs w:val="22"/>
              </w:rPr>
              <w:drawing>
                <wp:inline distT="0" distB="0" distL="0" distR="0" wp14:anchorId="20882331" wp14:editId="21BAD084">
                  <wp:extent cx="2789042" cy="1369814"/>
                  <wp:effectExtent l="0" t="0" r="0" b="0"/>
                  <wp:docPr id="838786738" name="officeArt object" descr="image1.png"/>
                  <wp:cNvGraphicFramePr/>
                  <a:graphic xmlns:a="http://schemas.openxmlformats.org/drawingml/2006/main">
                    <a:graphicData uri="http://schemas.openxmlformats.org/drawingml/2006/picture">
                      <pic:pic xmlns:pic="http://schemas.openxmlformats.org/drawingml/2006/picture">
                        <pic:nvPicPr>
                          <pic:cNvPr id="1073741847" name="image1.png" descr="image1.png"/>
                          <pic:cNvPicPr>
                            <a:picLocks noChangeAspect="1"/>
                          </pic:cNvPicPr>
                        </pic:nvPicPr>
                        <pic:blipFill>
                          <a:blip r:embed="rId9"/>
                          <a:stretch>
                            <a:fillRect/>
                          </a:stretch>
                        </pic:blipFill>
                        <pic:spPr>
                          <a:xfrm>
                            <a:off x="0" y="0"/>
                            <a:ext cx="2789042" cy="1369814"/>
                          </a:xfrm>
                          <a:prstGeom prst="rect">
                            <a:avLst/>
                          </a:prstGeom>
                          <a:ln w="12700" cap="flat">
                            <a:noFill/>
                            <a:miter lim="400000"/>
                          </a:ln>
                          <a:effectLst/>
                        </pic:spPr>
                      </pic:pic>
                    </a:graphicData>
                  </a:graphic>
                </wp:inline>
              </w:drawing>
            </w:r>
          </w:p>
        </w:tc>
        <w:tc>
          <w:tcPr>
            <w:tcW w:w="5499" w:type="dxa"/>
            <w:tcBorders>
              <w:top w:val="nil"/>
              <w:left w:val="nil"/>
              <w:bottom w:val="nil"/>
              <w:right w:val="nil"/>
            </w:tcBorders>
            <w:tcMar>
              <w:top w:w="80" w:type="dxa"/>
              <w:left w:w="80" w:type="dxa"/>
              <w:bottom w:w="80" w:type="dxa"/>
              <w:right w:w="80" w:type="dxa"/>
            </w:tcMar>
          </w:tcPr>
          <w:p w14:paraId="37583FE3" w14:textId="77777777" w:rsidR="00A64D72" w:rsidRPr="006E59E6" w:rsidRDefault="00A64D72" w:rsidP="00536943">
            <w:pPr>
              <w:pStyle w:val="Body"/>
              <w:spacing w:line="480" w:lineRule="auto"/>
            </w:pPr>
            <w:r w:rsidRPr="006E59E6">
              <w:rPr>
                <w:rStyle w:val="None"/>
                <w:noProof/>
                <w:sz w:val="22"/>
                <w:szCs w:val="22"/>
              </w:rPr>
              <w:drawing>
                <wp:inline distT="0" distB="0" distL="0" distR="0" wp14:anchorId="16DE16E5" wp14:editId="612118D8">
                  <wp:extent cx="3372852" cy="1729965"/>
                  <wp:effectExtent l="0" t="0" r="0" b="0"/>
                  <wp:docPr id="1859950126" name="officeArt object" descr="image9.png"/>
                  <wp:cNvGraphicFramePr/>
                  <a:graphic xmlns:a="http://schemas.openxmlformats.org/drawingml/2006/main">
                    <a:graphicData uri="http://schemas.openxmlformats.org/drawingml/2006/picture">
                      <pic:pic xmlns:pic="http://schemas.openxmlformats.org/drawingml/2006/picture">
                        <pic:nvPicPr>
                          <pic:cNvPr id="1073741848" name="image9.png" descr="image9.png"/>
                          <pic:cNvPicPr>
                            <a:picLocks noChangeAspect="1"/>
                          </pic:cNvPicPr>
                        </pic:nvPicPr>
                        <pic:blipFill>
                          <a:blip r:embed="rId10"/>
                          <a:stretch>
                            <a:fillRect/>
                          </a:stretch>
                        </pic:blipFill>
                        <pic:spPr>
                          <a:xfrm>
                            <a:off x="0" y="0"/>
                            <a:ext cx="3372852" cy="1729965"/>
                          </a:xfrm>
                          <a:prstGeom prst="rect">
                            <a:avLst/>
                          </a:prstGeom>
                          <a:ln w="12700" cap="flat">
                            <a:noFill/>
                            <a:miter lim="400000"/>
                          </a:ln>
                          <a:effectLst/>
                        </pic:spPr>
                      </pic:pic>
                    </a:graphicData>
                  </a:graphic>
                </wp:inline>
              </w:drawing>
            </w:r>
          </w:p>
        </w:tc>
      </w:tr>
      <w:tr w:rsidR="00A64D72" w:rsidRPr="006E59E6" w14:paraId="4E4340AB" w14:textId="77777777" w:rsidTr="00536943">
        <w:trPr>
          <w:trHeight w:val="251"/>
        </w:trPr>
        <w:tc>
          <w:tcPr>
            <w:tcW w:w="4581" w:type="dxa"/>
            <w:tcBorders>
              <w:top w:val="nil"/>
              <w:left w:val="nil"/>
              <w:bottom w:val="nil"/>
              <w:right w:val="nil"/>
            </w:tcBorders>
            <w:tcMar>
              <w:top w:w="80" w:type="dxa"/>
              <w:left w:w="80" w:type="dxa"/>
              <w:bottom w:w="80" w:type="dxa"/>
              <w:right w:w="80" w:type="dxa"/>
            </w:tcMar>
          </w:tcPr>
          <w:p w14:paraId="0A05545A" w14:textId="77777777" w:rsidR="00A64D72" w:rsidRPr="006E59E6" w:rsidRDefault="00A64D72" w:rsidP="00536943">
            <w:pPr>
              <w:pStyle w:val="Body"/>
              <w:spacing w:line="480" w:lineRule="auto"/>
              <w:jc w:val="center"/>
            </w:pPr>
            <w:r w:rsidRPr="006E59E6">
              <w:rPr>
                <w:rStyle w:val="None"/>
                <w:sz w:val="22"/>
                <w:szCs w:val="22"/>
              </w:rPr>
              <w:t>(a)</w:t>
            </w:r>
          </w:p>
        </w:tc>
        <w:tc>
          <w:tcPr>
            <w:tcW w:w="5499" w:type="dxa"/>
            <w:tcBorders>
              <w:top w:val="nil"/>
              <w:left w:val="nil"/>
              <w:bottom w:val="nil"/>
              <w:right w:val="nil"/>
            </w:tcBorders>
            <w:tcMar>
              <w:top w:w="80" w:type="dxa"/>
              <w:left w:w="80" w:type="dxa"/>
              <w:bottom w:w="80" w:type="dxa"/>
              <w:right w:w="80" w:type="dxa"/>
            </w:tcMar>
          </w:tcPr>
          <w:p w14:paraId="0981A929" w14:textId="77777777" w:rsidR="00A64D72" w:rsidRPr="006E59E6" w:rsidRDefault="00A64D72" w:rsidP="00536943">
            <w:pPr>
              <w:pStyle w:val="Body"/>
              <w:spacing w:line="480" w:lineRule="auto"/>
              <w:jc w:val="center"/>
            </w:pPr>
            <w:r w:rsidRPr="006E59E6">
              <w:rPr>
                <w:rStyle w:val="None"/>
                <w:sz w:val="22"/>
                <w:szCs w:val="22"/>
              </w:rPr>
              <w:t>(b)</w:t>
            </w:r>
          </w:p>
        </w:tc>
      </w:tr>
    </w:tbl>
    <w:p w14:paraId="0514B17F" w14:textId="77777777" w:rsidR="00A64D72" w:rsidRPr="006E59E6" w:rsidRDefault="00A64D72" w:rsidP="00A64D72">
      <w:pPr>
        <w:pStyle w:val="Body"/>
        <w:widowControl w:val="0"/>
        <w:rPr>
          <w:rStyle w:val="Hyperlink3"/>
          <w:sz w:val="22"/>
          <w:szCs w:val="22"/>
        </w:rPr>
      </w:pPr>
    </w:p>
    <w:p w14:paraId="05EA12A8" w14:textId="54915969" w:rsidR="00A64D72" w:rsidRPr="006E59E6" w:rsidRDefault="00A64D72" w:rsidP="00E56A93">
      <w:pPr>
        <w:pStyle w:val="Body"/>
        <w:jc w:val="both"/>
        <w:rPr>
          <w:rStyle w:val="None"/>
          <w:sz w:val="22"/>
          <w:szCs w:val="22"/>
        </w:rPr>
      </w:pPr>
      <w:r w:rsidRPr="006E59E6">
        <w:rPr>
          <w:rStyle w:val="None"/>
          <w:b/>
          <w:bCs/>
          <w:sz w:val="22"/>
          <w:szCs w:val="22"/>
        </w:rPr>
        <w:t xml:space="preserve">Supplementary </w:t>
      </w:r>
      <w:r w:rsidR="00041B6E" w:rsidRPr="006E59E6">
        <w:rPr>
          <w:rStyle w:val="None"/>
          <w:b/>
          <w:bCs/>
          <w:sz w:val="22"/>
          <w:szCs w:val="22"/>
        </w:rPr>
        <w:t xml:space="preserve">Figure </w:t>
      </w:r>
      <w:r w:rsidR="00487FBB">
        <w:rPr>
          <w:rStyle w:val="None"/>
          <w:b/>
          <w:bCs/>
          <w:sz w:val="22"/>
          <w:szCs w:val="22"/>
        </w:rPr>
        <w:t>6</w:t>
      </w:r>
      <w:r w:rsidRPr="006E59E6">
        <w:rPr>
          <w:rStyle w:val="None"/>
          <w:b/>
          <w:bCs/>
          <w:sz w:val="22"/>
          <w:szCs w:val="22"/>
        </w:rPr>
        <w:t xml:space="preserve">. </w:t>
      </w:r>
      <w:r w:rsidR="00E56A93" w:rsidRPr="00E56A93">
        <w:rPr>
          <w:rStyle w:val="None"/>
          <w:b/>
          <w:bCs/>
          <w:sz w:val="22"/>
          <w:szCs w:val="22"/>
        </w:rPr>
        <w:t xml:space="preserve">Demographic </w:t>
      </w:r>
      <w:r w:rsidRPr="00E56A93">
        <w:rPr>
          <w:rStyle w:val="None"/>
          <w:b/>
          <w:bCs/>
          <w:sz w:val="22"/>
          <w:szCs w:val="22"/>
        </w:rPr>
        <w:t>distribution of the dataset used in this study</w:t>
      </w:r>
      <w:r w:rsidRPr="006E59E6">
        <w:rPr>
          <w:rStyle w:val="None"/>
          <w:sz w:val="22"/>
          <w:szCs w:val="22"/>
        </w:rPr>
        <w:t xml:space="preserve">, focusing on </w:t>
      </w:r>
      <w:r w:rsidR="00374955">
        <w:rPr>
          <w:rStyle w:val="None"/>
          <w:b/>
          <w:bCs/>
          <w:sz w:val="22"/>
          <w:szCs w:val="22"/>
        </w:rPr>
        <w:t>(A)</w:t>
      </w:r>
      <w:r w:rsidRPr="006E59E6">
        <w:rPr>
          <w:rStyle w:val="None"/>
          <w:sz w:val="22"/>
          <w:szCs w:val="22"/>
        </w:rPr>
        <w:t xml:space="preserve"> income levels and </w:t>
      </w:r>
      <w:r w:rsidR="00374955" w:rsidRPr="00374955">
        <w:rPr>
          <w:rStyle w:val="None"/>
          <w:b/>
          <w:bCs/>
          <w:sz w:val="22"/>
          <w:szCs w:val="22"/>
        </w:rPr>
        <w:t>(B</w:t>
      </w:r>
      <w:r w:rsidR="00374955" w:rsidRPr="00807FCE">
        <w:rPr>
          <w:rStyle w:val="None"/>
          <w:b/>
          <w:bCs/>
          <w:sz w:val="22"/>
          <w:szCs w:val="22"/>
        </w:rPr>
        <w:t>)</w:t>
      </w:r>
      <w:r w:rsidRPr="00807FCE">
        <w:rPr>
          <w:rStyle w:val="None"/>
          <w:b/>
          <w:bCs/>
          <w:sz w:val="22"/>
          <w:szCs w:val="22"/>
        </w:rPr>
        <w:t xml:space="preserve"> </w:t>
      </w:r>
      <w:r w:rsidRPr="006E59E6">
        <w:rPr>
          <w:rStyle w:val="None"/>
          <w:sz w:val="22"/>
          <w:szCs w:val="22"/>
        </w:rPr>
        <w:t xml:space="preserve">data collection sites. In </w:t>
      </w:r>
      <w:r w:rsidR="00374955">
        <w:rPr>
          <w:rStyle w:val="None"/>
          <w:b/>
          <w:bCs/>
          <w:sz w:val="22"/>
          <w:szCs w:val="22"/>
        </w:rPr>
        <w:t>(A)</w:t>
      </w:r>
      <w:r w:rsidRPr="006E59E6">
        <w:rPr>
          <w:rStyle w:val="None"/>
          <w:sz w:val="22"/>
          <w:szCs w:val="22"/>
        </w:rPr>
        <w:t xml:space="preserve">, the pie chart represents the distribution of participants across ten income brackets. Income level 9 accounts for the highest number of participants, with 1,606 individuals, followed by levels 8 (742), 6 (672), and 10 (611), indicating a concentration in the mid-to-higher income ranges. </w:t>
      </w:r>
      <w:r w:rsidR="00374955">
        <w:rPr>
          <w:rStyle w:val="None"/>
          <w:b/>
          <w:bCs/>
          <w:sz w:val="22"/>
          <w:szCs w:val="22"/>
        </w:rPr>
        <w:t>(B)</w:t>
      </w:r>
      <w:r w:rsidRPr="006E59E6">
        <w:rPr>
          <w:rStyle w:val="None"/>
          <w:sz w:val="22"/>
          <w:szCs w:val="22"/>
        </w:rPr>
        <w:t xml:space="preserve"> Shows the distribution of participants across 22 collection sites, with site 16 having the highest count of 723 participants, suggesting it contributed the most data to the study. Several other sites, such as 2, 14, and 20, also show relatively high participant counts, while sites like 1 and 22 had notably fewer participants. </w:t>
      </w:r>
    </w:p>
    <w:p w14:paraId="4105C665" w14:textId="77777777" w:rsidR="006C07C7" w:rsidRDefault="006C07C7"/>
    <w:sectPr w:rsidR="006C07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D72"/>
    <w:rsid w:val="00041B6E"/>
    <w:rsid w:val="000758F9"/>
    <w:rsid w:val="0008384F"/>
    <w:rsid w:val="00112A8E"/>
    <w:rsid w:val="0026066D"/>
    <w:rsid w:val="00294A15"/>
    <w:rsid w:val="00336B75"/>
    <w:rsid w:val="00374955"/>
    <w:rsid w:val="004070B6"/>
    <w:rsid w:val="00487FBB"/>
    <w:rsid w:val="004923BC"/>
    <w:rsid w:val="00587FFD"/>
    <w:rsid w:val="005C6E5A"/>
    <w:rsid w:val="006C07C7"/>
    <w:rsid w:val="006C45C4"/>
    <w:rsid w:val="007F3832"/>
    <w:rsid w:val="007F611A"/>
    <w:rsid w:val="00807FCE"/>
    <w:rsid w:val="0086250D"/>
    <w:rsid w:val="008F6B4D"/>
    <w:rsid w:val="009512D9"/>
    <w:rsid w:val="00951CF0"/>
    <w:rsid w:val="009E5A12"/>
    <w:rsid w:val="00A64D72"/>
    <w:rsid w:val="00B046FC"/>
    <w:rsid w:val="00B459A7"/>
    <w:rsid w:val="00B52F70"/>
    <w:rsid w:val="00B92FED"/>
    <w:rsid w:val="00B963FE"/>
    <w:rsid w:val="00BB4E28"/>
    <w:rsid w:val="00BE3470"/>
    <w:rsid w:val="00C036D4"/>
    <w:rsid w:val="00C64337"/>
    <w:rsid w:val="00CC229A"/>
    <w:rsid w:val="00CC3518"/>
    <w:rsid w:val="00CE6265"/>
    <w:rsid w:val="00E56A93"/>
    <w:rsid w:val="00E6185D"/>
    <w:rsid w:val="00E81B7B"/>
    <w:rsid w:val="00E936AC"/>
    <w:rsid w:val="00EA5594"/>
    <w:rsid w:val="00EF0B8F"/>
    <w:rsid w:val="00F063B0"/>
    <w:rsid w:val="00FE020F"/>
    <w:rsid w:val="00FE6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83D78"/>
  <w15:chartTrackingRefBased/>
  <w15:docId w15:val="{9C9784DF-9C04-3740-8680-AA28498B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D7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64D7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64D7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64D7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64D72"/>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64D72"/>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64D72"/>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64D72"/>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64D72"/>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64D72"/>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4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4D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4D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4D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4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4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4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4D72"/>
    <w:rPr>
      <w:rFonts w:eastAsiaTheme="majorEastAsia" w:cstheme="majorBidi"/>
      <w:color w:val="272727" w:themeColor="text1" w:themeTint="D8"/>
    </w:rPr>
  </w:style>
  <w:style w:type="paragraph" w:styleId="Title">
    <w:name w:val="Title"/>
    <w:basedOn w:val="Normal"/>
    <w:next w:val="Normal"/>
    <w:link w:val="TitleChar"/>
    <w:uiPriority w:val="10"/>
    <w:qFormat/>
    <w:rsid w:val="00A64D7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64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4D7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64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4D72"/>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64D72"/>
    <w:rPr>
      <w:i/>
      <w:iCs/>
      <w:color w:val="404040" w:themeColor="text1" w:themeTint="BF"/>
    </w:rPr>
  </w:style>
  <w:style w:type="paragraph" w:styleId="ListParagraph">
    <w:name w:val="List Paragraph"/>
    <w:basedOn w:val="Normal"/>
    <w:uiPriority w:val="34"/>
    <w:qFormat/>
    <w:rsid w:val="00A64D72"/>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A64D72"/>
    <w:rPr>
      <w:i/>
      <w:iCs/>
      <w:color w:val="0F4761" w:themeColor="accent1" w:themeShade="BF"/>
    </w:rPr>
  </w:style>
  <w:style w:type="paragraph" w:styleId="IntenseQuote">
    <w:name w:val="Intense Quote"/>
    <w:basedOn w:val="Normal"/>
    <w:next w:val="Normal"/>
    <w:link w:val="IntenseQuoteChar"/>
    <w:uiPriority w:val="30"/>
    <w:qFormat/>
    <w:rsid w:val="00A64D7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64D72"/>
    <w:rPr>
      <w:i/>
      <w:iCs/>
      <w:color w:val="0F4761" w:themeColor="accent1" w:themeShade="BF"/>
    </w:rPr>
  </w:style>
  <w:style w:type="character" w:styleId="IntenseReference">
    <w:name w:val="Intense Reference"/>
    <w:basedOn w:val="DefaultParagraphFont"/>
    <w:uiPriority w:val="32"/>
    <w:qFormat/>
    <w:rsid w:val="00A64D72"/>
    <w:rPr>
      <w:b/>
      <w:bCs/>
      <w:smallCaps/>
      <w:color w:val="0F4761" w:themeColor="accent1" w:themeShade="BF"/>
      <w:spacing w:val="5"/>
    </w:rPr>
  </w:style>
  <w:style w:type="paragraph" w:customStyle="1" w:styleId="Body">
    <w:name w:val="Body"/>
    <w:link w:val="BodyChar"/>
    <w:rsid w:val="00A64D72"/>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14:textOutline w14:w="0" w14:cap="flat" w14:cmpd="sng" w14:algn="ctr">
        <w14:noFill/>
        <w14:prstDash w14:val="solid"/>
        <w14:bevel/>
      </w14:textOutline>
      <w14:ligatures w14:val="none"/>
    </w:rPr>
  </w:style>
  <w:style w:type="character" w:customStyle="1" w:styleId="None">
    <w:name w:val="None"/>
    <w:rsid w:val="00A64D72"/>
  </w:style>
  <w:style w:type="character" w:customStyle="1" w:styleId="Hyperlink3">
    <w:name w:val="Hyperlink.3"/>
    <w:basedOn w:val="None"/>
    <w:rsid w:val="00A64D72"/>
  </w:style>
  <w:style w:type="character" w:customStyle="1" w:styleId="BodyChar">
    <w:name w:val="Body Char"/>
    <w:basedOn w:val="DefaultParagraphFont"/>
    <w:link w:val="Body"/>
    <w:rsid w:val="00A64D72"/>
    <w:rPr>
      <w:rFonts w:ascii="Times New Roman" w:eastAsia="Arial Unicode MS" w:hAnsi="Times New Roman" w:cs="Arial Unicode MS"/>
      <w:color w:val="000000"/>
      <w:kern w:val="0"/>
      <w:u w:color="000000"/>
      <w:bdr w:val="nil"/>
      <w14:textOutline w14:w="0" w14:cap="flat" w14:cmpd="sng" w14:algn="ctr">
        <w14:noFill/>
        <w14:prstDash w14:val="solid"/>
        <w14:bevel/>
      </w14:textOutline>
      <w14:ligatures w14:val="none"/>
    </w:rPr>
  </w:style>
  <w:style w:type="paragraph" w:styleId="Revision">
    <w:name w:val="Revision"/>
    <w:hidden/>
    <w:uiPriority w:val="99"/>
    <w:semiHidden/>
    <w:rsid w:val="00951CF0"/>
    <w:pPr>
      <w:spacing w:after="0" w:line="240" w:lineRule="auto"/>
    </w:pPr>
    <w:rPr>
      <w:rFonts w:ascii="Times New Roman" w:eastAsia="Times New Roman" w:hAnsi="Times New Roman" w:cs="Times New Roman"/>
      <w:kern w:val="0"/>
      <w14:ligatures w14:val="none"/>
    </w:rPr>
  </w:style>
  <w:style w:type="character" w:styleId="Hyperlink">
    <w:name w:val="Hyperlink"/>
    <w:rsid w:val="00C64337"/>
    <w:rPr>
      <w:u w:val="single"/>
    </w:rPr>
  </w:style>
  <w:style w:type="character" w:styleId="CommentReference">
    <w:name w:val="annotation reference"/>
    <w:basedOn w:val="DefaultParagraphFont"/>
    <w:uiPriority w:val="99"/>
    <w:semiHidden/>
    <w:unhideWhenUsed/>
    <w:rsid w:val="00C64337"/>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1341</Words>
  <Characters>7647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Rosenblatt, Matthew Joseph</dc:creator>
  <cp:keywords/>
  <dc:description/>
  <cp:lastModifiedBy>Fields, Christopher</cp:lastModifiedBy>
  <cp:revision>3</cp:revision>
  <dcterms:created xsi:type="dcterms:W3CDTF">2026-04-25T01:57:00Z</dcterms:created>
  <dcterms:modified xsi:type="dcterms:W3CDTF">2026-04-25T01:58:00Z</dcterms:modified>
</cp:coreProperties>
</file>