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5422" w14:textId="77777777" w:rsidR="00CD772F" w:rsidRDefault="00CD772F" w:rsidP="00CD772F">
      <w:pPr>
        <w:pStyle w:val="NormalWeb"/>
        <w:widowControl/>
        <w:ind w:firstLineChars="200" w:firstLine="422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Table 1 Baseline clinical and pathological characteristics of patients with PMP (n = 72)</w:t>
      </w:r>
    </w:p>
    <w:tbl>
      <w:tblPr>
        <w:tblW w:w="85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0"/>
        <w:gridCol w:w="3581"/>
      </w:tblGrid>
      <w:tr w:rsidR="00CD772F" w14:paraId="503C24C2" w14:textId="77777777" w:rsidTr="00CD3A12">
        <w:trPr>
          <w:tblHeader/>
          <w:jc w:val="center"/>
        </w:trPr>
        <w:tc>
          <w:tcPr>
            <w:tcW w:w="5010" w:type="dxa"/>
            <w:tcBorders>
              <w:top w:val="single" w:sz="4" w:space="0" w:color="auto"/>
              <w:left w:val="nil"/>
              <w:bottom w:val="nil"/>
              <w:right w:val="single" w:sz="6" w:space="0" w:color="83CAEB" w:themeColor="accent1" w:themeTint="66"/>
              <w:tl2br w:val="nil"/>
            </w:tcBorders>
            <w:shd w:val="clear" w:color="auto" w:fill="156082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C45F0" w14:textId="77777777" w:rsidR="00CD772F" w:rsidRDefault="00CD772F" w:rsidP="00CD3A12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Characteristic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6" w:space="0" w:color="83CAEB" w:themeColor="accent1" w:themeTint="66"/>
              <w:bottom w:val="nil"/>
              <w:right w:val="nil"/>
            </w:tcBorders>
            <w:shd w:val="clear" w:color="auto" w:fill="156082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93DAC1" w14:textId="77777777" w:rsidR="00CD772F" w:rsidRDefault="00CD772F" w:rsidP="00CD3A12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CD772F" w14:paraId="768399F0" w14:textId="77777777" w:rsidTr="00CD3A12">
        <w:trPr>
          <w:jc w:val="center"/>
        </w:trPr>
        <w:tc>
          <w:tcPr>
            <w:tcW w:w="8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5B100D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Demographics</w:t>
            </w:r>
          </w:p>
        </w:tc>
      </w:tr>
      <w:tr w:rsidR="00CD772F" w14:paraId="5053B330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B57683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Age, years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04FD7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60 (53 - 66)</w:t>
            </w:r>
          </w:p>
        </w:tc>
      </w:tr>
      <w:tr w:rsidR="00CD772F" w14:paraId="4B8FBF03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E083D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Sex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, n (%)</w:t>
            </w:r>
          </w:p>
          <w:p w14:paraId="535ED0CB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Male</w:t>
            </w:r>
          </w:p>
          <w:p w14:paraId="777CE445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E13D2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 (36.11)</w:t>
            </w:r>
          </w:p>
          <w:p w14:paraId="075B105F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46 (63.89)</w:t>
            </w:r>
          </w:p>
        </w:tc>
      </w:tr>
      <w:tr w:rsidR="00CD772F" w14:paraId="0CA090E9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9FC043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Tumor Markers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9FB2F0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CD772F" w14:paraId="733D95F1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3E775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CEA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ng/m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L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31871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9.70 (3.10 - 28.90)</w:t>
            </w:r>
          </w:p>
        </w:tc>
      </w:tr>
      <w:tr w:rsidR="00CD772F" w14:paraId="2DC5C8E7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AE3829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CA-125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U/m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L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D4F3D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15.90 (9.80 - 64.30)</w:t>
            </w:r>
          </w:p>
        </w:tc>
      </w:tr>
      <w:tr w:rsidR="00CD772F" w14:paraId="2C69A149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B9156B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CA19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U/m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L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7778FF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35.00 (8.50 - 243.90)</w:t>
            </w:r>
          </w:p>
        </w:tc>
      </w:tr>
      <w:tr w:rsidR="00CD772F" w14:paraId="70CA3128" w14:textId="77777777" w:rsidTr="00CD3A12">
        <w:trPr>
          <w:jc w:val="center"/>
        </w:trPr>
        <w:tc>
          <w:tcPr>
            <w:tcW w:w="8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D2E68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Clinicopathological Features</w:t>
            </w:r>
          </w:p>
        </w:tc>
      </w:tr>
      <w:tr w:rsidR="00CD772F" w14:paraId="30383F5D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CC298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Peritoneal Cancer Index (PCI) score, n (%)</w:t>
            </w:r>
          </w:p>
          <w:p w14:paraId="25520CD3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&lt; 10</w:t>
            </w:r>
          </w:p>
          <w:p w14:paraId="57C2B8B1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10-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19</w:t>
            </w:r>
          </w:p>
          <w:p w14:paraId="6434476C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≥20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4F45E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12(16.67)</w:t>
            </w:r>
          </w:p>
          <w:p w14:paraId="073F96D7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 (25.00)</w:t>
            </w:r>
          </w:p>
          <w:p w14:paraId="2D8A5DAB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42 (58.33)</w:t>
            </w:r>
          </w:p>
        </w:tc>
      </w:tr>
      <w:tr w:rsidR="00CD772F" w14:paraId="58EFBB0E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3AF3E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Pathologic Grade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, n (%)</w:t>
            </w:r>
          </w:p>
          <w:p w14:paraId="51C6E345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Low</w:t>
            </w:r>
          </w:p>
          <w:p w14:paraId="5609B0BF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High</w:t>
            </w:r>
          </w:p>
        </w:tc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CE71B1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28 (38.89)</w:t>
            </w:r>
          </w:p>
          <w:p w14:paraId="26EC7921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44 (61.11)</w:t>
            </w:r>
          </w:p>
        </w:tc>
      </w:tr>
      <w:tr w:rsidR="00CD772F" w14:paraId="7DCCF991" w14:textId="77777777" w:rsidTr="00CD3A12">
        <w:trPr>
          <w:jc w:val="center"/>
        </w:trPr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800A4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Completeness of cytoreduction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, n (%)</w:t>
            </w:r>
          </w:p>
          <w:p w14:paraId="026D9DC0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  <w:p w14:paraId="42498021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  <w:p w14:paraId="18C5405E" w14:textId="77777777" w:rsidR="00CD772F" w:rsidRDefault="00CD772F" w:rsidP="00CD3A12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CCR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3207A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 (12.50)</w:t>
            </w:r>
          </w:p>
          <w:p w14:paraId="4441C95A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 (20.83)</w:t>
            </w:r>
          </w:p>
          <w:p w14:paraId="2AD66427" w14:textId="77777777" w:rsidR="00CD772F" w:rsidRDefault="00CD772F" w:rsidP="00CD3A12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48 (66.67)</w:t>
            </w:r>
          </w:p>
        </w:tc>
      </w:tr>
    </w:tbl>
    <w:p w14:paraId="3B8F21DE" w14:textId="77777777" w:rsidR="00CD772F" w:rsidRDefault="00CD772F" w:rsidP="00CD772F">
      <w:pPr>
        <w:pStyle w:val="NormalWeb"/>
        <w:widowControl/>
        <w:jc w:val="both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bCs/>
          <w:color w:val="000000" w:themeColor="text1"/>
          <w:sz w:val="18"/>
          <w:szCs w:val="18"/>
        </w:rPr>
        <w:t>Footnotes:Continuous variables are presented as median (IQR); categorical variables are presented as n (%). CA-125 = cancer antigen 125; CA19-9 = carbohydrate antigen 19-9; CCR = completeness of cytoreduction; CEA = carcinoembryonic antigen; IQR = interquartile range; PCI = Peritoneal Cancer Index; PMP = pseudomyxoma peri</w:t>
      </w:r>
      <w:r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tonei. CC</w:t>
      </w:r>
      <w:r>
        <w:rPr>
          <w:rFonts w:ascii="Times New Roman" w:hAnsi="Times New Roman"/>
          <w:b/>
          <w:bCs/>
          <w:color w:val="000000" w:themeColor="text1"/>
          <w:sz w:val="18"/>
          <w:szCs w:val="18"/>
        </w:rPr>
        <w:t>R-0: no visible residual disease; CCR-1: residual nodules ≤ 2.5 mm; CCR-2/3: residual disease &gt; 2.5 mm.ª CCR-2 and CCR-3 were combined owing to the small number of CCR-3 cases (n = 3), precluding meaningful separate analysis.</w:t>
      </w:r>
    </w:p>
    <w:p w14:paraId="0692448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2F"/>
    <w:rsid w:val="000C4033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CD772F"/>
    <w:rsid w:val="00DE7E69"/>
    <w:rsid w:val="00E023F9"/>
    <w:rsid w:val="00EE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223D1"/>
  <w15:chartTrackingRefBased/>
  <w15:docId w15:val="{A80693D3-2E6F-46A6-914A-64DC670C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72F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72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72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72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72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72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72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72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72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72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72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7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72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7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72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7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72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7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72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7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CD772F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2026-05-20T11:16:00Z</dcterms:created>
  <dcterms:modified xsi:type="dcterms:W3CDTF">2026-05-20T11:17:00Z</dcterms:modified>
</cp:coreProperties>
</file>