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D7997" w14:textId="77777777" w:rsidR="00E962E2" w:rsidRPr="004F5D54" w:rsidRDefault="00E962E2" w:rsidP="00FE5D0C">
      <w:pPr>
        <w:spacing w:after="0" w:line="360" w:lineRule="auto"/>
        <w:rPr>
          <w:b/>
          <w:bCs/>
          <w:sz w:val="28"/>
          <w:szCs w:val="28"/>
          <w:lang w:val="en-US"/>
        </w:rPr>
      </w:pPr>
      <w:bookmarkStart w:id="0" w:name="_Hlk219100758"/>
      <w:bookmarkEnd w:id="0"/>
      <w:r w:rsidRPr="004F5D54">
        <w:rPr>
          <w:b/>
          <w:bCs/>
          <w:sz w:val="28"/>
          <w:szCs w:val="28"/>
          <w:lang w:val="en-US"/>
        </w:rPr>
        <w:t>Supplemental Information</w:t>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
        <w:gridCol w:w="7278"/>
        <w:gridCol w:w="845"/>
      </w:tblGrid>
      <w:tr w:rsidR="004F5D54" w14:paraId="073C1260" w14:textId="77777777" w:rsidTr="004F5D54">
        <w:tc>
          <w:tcPr>
            <w:tcW w:w="939" w:type="dxa"/>
            <w:tcBorders>
              <w:top w:val="single" w:sz="4" w:space="0" w:color="auto"/>
              <w:bottom w:val="single" w:sz="4" w:space="0" w:color="auto"/>
            </w:tcBorders>
          </w:tcPr>
          <w:p w14:paraId="32A224A8" w14:textId="77777777" w:rsidR="009D0416" w:rsidRDefault="009D0416" w:rsidP="004F5D54">
            <w:pPr>
              <w:spacing w:line="288" w:lineRule="auto"/>
              <w:jc w:val="center"/>
              <w:rPr>
                <w:lang w:val="en-US"/>
              </w:rPr>
            </w:pPr>
            <w:r>
              <w:rPr>
                <w:lang w:val="en-US"/>
              </w:rPr>
              <w:t>Section</w:t>
            </w:r>
          </w:p>
        </w:tc>
        <w:tc>
          <w:tcPr>
            <w:tcW w:w="7278" w:type="dxa"/>
            <w:tcBorders>
              <w:top w:val="single" w:sz="4" w:space="0" w:color="auto"/>
              <w:bottom w:val="single" w:sz="4" w:space="0" w:color="auto"/>
            </w:tcBorders>
          </w:tcPr>
          <w:p w14:paraId="1164FD20" w14:textId="77777777" w:rsidR="009D0416" w:rsidRDefault="009D0416" w:rsidP="004F5D54">
            <w:pPr>
              <w:spacing w:line="288" w:lineRule="auto"/>
              <w:rPr>
                <w:lang w:val="en-US"/>
              </w:rPr>
            </w:pPr>
            <w:r>
              <w:rPr>
                <w:lang w:val="en-US"/>
              </w:rPr>
              <w:t>Title</w:t>
            </w:r>
          </w:p>
        </w:tc>
        <w:tc>
          <w:tcPr>
            <w:tcW w:w="845" w:type="dxa"/>
            <w:tcBorders>
              <w:top w:val="single" w:sz="4" w:space="0" w:color="auto"/>
              <w:bottom w:val="single" w:sz="4" w:space="0" w:color="auto"/>
            </w:tcBorders>
          </w:tcPr>
          <w:p w14:paraId="6A4F8206" w14:textId="77777777" w:rsidR="009D0416" w:rsidRDefault="009D0416" w:rsidP="004F5D54">
            <w:pPr>
              <w:spacing w:line="288" w:lineRule="auto"/>
              <w:jc w:val="center"/>
              <w:rPr>
                <w:lang w:val="en-US"/>
              </w:rPr>
            </w:pPr>
            <w:r>
              <w:rPr>
                <w:lang w:val="en-US"/>
              </w:rPr>
              <w:t>Page</w:t>
            </w:r>
          </w:p>
        </w:tc>
      </w:tr>
      <w:tr w:rsidR="004F5D54" w14:paraId="4F34DAC7" w14:textId="77777777" w:rsidTr="004F5D54">
        <w:tc>
          <w:tcPr>
            <w:tcW w:w="939" w:type="dxa"/>
            <w:tcBorders>
              <w:top w:val="single" w:sz="4" w:space="0" w:color="auto"/>
            </w:tcBorders>
          </w:tcPr>
          <w:p w14:paraId="26999976" w14:textId="77777777" w:rsidR="009D0416" w:rsidRDefault="009D0416" w:rsidP="004F5D54">
            <w:pPr>
              <w:spacing w:line="288" w:lineRule="auto"/>
              <w:jc w:val="center"/>
              <w:rPr>
                <w:lang w:val="en-US"/>
              </w:rPr>
            </w:pPr>
            <w:r>
              <w:rPr>
                <w:lang w:val="en-US"/>
              </w:rPr>
              <w:t>1</w:t>
            </w:r>
          </w:p>
        </w:tc>
        <w:tc>
          <w:tcPr>
            <w:tcW w:w="7278" w:type="dxa"/>
            <w:tcBorders>
              <w:top w:val="single" w:sz="4" w:space="0" w:color="auto"/>
            </w:tcBorders>
          </w:tcPr>
          <w:p w14:paraId="6DA0FA43" w14:textId="77777777" w:rsidR="009D0416" w:rsidRDefault="009D0416" w:rsidP="004F5D54">
            <w:pPr>
              <w:spacing w:line="288" w:lineRule="auto"/>
              <w:rPr>
                <w:lang w:val="en-US"/>
              </w:rPr>
            </w:pPr>
            <w:r>
              <w:rPr>
                <w:lang w:val="en-US"/>
              </w:rPr>
              <w:t>Memory change over age in SHARE</w:t>
            </w:r>
          </w:p>
        </w:tc>
        <w:tc>
          <w:tcPr>
            <w:tcW w:w="845" w:type="dxa"/>
            <w:tcBorders>
              <w:top w:val="single" w:sz="4" w:space="0" w:color="auto"/>
            </w:tcBorders>
          </w:tcPr>
          <w:p w14:paraId="53ADD799" w14:textId="77777777" w:rsidR="009D0416" w:rsidRDefault="009D0416" w:rsidP="004F5D54">
            <w:pPr>
              <w:spacing w:line="288" w:lineRule="auto"/>
              <w:jc w:val="center"/>
              <w:rPr>
                <w:lang w:val="en-US"/>
              </w:rPr>
            </w:pPr>
            <w:r>
              <w:rPr>
                <w:lang w:val="en-US"/>
              </w:rPr>
              <w:t>2</w:t>
            </w:r>
          </w:p>
        </w:tc>
      </w:tr>
      <w:tr w:rsidR="004F5D54" w14:paraId="1104CD3C" w14:textId="77777777" w:rsidTr="004F5D54">
        <w:tc>
          <w:tcPr>
            <w:tcW w:w="939" w:type="dxa"/>
          </w:tcPr>
          <w:p w14:paraId="39B9E819" w14:textId="77777777" w:rsidR="009D0416" w:rsidRDefault="009D0416" w:rsidP="004F5D54">
            <w:pPr>
              <w:spacing w:line="288" w:lineRule="auto"/>
              <w:jc w:val="center"/>
              <w:rPr>
                <w:lang w:val="en-US"/>
              </w:rPr>
            </w:pPr>
          </w:p>
        </w:tc>
        <w:tc>
          <w:tcPr>
            <w:tcW w:w="7278" w:type="dxa"/>
          </w:tcPr>
          <w:p w14:paraId="2C09DED3" w14:textId="77777777" w:rsidR="009D0416" w:rsidRDefault="009D0416" w:rsidP="004F5D54">
            <w:pPr>
              <w:spacing w:line="288" w:lineRule="auto"/>
              <w:rPr>
                <w:lang w:val="en-US"/>
              </w:rPr>
            </w:pPr>
            <w:r>
              <w:rPr>
                <w:lang w:val="en-US"/>
              </w:rPr>
              <w:t>Supplementary Figure 1</w:t>
            </w:r>
          </w:p>
        </w:tc>
        <w:tc>
          <w:tcPr>
            <w:tcW w:w="845" w:type="dxa"/>
          </w:tcPr>
          <w:p w14:paraId="11B61308" w14:textId="77777777" w:rsidR="009D0416" w:rsidRDefault="009D0416" w:rsidP="004F5D54">
            <w:pPr>
              <w:spacing w:line="288" w:lineRule="auto"/>
              <w:jc w:val="center"/>
              <w:rPr>
                <w:lang w:val="en-US"/>
              </w:rPr>
            </w:pPr>
            <w:r>
              <w:rPr>
                <w:lang w:val="en-US"/>
              </w:rPr>
              <w:t>2</w:t>
            </w:r>
          </w:p>
        </w:tc>
      </w:tr>
      <w:tr w:rsidR="004F5D54" w14:paraId="73E0C957" w14:textId="77777777" w:rsidTr="004F5D54">
        <w:tc>
          <w:tcPr>
            <w:tcW w:w="939" w:type="dxa"/>
          </w:tcPr>
          <w:p w14:paraId="00423A89" w14:textId="77777777" w:rsidR="009D0416" w:rsidRDefault="009D0416" w:rsidP="004F5D54">
            <w:pPr>
              <w:spacing w:line="288" w:lineRule="auto"/>
              <w:jc w:val="center"/>
              <w:rPr>
                <w:lang w:val="en-US"/>
              </w:rPr>
            </w:pPr>
          </w:p>
        </w:tc>
        <w:tc>
          <w:tcPr>
            <w:tcW w:w="7278" w:type="dxa"/>
          </w:tcPr>
          <w:p w14:paraId="07CC550B" w14:textId="77777777" w:rsidR="009D0416" w:rsidRDefault="009D0416" w:rsidP="004F5D54">
            <w:pPr>
              <w:spacing w:line="288" w:lineRule="auto"/>
              <w:rPr>
                <w:lang w:val="en-US"/>
              </w:rPr>
            </w:pPr>
            <w:r>
              <w:rPr>
                <w:lang w:val="en-US"/>
              </w:rPr>
              <w:t>Supplementary Figure 2</w:t>
            </w:r>
          </w:p>
        </w:tc>
        <w:tc>
          <w:tcPr>
            <w:tcW w:w="845" w:type="dxa"/>
          </w:tcPr>
          <w:p w14:paraId="44E72E1C" w14:textId="77777777" w:rsidR="009D0416" w:rsidRDefault="009D0416" w:rsidP="004F5D54">
            <w:pPr>
              <w:spacing w:line="288" w:lineRule="auto"/>
              <w:jc w:val="center"/>
              <w:rPr>
                <w:lang w:val="en-US"/>
              </w:rPr>
            </w:pPr>
            <w:r>
              <w:rPr>
                <w:lang w:val="en-US"/>
              </w:rPr>
              <w:t>3</w:t>
            </w:r>
          </w:p>
        </w:tc>
      </w:tr>
      <w:tr w:rsidR="004F5D54" w14:paraId="6A43A14F" w14:textId="77777777" w:rsidTr="004F5D54">
        <w:tc>
          <w:tcPr>
            <w:tcW w:w="939" w:type="dxa"/>
          </w:tcPr>
          <w:p w14:paraId="11991614" w14:textId="77777777" w:rsidR="009D0416" w:rsidRDefault="009D0416" w:rsidP="004F5D54">
            <w:pPr>
              <w:spacing w:line="288" w:lineRule="auto"/>
              <w:jc w:val="center"/>
              <w:rPr>
                <w:lang w:val="en-US"/>
              </w:rPr>
            </w:pPr>
            <w:r>
              <w:rPr>
                <w:lang w:val="en-US"/>
              </w:rPr>
              <w:t>2</w:t>
            </w:r>
          </w:p>
        </w:tc>
        <w:tc>
          <w:tcPr>
            <w:tcW w:w="7278" w:type="dxa"/>
          </w:tcPr>
          <w:p w14:paraId="38F0C054" w14:textId="25768E6C" w:rsidR="009D0416" w:rsidRDefault="009D0416" w:rsidP="004F5D54">
            <w:pPr>
              <w:spacing w:line="288" w:lineRule="auto"/>
              <w:rPr>
                <w:lang w:val="en-US"/>
              </w:rPr>
            </w:pPr>
            <w:r w:rsidRPr="005727E9">
              <w:rPr>
                <w:lang w:val="en-US"/>
              </w:rPr>
              <w:t xml:space="preserve">Distinguishing “true </w:t>
            </w:r>
            <w:r w:rsidR="006A1562">
              <w:rPr>
                <w:lang w:val="en-US"/>
              </w:rPr>
              <w:t>stable performers</w:t>
            </w:r>
            <w:r w:rsidRPr="005727E9">
              <w:rPr>
                <w:lang w:val="en-US"/>
              </w:rPr>
              <w:t>” from chance</w:t>
            </w:r>
          </w:p>
        </w:tc>
        <w:tc>
          <w:tcPr>
            <w:tcW w:w="845" w:type="dxa"/>
          </w:tcPr>
          <w:p w14:paraId="070F1FCD" w14:textId="77777777" w:rsidR="009D0416" w:rsidRDefault="009D0416" w:rsidP="004F5D54">
            <w:pPr>
              <w:spacing w:line="288" w:lineRule="auto"/>
              <w:jc w:val="center"/>
              <w:rPr>
                <w:lang w:val="en-US"/>
              </w:rPr>
            </w:pPr>
            <w:r>
              <w:rPr>
                <w:lang w:val="en-US"/>
              </w:rPr>
              <w:t>4</w:t>
            </w:r>
          </w:p>
        </w:tc>
      </w:tr>
      <w:tr w:rsidR="009D0416" w14:paraId="0680CAEE" w14:textId="77777777" w:rsidTr="004F5D54">
        <w:tc>
          <w:tcPr>
            <w:tcW w:w="939" w:type="dxa"/>
          </w:tcPr>
          <w:p w14:paraId="3F90497D" w14:textId="77777777" w:rsidR="009D0416" w:rsidRDefault="009D0416" w:rsidP="004F5D54">
            <w:pPr>
              <w:spacing w:line="288" w:lineRule="auto"/>
              <w:jc w:val="center"/>
              <w:rPr>
                <w:lang w:val="en-US"/>
              </w:rPr>
            </w:pPr>
          </w:p>
        </w:tc>
        <w:tc>
          <w:tcPr>
            <w:tcW w:w="7278" w:type="dxa"/>
          </w:tcPr>
          <w:p w14:paraId="1D600892" w14:textId="77777777" w:rsidR="009D0416" w:rsidRPr="005727E9" w:rsidRDefault="009D0416" w:rsidP="004F5D54">
            <w:pPr>
              <w:spacing w:line="288" w:lineRule="auto"/>
              <w:rPr>
                <w:lang w:val="en-US"/>
              </w:rPr>
            </w:pPr>
            <w:r w:rsidRPr="00050A46">
              <w:rPr>
                <w:lang w:val="en-US"/>
              </w:rPr>
              <w:t>Supplementary Figure 3</w:t>
            </w:r>
          </w:p>
        </w:tc>
        <w:tc>
          <w:tcPr>
            <w:tcW w:w="845" w:type="dxa"/>
          </w:tcPr>
          <w:p w14:paraId="08357972" w14:textId="77777777" w:rsidR="009D0416" w:rsidRDefault="009D0416" w:rsidP="004F5D54">
            <w:pPr>
              <w:spacing w:line="288" w:lineRule="auto"/>
              <w:jc w:val="center"/>
              <w:rPr>
                <w:lang w:val="en-US"/>
              </w:rPr>
            </w:pPr>
            <w:r>
              <w:rPr>
                <w:lang w:val="en-US"/>
              </w:rPr>
              <w:t>4</w:t>
            </w:r>
          </w:p>
        </w:tc>
      </w:tr>
      <w:tr w:rsidR="004F5D54" w14:paraId="4BA8740B" w14:textId="77777777" w:rsidTr="004F5D54">
        <w:tc>
          <w:tcPr>
            <w:tcW w:w="939" w:type="dxa"/>
          </w:tcPr>
          <w:p w14:paraId="15F5CF00" w14:textId="77777777" w:rsidR="009D0416" w:rsidRDefault="009D0416" w:rsidP="004F5D54">
            <w:pPr>
              <w:spacing w:line="288" w:lineRule="auto"/>
              <w:jc w:val="center"/>
              <w:rPr>
                <w:lang w:val="en-US"/>
              </w:rPr>
            </w:pPr>
            <w:r>
              <w:rPr>
                <w:lang w:val="en-US"/>
              </w:rPr>
              <w:t>3</w:t>
            </w:r>
          </w:p>
        </w:tc>
        <w:tc>
          <w:tcPr>
            <w:tcW w:w="7278" w:type="dxa"/>
          </w:tcPr>
          <w:p w14:paraId="1212F1DE" w14:textId="77777777" w:rsidR="009D0416" w:rsidRDefault="009D0416" w:rsidP="004F5D54">
            <w:pPr>
              <w:spacing w:line="288" w:lineRule="auto"/>
              <w:rPr>
                <w:lang w:val="en-US"/>
              </w:rPr>
            </w:pPr>
            <w:proofErr w:type="spellStart"/>
            <w:r>
              <w:rPr>
                <w:lang w:val="en-US"/>
              </w:rPr>
              <w:t>Frequentialist</w:t>
            </w:r>
            <w:proofErr w:type="spellEnd"/>
            <w:r>
              <w:rPr>
                <w:lang w:val="en-US"/>
              </w:rPr>
              <w:t xml:space="preserve"> vs. Bayesian modelling</w:t>
            </w:r>
          </w:p>
        </w:tc>
        <w:tc>
          <w:tcPr>
            <w:tcW w:w="845" w:type="dxa"/>
          </w:tcPr>
          <w:p w14:paraId="7BD59455" w14:textId="77777777" w:rsidR="009D0416" w:rsidRDefault="009D0416" w:rsidP="004F5D54">
            <w:pPr>
              <w:spacing w:line="288" w:lineRule="auto"/>
              <w:jc w:val="center"/>
              <w:rPr>
                <w:lang w:val="en-US"/>
              </w:rPr>
            </w:pPr>
            <w:r>
              <w:rPr>
                <w:lang w:val="en-US"/>
              </w:rPr>
              <w:t>5</w:t>
            </w:r>
          </w:p>
        </w:tc>
      </w:tr>
      <w:tr w:rsidR="009D0416" w14:paraId="57EF11D7" w14:textId="77777777" w:rsidTr="004F5D54">
        <w:tc>
          <w:tcPr>
            <w:tcW w:w="939" w:type="dxa"/>
          </w:tcPr>
          <w:p w14:paraId="1878AAE2" w14:textId="77777777" w:rsidR="009D0416" w:rsidRDefault="009D0416" w:rsidP="004F5D54">
            <w:pPr>
              <w:spacing w:line="288" w:lineRule="auto"/>
              <w:jc w:val="center"/>
              <w:rPr>
                <w:lang w:val="en-US"/>
              </w:rPr>
            </w:pPr>
          </w:p>
        </w:tc>
        <w:tc>
          <w:tcPr>
            <w:tcW w:w="7278" w:type="dxa"/>
          </w:tcPr>
          <w:p w14:paraId="68404E41" w14:textId="77777777" w:rsidR="009D0416" w:rsidRDefault="009D0416" w:rsidP="004F5D54">
            <w:pPr>
              <w:spacing w:line="288" w:lineRule="auto"/>
              <w:rPr>
                <w:lang w:val="en-US"/>
              </w:rPr>
            </w:pPr>
            <w:r w:rsidRPr="00050A46">
              <w:rPr>
                <w:lang w:val="en-US"/>
              </w:rPr>
              <w:t>Supplementary Figure 4</w:t>
            </w:r>
          </w:p>
        </w:tc>
        <w:tc>
          <w:tcPr>
            <w:tcW w:w="845" w:type="dxa"/>
          </w:tcPr>
          <w:p w14:paraId="06070FA0" w14:textId="77777777" w:rsidR="009D0416" w:rsidRDefault="009D0416" w:rsidP="004F5D54">
            <w:pPr>
              <w:spacing w:line="288" w:lineRule="auto"/>
              <w:jc w:val="center"/>
              <w:rPr>
                <w:lang w:val="en-US"/>
              </w:rPr>
            </w:pPr>
            <w:r>
              <w:rPr>
                <w:lang w:val="en-US"/>
              </w:rPr>
              <w:t>5</w:t>
            </w:r>
          </w:p>
        </w:tc>
      </w:tr>
      <w:tr w:rsidR="009D0416" w14:paraId="572626BB" w14:textId="77777777" w:rsidTr="004F5D54">
        <w:tc>
          <w:tcPr>
            <w:tcW w:w="939" w:type="dxa"/>
          </w:tcPr>
          <w:p w14:paraId="098C3F19" w14:textId="77777777" w:rsidR="009D0416" w:rsidRDefault="009D0416" w:rsidP="004F5D54">
            <w:pPr>
              <w:spacing w:line="288" w:lineRule="auto"/>
              <w:jc w:val="center"/>
              <w:rPr>
                <w:lang w:val="en-US"/>
              </w:rPr>
            </w:pPr>
          </w:p>
        </w:tc>
        <w:tc>
          <w:tcPr>
            <w:tcW w:w="7278" w:type="dxa"/>
          </w:tcPr>
          <w:p w14:paraId="645D5B53" w14:textId="77777777" w:rsidR="009D0416" w:rsidRPr="00050A46" w:rsidRDefault="009D0416" w:rsidP="004F5D54">
            <w:pPr>
              <w:spacing w:line="288" w:lineRule="auto"/>
              <w:rPr>
                <w:lang w:val="en-US"/>
              </w:rPr>
            </w:pPr>
            <w:r w:rsidRPr="00050A46">
              <w:rPr>
                <w:lang w:val="en-US"/>
              </w:rPr>
              <w:t xml:space="preserve">Supplementary Figure </w:t>
            </w:r>
            <w:r>
              <w:rPr>
                <w:lang w:val="en-US"/>
              </w:rPr>
              <w:t>5</w:t>
            </w:r>
          </w:p>
        </w:tc>
        <w:tc>
          <w:tcPr>
            <w:tcW w:w="845" w:type="dxa"/>
          </w:tcPr>
          <w:p w14:paraId="6C8576A9" w14:textId="77777777" w:rsidR="009D0416" w:rsidRDefault="009D0416" w:rsidP="004F5D54">
            <w:pPr>
              <w:spacing w:line="288" w:lineRule="auto"/>
              <w:jc w:val="center"/>
              <w:rPr>
                <w:lang w:val="en-US"/>
              </w:rPr>
            </w:pPr>
            <w:r>
              <w:rPr>
                <w:lang w:val="en-US"/>
              </w:rPr>
              <w:t>5</w:t>
            </w:r>
          </w:p>
        </w:tc>
      </w:tr>
      <w:tr w:rsidR="004F5D54" w14:paraId="419BBF53" w14:textId="77777777" w:rsidTr="004F5D54">
        <w:tc>
          <w:tcPr>
            <w:tcW w:w="939" w:type="dxa"/>
          </w:tcPr>
          <w:p w14:paraId="6DA8BF27" w14:textId="77777777" w:rsidR="009D0416" w:rsidRDefault="009D0416" w:rsidP="004F5D54">
            <w:pPr>
              <w:spacing w:line="288" w:lineRule="auto"/>
              <w:jc w:val="center"/>
              <w:rPr>
                <w:lang w:val="en-US"/>
              </w:rPr>
            </w:pPr>
            <w:r>
              <w:rPr>
                <w:lang w:val="en-US"/>
              </w:rPr>
              <w:t>4</w:t>
            </w:r>
          </w:p>
        </w:tc>
        <w:tc>
          <w:tcPr>
            <w:tcW w:w="7278" w:type="dxa"/>
          </w:tcPr>
          <w:p w14:paraId="7DBA3898" w14:textId="6B4C245C" w:rsidR="009D0416" w:rsidRDefault="009D0416" w:rsidP="004F5D54">
            <w:pPr>
              <w:spacing w:line="288" w:lineRule="auto"/>
              <w:rPr>
                <w:lang w:val="en-US"/>
              </w:rPr>
            </w:pPr>
            <w:r>
              <w:rPr>
                <w:lang w:val="en-US"/>
              </w:rPr>
              <w:t xml:space="preserve">Example plots of individual </w:t>
            </w:r>
            <w:r w:rsidR="006A1562">
              <w:rPr>
                <w:lang w:val="en-US"/>
              </w:rPr>
              <w:t>stable performers</w:t>
            </w:r>
          </w:p>
        </w:tc>
        <w:tc>
          <w:tcPr>
            <w:tcW w:w="845" w:type="dxa"/>
          </w:tcPr>
          <w:p w14:paraId="6C1A221E" w14:textId="77777777" w:rsidR="009D0416" w:rsidRDefault="009D0416" w:rsidP="004F5D54">
            <w:pPr>
              <w:spacing w:line="288" w:lineRule="auto"/>
              <w:jc w:val="center"/>
              <w:rPr>
                <w:lang w:val="en-US"/>
              </w:rPr>
            </w:pPr>
            <w:r>
              <w:rPr>
                <w:lang w:val="en-US"/>
              </w:rPr>
              <w:t>6</w:t>
            </w:r>
          </w:p>
        </w:tc>
      </w:tr>
      <w:tr w:rsidR="004F5D54" w14:paraId="2054EC32" w14:textId="77777777" w:rsidTr="004F5D54">
        <w:tc>
          <w:tcPr>
            <w:tcW w:w="939" w:type="dxa"/>
          </w:tcPr>
          <w:p w14:paraId="0F07B8AF" w14:textId="77777777" w:rsidR="009D0416" w:rsidRDefault="009D0416" w:rsidP="004F5D54">
            <w:pPr>
              <w:spacing w:line="288" w:lineRule="auto"/>
              <w:jc w:val="center"/>
              <w:rPr>
                <w:lang w:val="en-US"/>
              </w:rPr>
            </w:pPr>
          </w:p>
        </w:tc>
        <w:tc>
          <w:tcPr>
            <w:tcW w:w="7278" w:type="dxa"/>
          </w:tcPr>
          <w:p w14:paraId="3644C9C5" w14:textId="77777777" w:rsidR="009D0416" w:rsidRDefault="009D0416" w:rsidP="004F5D54">
            <w:pPr>
              <w:spacing w:line="288" w:lineRule="auto"/>
              <w:rPr>
                <w:lang w:val="en-US"/>
              </w:rPr>
            </w:pPr>
            <w:r w:rsidRPr="00050A46">
              <w:rPr>
                <w:lang w:val="en-US"/>
              </w:rPr>
              <w:t xml:space="preserve">Supplementary Figure </w:t>
            </w:r>
            <w:r>
              <w:rPr>
                <w:lang w:val="en-US"/>
              </w:rPr>
              <w:t>6</w:t>
            </w:r>
          </w:p>
        </w:tc>
        <w:tc>
          <w:tcPr>
            <w:tcW w:w="845" w:type="dxa"/>
          </w:tcPr>
          <w:p w14:paraId="07FD6D40" w14:textId="77777777" w:rsidR="009D0416" w:rsidRDefault="009D0416" w:rsidP="004F5D54">
            <w:pPr>
              <w:spacing w:line="288" w:lineRule="auto"/>
              <w:jc w:val="center"/>
              <w:rPr>
                <w:lang w:val="en-US"/>
              </w:rPr>
            </w:pPr>
            <w:r>
              <w:rPr>
                <w:lang w:val="en-US"/>
              </w:rPr>
              <w:t>6</w:t>
            </w:r>
          </w:p>
        </w:tc>
      </w:tr>
      <w:tr w:rsidR="004F5D54" w14:paraId="5E86DFFC" w14:textId="77777777" w:rsidTr="004F5D54">
        <w:tc>
          <w:tcPr>
            <w:tcW w:w="939" w:type="dxa"/>
          </w:tcPr>
          <w:p w14:paraId="74F5F9A0" w14:textId="77777777" w:rsidR="009D0416" w:rsidRDefault="009D0416" w:rsidP="004F5D54">
            <w:pPr>
              <w:spacing w:line="288" w:lineRule="auto"/>
              <w:jc w:val="center"/>
              <w:rPr>
                <w:lang w:val="en-US"/>
              </w:rPr>
            </w:pPr>
          </w:p>
        </w:tc>
        <w:tc>
          <w:tcPr>
            <w:tcW w:w="7278" w:type="dxa"/>
          </w:tcPr>
          <w:p w14:paraId="1B76698F" w14:textId="77777777" w:rsidR="009D0416" w:rsidRDefault="009D0416" w:rsidP="004F5D54">
            <w:pPr>
              <w:spacing w:line="288" w:lineRule="auto"/>
              <w:rPr>
                <w:lang w:val="en-US"/>
              </w:rPr>
            </w:pPr>
            <w:r w:rsidRPr="00050A46">
              <w:rPr>
                <w:lang w:val="en-US"/>
              </w:rPr>
              <w:t xml:space="preserve">Supplementary Figure </w:t>
            </w:r>
            <w:r>
              <w:rPr>
                <w:lang w:val="en-US"/>
              </w:rPr>
              <w:t>7</w:t>
            </w:r>
          </w:p>
        </w:tc>
        <w:tc>
          <w:tcPr>
            <w:tcW w:w="845" w:type="dxa"/>
          </w:tcPr>
          <w:p w14:paraId="28BC654C" w14:textId="77777777" w:rsidR="009D0416" w:rsidRDefault="009D0416" w:rsidP="004F5D54">
            <w:pPr>
              <w:spacing w:line="288" w:lineRule="auto"/>
              <w:jc w:val="center"/>
              <w:rPr>
                <w:lang w:val="en-US"/>
              </w:rPr>
            </w:pPr>
            <w:r>
              <w:rPr>
                <w:lang w:val="en-US"/>
              </w:rPr>
              <w:t>7</w:t>
            </w:r>
          </w:p>
        </w:tc>
      </w:tr>
      <w:tr w:rsidR="004F5D54" w14:paraId="670AE15E" w14:textId="77777777" w:rsidTr="004F5D54">
        <w:tc>
          <w:tcPr>
            <w:tcW w:w="939" w:type="dxa"/>
          </w:tcPr>
          <w:p w14:paraId="774BBC68" w14:textId="77777777" w:rsidR="009D0416" w:rsidRDefault="009D0416" w:rsidP="004F5D54">
            <w:pPr>
              <w:spacing w:line="288" w:lineRule="auto"/>
              <w:jc w:val="center"/>
              <w:rPr>
                <w:lang w:val="en-US"/>
              </w:rPr>
            </w:pPr>
          </w:p>
        </w:tc>
        <w:tc>
          <w:tcPr>
            <w:tcW w:w="7278" w:type="dxa"/>
          </w:tcPr>
          <w:p w14:paraId="2F87D745" w14:textId="77777777" w:rsidR="009D0416" w:rsidRDefault="009D0416" w:rsidP="004F5D54">
            <w:pPr>
              <w:spacing w:line="288" w:lineRule="auto"/>
              <w:rPr>
                <w:lang w:val="en-US"/>
              </w:rPr>
            </w:pPr>
            <w:r w:rsidRPr="00050A46">
              <w:rPr>
                <w:lang w:val="en-US"/>
              </w:rPr>
              <w:t xml:space="preserve">Supplementary Figure </w:t>
            </w:r>
            <w:r>
              <w:rPr>
                <w:lang w:val="en-US"/>
              </w:rPr>
              <w:t>8</w:t>
            </w:r>
          </w:p>
        </w:tc>
        <w:tc>
          <w:tcPr>
            <w:tcW w:w="845" w:type="dxa"/>
          </w:tcPr>
          <w:p w14:paraId="095A44B7" w14:textId="77777777" w:rsidR="009D0416" w:rsidRDefault="009D0416" w:rsidP="004F5D54">
            <w:pPr>
              <w:spacing w:line="288" w:lineRule="auto"/>
              <w:jc w:val="center"/>
              <w:rPr>
                <w:lang w:val="en-US"/>
              </w:rPr>
            </w:pPr>
            <w:r>
              <w:rPr>
                <w:lang w:val="en-US"/>
              </w:rPr>
              <w:t>8</w:t>
            </w:r>
          </w:p>
        </w:tc>
      </w:tr>
      <w:tr w:rsidR="004F5D54" w14:paraId="2F0983C5" w14:textId="77777777" w:rsidTr="004F5D54">
        <w:tc>
          <w:tcPr>
            <w:tcW w:w="939" w:type="dxa"/>
          </w:tcPr>
          <w:p w14:paraId="2774B887" w14:textId="77777777" w:rsidR="009D0416" w:rsidRDefault="009D0416" w:rsidP="004F5D54">
            <w:pPr>
              <w:spacing w:line="288" w:lineRule="auto"/>
              <w:jc w:val="center"/>
              <w:rPr>
                <w:lang w:val="en-US"/>
              </w:rPr>
            </w:pPr>
          </w:p>
        </w:tc>
        <w:tc>
          <w:tcPr>
            <w:tcW w:w="7278" w:type="dxa"/>
          </w:tcPr>
          <w:p w14:paraId="43D7E3AA" w14:textId="77777777" w:rsidR="009D0416" w:rsidRDefault="009D0416" w:rsidP="004F5D54">
            <w:pPr>
              <w:spacing w:line="288" w:lineRule="auto"/>
              <w:rPr>
                <w:lang w:val="en-US"/>
              </w:rPr>
            </w:pPr>
            <w:r w:rsidRPr="00050A46">
              <w:rPr>
                <w:lang w:val="en-US"/>
              </w:rPr>
              <w:t xml:space="preserve">Supplementary Figure </w:t>
            </w:r>
            <w:r>
              <w:rPr>
                <w:lang w:val="en-US"/>
              </w:rPr>
              <w:t>9</w:t>
            </w:r>
          </w:p>
        </w:tc>
        <w:tc>
          <w:tcPr>
            <w:tcW w:w="845" w:type="dxa"/>
          </w:tcPr>
          <w:p w14:paraId="4C45DBAE" w14:textId="77777777" w:rsidR="009D0416" w:rsidRDefault="009D0416" w:rsidP="004F5D54">
            <w:pPr>
              <w:spacing w:line="288" w:lineRule="auto"/>
              <w:jc w:val="center"/>
              <w:rPr>
                <w:lang w:val="en-US"/>
              </w:rPr>
            </w:pPr>
            <w:r>
              <w:rPr>
                <w:lang w:val="en-US"/>
              </w:rPr>
              <w:t>9</w:t>
            </w:r>
          </w:p>
        </w:tc>
      </w:tr>
      <w:tr w:rsidR="004F5D54" w14:paraId="42D27765" w14:textId="77777777" w:rsidTr="004F5D54">
        <w:tc>
          <w:tcPr>
            <w:tcW w:w="939" w:type="dxa"/>
          </w:tcPr>
          <w:p w14:paraId="1B10E314" w14:textId="77777777" w:rsidR="009D0416" w:rsidRDefault="009D0416" w:rsidP="004F5D54">
            <w:pPr>
              <w:spacing w:line="288" w:lineRule="auto"/>
              <w:jc w:val="center"/>
              <w:rPr>
                <w:lang w:val="en-US"/>
              </w:rPr>
            </w:pPr>
            <w:r>
              <w:rPr>
                <w:lang w:val="en-US"/>
              </w:rPr>
              <w:t>5</w:t>
            </w:r>
          </w:p>
        </w:tc>
        <w:tc>
          <w:tcPr>
            <w:tcW w:w="7278" w:type="dxa"/>
          </w:tcPr>
          <w:p w14:paraId="71E426D1" w14:textId="77777777" w:rsidR="009D0416" w:rsidRDefault="009D0416" w:rsidP="004F5D54">
            <w:pPr>
              <w:spacing w:line="288" w:lineRule="auto"/>
              <w:rPr>
                <w:lang w:val="en-US"/>
              </w:rPr>
            </w:pPr>
            <w:r w:rsidRPr="00101B9F">
              <w:rPr>
                <w:lang w:val="en-US"/>
              </w:rPr>
              <w:t>Memory analyses in the MRI subsample</w:t>
            </w:r>
          </w:p>
        </w:tc>
        <w:tc>
          <w:tcPr>
            <w:tcW w:w="845" w:type="dxa"/>
          </w:tcPr>
          <w:p w14:paraId="58B214BD" w14:textId="77777777" w:rsidR="009D0416" w:rsidRDefault="009D0416" w:rsidP="004F5D54">
            <w:pPr>
              <w:spacing w:line="288" w:lineRule="auto"/>
              <w:jc w:val="center"/>
              <w:rPr>
                <w:lang w:val="en-US"/>
              </w:rPr>
            </w:pPr>
            <w:r>
              <w:rPr>
                <w:lang w:val="en-US"/>
              </w:rPr>
              <w:t>10</w:t>
            </w:r>
          </w:p>
        </w:tc>
      </w:tr>
      <w:tr w:rsidR="004F5D54" w14:paraId="0B330D26" w14:textId="77777777" w:rsidTr="004F5D54">
        <w:tc>
          <w:tcPr>
            <w:tcW w:w="939" w:type="dxa"/>
          </w:tcPr>
          <w:p w14:paraId="1F3B2447" w14:textId="77777777" w:rsidR="009D0416" w:rsidRDefault="009D0416" w:rsidP="004F5D54">
            <w:pPr>
              <w:spacing w:line="288" w:lineRule="auto"/>
              <w:jc w:val="center"/>
              <w:rPr>
                <w:lang w:val="en-US"/>
              </w:rPr>
            </w:pPr>
          </w:p>
        </w:tc>
        <w:tc>
          <w:tcPr>
            <w:tcW w:w="7278" w:type="dxa"/>
          </w:tcPr>
          <w:p w14:paraId="3AEB6F51" w14:textId="77777777" w:rsidR="009D0416" w:rsidRDefault="009D0416" w:rsidP="004F5D54">
            <w:pPr>
              <w:spacing w:line="288" w:lineRule="auto"/>
              <w:rPr>
                <w:lang w:val="en-US"/>
              </w:rPr>
            </w:pPr>
            <w:r w:rsidRPr="00101B9F">
              <w:rPr>
                <w:lang w:val="en-US"/>
              </w:rPr>
              <w:t>Supplementary Figure 10</w:t>
            </w:r>
          </w:p>
        </w:tc>
        <w:tc>
          <w:tcPr>
            <w:tcW w:w="845" w:type="dxa"/>
          </w:tcPr>
          <w:p w14:paraId="751A40C0" w14:textId="77777777" w:rsidR="009D0416" w:rsidRDefault="009D0416" w:rsidP="004F5D54">
            <w:pPr>
              <w:spacing w:line="288" w:lineRule="auto"/>
              <w:jc w:val="center"/>
              <w:rPr>
                <w:lang w:val="en-US"/>
              </w:rPr>
            </w:pPr>
            <w:r>
              <w:rPr>
                <w:lang w:val="en-US"/>
              </w:rPr>
              <w:t>10</w:t>
            </w:r>
          </w:p>
        </w:tc>
      </w:tr>
      <w:tr w:rsidR="004F5D54" w14:paraId="647E6A87" w14:textId="77777777" w:rsidTr="004F5D54">
        <w:tc>
          <w:tcPr>
            <w:tcW w:w="939" w:type="dxa"/>
          </w:tcPr>
          <w:p w14:paraId="408C26F9" w14:textId="77777777" w:rsidR="009D0416" w:rsidRDefault="009D0416" w:rsidP="004F5D54">
            <w:pPr>
              <w:spacing w:line="288" w:lineRule="auto"/>
              <w:jc w:val="center"/>
              <w:rPr>
                <w:lang w:val="en-US"/>
              </w:rPr>
            </w:pPr>
          </w:p>
        </w:tc>
        <w:tc>
          <w:tcPr>
            <w:tcW w:w="7278" w:type="dxa"/>
          </w:tcPr>
          <w:p w14:paraId="5BBFF2D3" w14:textId="77777777" w:rsidR="009D0416" w:rsidRDefault="009D0416" w:rsidP="004F5D54">
            <w:pPr>
              <w:spacing w:line="288" w:lineRule="auto"/>
              <w:rPr>
                <w:lang w:val="en-US"/>
              </w:rPr>
            </w:pPr>
            <w:r w:rsidRPr="00101B9F">
              <w:rPr>
                <w:lang w:val="en-US"/>
              </w:rPr>
              <w:t>Supplementary Figure 11</w:t>
            </w:r>
          </w:p>
        </w:tc>
        <w:tc>
          <w:tcPr>
            <w:tcW w:w="845" w:type="dxa"/>
          </w:tcPr>
          <w:p w14:paraId="6DD376B8" w14:textId="77777777" w:rsidR="009D0416" w:rsidRDefault="009D0416" w:rsidP="004F5D54">
            <w:pPr>
              <w:spacing w:line="288" w:lineRule="auto"/>
              <w:jc w:val="center"/>
              <w:rPr>
                <w:lang w:val="en-US"/>
              </w:rPr>
            </w:pPr>
            <w:r>
              <w:rPr>
                <w:lang w:val="en-US"/>
              </w:rPr>
              <w:t>10</w:t>
            </w:r>
          </w:p>
        </w:tc>
      </w:tr>
      <w:tr w:rsidR="009D0416" w14:paraId="11E13C65" w14:textId="77777777" w:rsidTr="004F5D54">
        <w:tc>
          <w:tcPr>
            <w:tcW w:w="939" w:type="dxa"/>
          </w:tcPr>
          <w:p w14:paraId="60C99648" w14:textId="77777777" w:rsidR="009D0416" w:rsidRDefault="009D0416" w:rsidP="004F5D54">
            <w:pPr>
              <w:spacing w:line="288" w:lineRule="auto"/>
              <w:jc w:val="center"/>
              <w:rPr>
                <w:lang w:val="en-US"/>
              </w:rPr>
            </w:pPr>
            <w:r>
              <w:rPr>
                <w:lang w:val="en-US"/>
              </w:rPr>
              <w:t>6</w:t>
            </w:r>
          </w:p>
        </w:tc>
        <w:tc>
          <w:tcPr>
            <w:tcW w:w="7278" w:type="dxa"/>
          </w:tcPr>
          <w:p w14:paraId="30972ECF" w14:textId="77777777" w:rsidR="009D0416" w:rsidRPr="00101B9F" w:rsidRDefault="009D0416" w:rsidP="004F5D54">
            <w:pPr>
              <w:spacing w:line="288" w:lineRule="auto"/>
              <w:rPr>
                <w:lang w:val="en-US"/>
              </w:rPr>
            </w:pPr>
            <w:r>
              <w:rPr>
                <w:lang w:val="en-US"/>
              </w:rPr>
              <w:t>Brain atrophy analyses</w:t>
            </w:r>
          </w:p>
        </w:tc>
        <w:tc>
          <w:tcPr>
            <w:tcW w:w="845" w:type="dxa"/>
          </w:tcPr>
          <w:p w14:paraId="32EB8F32" w14:textId="77777777" w:rsidR="009D0416" w:rsidRDefault="009D0416" w:rsidP="004F5D54">
            <w:pPr>
              <w:spacing w:line="288" w:lineRule="auto"/>
              <w:jc w:val="center"/>
              <w:rPr>
                <w:lang w:val="en-US"/>
              </w:rPr>
            </w:pPr>
            <w:r>
              <w:rPr>
                <w:lang w:val="en-US"/>
              </w:rPr>
              <w:t>11</w:t>
            </w:r>
          </w:p>
        </w:tc>
      </w:tr>
      <w:tr w:rsidR="009D0416" w14:paraId="4A8BE48F" w14:textId="77777777" w:rsidTr="004F5D54">
        <w:tc>
          <w:tcPr>
            <w:tcW w:w="939" w:type="dxa"/>
          </w:tcPr>
          <w:p w14:paraId="08D6B042" w14:textId="77777777" w:rsidR="009D0416" w:rsidRDefault="009D0416" w:rsidP="004F5D54">
            <w:pPr>
              <w:spacing w:line="288" w:lineRule="auto"/>
              <w:jc w:val="center"/>
              <w:rPr>
                <w:lang w:val="en-US"/>
              </w:rPr>
            </w:pPr>
          </w:p>
        </w:tc>
        <w:tc>
          <w:tcPr>
            <w:tcW w:w="7278" w:type="dxa"/>
          </w:tcPr>
          <w:p w14:paraId="2F3484FB" w14:textId="77777777" w:rsidR="009D0416" w:rsidRPr="00101B9F" w:rsidRDefault="009D0416" w:rsidP="004F5D54">
            <w:pPr>
              <w:spacing w:line="288" w:lineRule="auto"/>
              <w:rPr>
                <w:lang w:val="en-US"/>
              </w:rPr>
            </w:pPr>
            <w:r w:rsidRPr="00E6683E">
              <w:rPr>
                <w:lang w:val="en-US"/>
              </w:rPr>
              <w:t>Supplementary Table 1</w:t>
            </w:r>
          </w:p>
        </w:tc>
        <w:tc>
          <w:tcPr>
            <w:tcW w:w="845" w:type="dxa"/>
          </w:tcPr>
          <w:p w14:paraId="0CDE6315" w14:textId="77777777" w:rsidR="009D0416" w:rsidRDefault="009D0416" w:rsidP="004F5D54">
            <w:pPr>
              <w:spacing w:line="288" w:lineRule="auto"/>
              <w:jc w:val="center"/>
              <w:rPr>
                <w:lang w:val="en-US"/>
              </w:rPr>
            </w:pPr>
            <w:r>
              <w:rPr>
                <w:lang w:val="en-US"/>
              </w:rPr>
              <w:t>11</w:t>
            </w:r>
          </w:p>
        </w:tc>
      </w:tr>
      <w:tr w:rsidR="009D0416" w14:paraId="679F7D4A" w14:textId="77777777" w:rsidTr="004F5D54">
        <w:tc>
          <w:tcPr>
            <w:tcW w:w="939" w:type="dxa"/>
          </w:tcPr>
          <w:p w14:paraId="73CC2A2C" w14:textId="77777777" w:rsidR="009D0416" w:rsidRDefault="009D0416" w:rsidP="004F5D54">
            <w:pPr>
              <w:spacing w:line="288" w:lineRule="auto"/>
              <w:jc w:val="center"/>
              <w:rPr>
                <w:lang w:val="en-US"/>
              </w:rPr>
            </w:pPr>
          </w:p>
        </w:tc>
        <w:tc>
          <w:tcPr>
            <w:tcW w:w="7278" w:type="dxa"/>
          </w:tcPr>
          <w:p w14:paraId="7A7ACD39" w14:textId="77777777" w:rsidR="009D0416" w:rsidRPr="00101B9F" w:rsidRDefault="009D0416" w:rsidP="004F5D54">
            <w:pPr>
              <w:spacing w:line="288" w:lineRule="auto"/>
              <w:rPr>
                <w:lang w:val="en-US"/>
              </w:rPr>
            </w:pPr>
            <w:r w:rsidRPr="00E6683E">
              <w:rPr>
                <w:lang w:val="en-US"/>
              </w:rPr>
              <w:t>Supplementary Figure 1</w:t>
            </w:r>
            <w:r>
              <w:rPr>
                <w:lang w:val="en-US"/>
              </w:rPr>
              <w:t>2</w:t>
            </w:r>
          </w:p>
        </w:tc>
        <w:tc>
          <w:tcPr>
            <w:tcW w:w="845" w:type="dxa"/>
          </w:tcPr>
          <w:p w14:paraId="541FEBA2" w14:textId="77777777" w:rsidR="009D0416" w:rsidRDefault="009D0416" w:rsidP="004F5D54">
            <w:pPr>
              <w:spacing w:line="288" w:lineRule="auto"/>
              <w:jc w:val="center"/>
              <w:rPr>
                <w:lang w:val="en-US"/>
              </w:rPr>
            </w:pPr>
            <w:r>
              <w:rPr>
                <w:lang w:val="en-US"/>
              </w:rPr>
              <w:t>13</w:t>
            </w:r>
          </w:p>
        </w:tc>
      </w:tr>
      <w:tr w:rsidR="009D0416" w14:paraId="7873B943" w14:textId="77777777" w:rsidTr="004F5D54">
        <w:tc>
          <w:tcPr>
            <w:tcW w:w="939" w:type="dxa"/>
          </w:tcPr>
          <w:p w14:paraId="6C967F1C" w14:textId="77777777" w:rsidR="009D0416" w:rsidRDefault="009D0416" w:rsidP="004F5D54">
            <w:pPr>
              <w:spacing w:line="288" w:lineRule="auto"/>
              <w:jc w:val="center"/>
              <w:rPr>
                <w:lang w:val="en-US"/>
              </w:rPr>
            </w:pPr>
          </w:p>
        </w:tc>
        <w:tc>
          <w:tcPr>
            <w:tcW w:w="7278" w:type="dxa"/>
          </w:tcPr>
          <w:p w14:paraId="64973F58" w14:textId="77777777" w:rsidR="009D0416" w:rsidRPr="00101B9F" w:rsidRDefault="009D0416" w:rsidP="004F5D54">
            <w:pPr>
              <w:spacing w:line="288" w:lineRule="auto"/>
              <w:rPr>
                <w:lang w:val="en-US"/>
              </w:rPr>
            </w:pPr>
            <w:r w:rsidRPr="00E6683E">
              <w:rPr>
                <w:lang w:val="en-US"/>
              </w:rPr>
              <w:t>Supplementary Figure 1</w:t>
            </w:r>
            <w:r>
              <w:rPr>
                <w:lang w:val="en-US"/>
              </w:rPr>
              <w:t>3</w:t>
            </w:r>
          </w:p>
        </w:tc>
        <w:tc>
          <w:tcPr>
            <w:tcW w:w="845" w:type="dxa"/>
          </w:tcPr>
          <w:p w14:paraId="1965FBA5" w14:textId="77777777" w:rsidR="009D0416" w:rsidRDefault="009D0416" w:rsidP="004F5D54">
            <w:pPr>
              <w:spacing w:line="288" w:lineRule="auto"/>
              <w:jc w:val="center"/>
              <w:rPr>
                <w:lang w:val="en-US"/>
              </w:rPr>
            </w:pPr>
            <w:r>
              <w:rPr>
                <w:lang w:val="en-US"/>
              </w:rPr>
              <w:t>14</w:t>
            </w:r>
          </w:p>
        </w:tc>
      </w:tr>
      <w:tr w:rsidR="009D0416" w14:paraId="2BB05E02" w14:textId="77777777" w:rsidTr="004F5D54">
        <w:tc>
          <w:tcPr>
            <w:tcW w:w="939" w:type="dxa"/>
          </w:tcPr>
          <w:p w14:paraId="0A9734C2" w14:textId="77777777" w:rsidR="009D0416" w:rsidRDefault="009D0416" w:rsidP="004F5D54">
            <w:pPr>
              <w:spacing w:line="288" w:lineRule="auto"/>
              <w:jc w:val="center"/>
              <w:rPr>
                <w:lang w:val="en-US"/>
              </w:rPr>
            </w:pPr>
            <w:r>
              <w:rPr>
                <w:lang w:val="en-US"/>
              </w:rPr>
              <w:t>7</w:t>
            </w:r>
          </w:p>
        </w:tc>
        <w:tc>
          <w:tcPr>
            <w:tcW w:w="7278" w:type="dxa"/>
          </w:tcPr>
          <w:p w14:paraId="65CF9BDD" w14:textId="27C045FE" w:rsidR="009D0416" w:rsidRPr="00101B9F" w:rsidRDefault="009D0416" w:rsidP="004F5D54">
            <w:pPr>
              <w:spacing w:line="288" w:lineRule="auto"/>
              <w:rPr>
                <w:lang w:val="en-US"/>
              </w:rPr>
            </w:pPr>
            <w:r w:rsidRPr="00E6683E">
              <w:rPr>
                <w:lang w:val="en-US"/>
              </w:rPr>
              <w:t xml:space="preserve">Robustness checks for analyses of what characterizes </w:t>
            </w:r>
            <w:r w:rsidR="006A1562">
              <w:rPr>
                <w:lang w:val="en-US"/>
              </w:rPr>
              <w:t>stable performers</w:t>
            </w:r>
          </w:p>
        </w:tc>
        <w:tc>
          <w:tcPr>
            <w:tcW w:w="845" w:type="dxa"/>
          </w:tcPr>
          <w:p w14:paraId="689B5FA0" w14:textId="77777777" w:rsidR="009D0416" w:rsidRDefault="009D0416" w:rsidP="004F5D54">
            <w:pPr>
              <w:spacing w:line="288" w:lineRule="auto"/>
              <w:jc w:val="center"/>
              <w:rPr>
                <w:lang w:val="en-US"/>
              </w:rPr>
            </w:pPr>
            <w:r>
              <w:rPr>
                <w:lang w:val="en-US"/>
              </w:rPr>
              <w:t>15</w:t>
            </w:r>
          </w:p>
        </w:tc>
      </w:tr>
      <w:tr w:rsidR="009D0416" w14:paraId="2FB7C409" w14:textId="77777777" w:rsidTr="004F5D54">
        <w:tc>
          <w:tcPr>
            <w:tcW w:w="939" w:type="dxa"/>
          </w:tcPr>
          <w:p w14:paraId="2813473F" w14:textId="77777777" w:rsidR="009D0416" w:rsidRDefault="009D0416" w:rsidP="004F5D54">
            <w:pPr>
              <w:spacing w:line="288" w:lineRule="auto"/>
              <w:jc w:val="center"/>
              <w:rPr>
                <w:lang w:val="en-US"/>
              </w:rPr>
            </w:pPr>
            <w:r>
              <w:rPr>
                <w:lang w:val="en-US"/>
              </w:rPr>
              <w:t>8</w:t>
            </w:r>
          </w:p>
        </w:tc>
        <w:tc>
          <w:tcPr>
            <w:tcW w:w="7278" w:type="dxa"/>
          </w:tcPr>
          <w:p w14:paraId="06A11189" w14:textId="77777777" w:rsidR="009D0416" w:rsidRPr="00101B9F" w:rsidRDefault="009D0416" w:rsidP="004F5D54">
            <w:pPr>
              <w:spacing w:line="288" w:lineRule="auto"/>
              <w:rPr>
                <w:lang w:val="en-US"/>
              </w:rPr>
            </w:pPr>
            <w:r w:rsidRPr="00E6683E">
              <w:rPr>
                <w:lang w:val="en-US"/>
              </w:rPr>
              <w:t>Robustness checks for mortality analyses</w:t>
            </w:r>
          </w:p>
        </w:tc>
        <w:tc>
          <w:tcPr>
            <w:tcW w:w="845" w:type="dxa"/>
          </w:tcPr>
          <w:p w14:paraId="6C2A597B" w14:textId="77777777" w:rsidR="009D0416" w:rsidRDefault="009D0416" w:rsidP="004F5D54">
            <w:pPr>
              <w:spacing w:line="288" w:lineRule="auto"/>
              <w:jc w:val="center"/>
              <w:rPr>
                <w:lang w:val="en-US"/>
              </w:rPr>
            </w:pPr>
            <w:r>
              <w:rPr>
                <w:lang w:val="en-US"/>
              </w:rPr>
              <w:t>16</w:t>
            </w:r>
          </w:p>
        </w:tc>
      </w:tr>
      <w:tr w:rsidR="009D0416" w14:paraId="4B998EF6" w14:textId="77777777" w:rsidTr="004F5D54">
        <w:tc>
          <w:tcPr>
            <w:tcW w:w="939" w:type="dxa"/>
          </w:tcPr>
          <w:p w14:paraId="37E86CF4" w14:textId="77777777" w:rsidR="009D0416" w:rsidRDefault="009D0416" w:rsidP="004F5D54">
            <w:pPr>
              <w:spacing w:line="288" w:lineRule="auto"/>
              <w:jc w:val="center"/>
              <w:rPr>
                <w:lang w:val="en-US"/>
              </w:rPr>
            </w:pPr>
            <w:r>
              <w:rPr>
                <w:lang w:val="en-US"/>
              </w:rPr>
              <w:t>9</w:t>
            </w:r>
          </w:p>
        </w:tc>
        <w:tc>
          <w:tcPr>
            <w:tcW w:w="7278" w:type="dxa"/>
          </w:tcPr>
          <w:p w14:paraId="6AA8A4C1" w14:textId="77777777" w:rsidR="009D0416" w:rsidRPr="00101B9F" w:rsidRDefault="009D0416" w:rsidP="004F5D54">
            <w:pPr>
              <w:spacing w:line="288" w:lineRule="auto"/>
              <w:rPr>
                <w:lang w:val="en-US"/>
              </w:rPr>
            </w:pPr>
            <w:r w:rsidRPr="00100B86">
              <w:rPr>
                <w:lang w:val="en-US"/>
              </w:rPr>
              <w:t>Identification of burst-decline in individual SHARE participants</w:t>
            </w:r>
          </w:p>
        </w:tc>
        <w:tc>
          <w:tcPr>
            <w:tcW w:w="845" w:type="dxa"/>
          </w:tcPr>
          <w:p w14:paraId="62C57154" w14:textId="77777777" w:rsidR="009D0416" w:rsidRDefault="009D0416" w:rsidP="004F5D54">
            <w:pPr>
              <w:spacing w:line="288" w:lineRule="auto"/>
              <w:jc w:val="center"/>
              <w:rPr>
                <w:lang w:val="en-US"/>
              </w:rPr>
            </w:pPr>
            <w:r>
              <w:rPr>
                <w:lang w:val="en-US"/>
              </w:rPr>
              <w:t>18</w:t>
            </w:r>
          </w:p>
        </w:tc>
      </w:tr>
      <w:tr w:rsidR="009D0416" w14:paraId="1098F6B5" w14:textId="77777777" w:rsidTr="004F5D54">
        <w:tc>
          <w:tcPr>
            <w:tcW w:w="939" w:type="dxa"/>
          </w:tcPr>
          <w:p w14:paraId="5D0E5F56" w14:textId="77777777" w:rsidR="009D0416" w:rsidRDefault="009D0416" w:rsidP="004F5D54">
            <w:pPr>
              <w:spacing w:line="288" w:lineRule="auto"/>
              <w:jc w:val="center"/>
              <w:rPr>
                <w:lang w:val="en-US"/>
              </w:rPr>
            </w:pPr>
          </w:p>
        </w:tc>
        <w:tc>
          <w:tcPr>
            <w:tcW w:w="7278" w:type="dxa"/>
          </w:tcPr>
          <w:p w14:paraId="0B6C5CA2" w14:textId="77777777" w:rsidR="009D0416" w:rsidRPr="00101B9F" w:rsidRDefault="009D0416" w:rsidP="004F5D54">
            <w:pPr>
              <w:spacing w:line="288" w:lineRule="auto"/>
              <w:rPr>
                <w:lang w:val="en-US"/>
              </w:rPr>
            </w:pPr>
            <w:r w:rsidRPr="00100B86">
              <w:rPr>
                <w:lang w:val="en-US"/>
              </w:rPr>
              <w:t>Supplementary Figure 14</w:t>
            </w:r>
          </w:p>
        </w:tc>
        <w:tc>
          <w:tcPr>
            <w:tcW w:w="845" w:type="dxa"/>
          </w:tcPr>
          <w:p w14:paraId="572A6607" w14:textId="77777777" w:rsidR="009D0416" w:rsidRDefault="009D0416" w:rsidP="004F5D54">
            <w:pPr>
              <w:spacing w:line="288" w:lineRule="auto"/>
              <w:jc w:val="center"/>
              <w:rPr>
                <w:lang w:val="en-US"/>
              </w:rPr>
            </w:pPr>
            <w:r>
              <w:rPr>
                <w:lang w:val="en-US"/>
              </w:rPr>
              <w:t>19</w:t>
            </w:r>
          </w:p>
        </w:tc>
      </w:tr>
      <w:tr w:rsidR="009D0416" w14:paraId="72415524" w14:textId="77777777" w:rsidTr="004F5D54">
        <w:tc>
          <w:tcPr>
            <w:tcW w:w="939" w:type="dxa"/>
          </w:tcPr>
          <w:p w14:paraId="573D4143" w14:textId="77777777" w:rsidR="009D0416" w:rsidRDefault="009D0416" w:rsidP="004F5D54">
            <w:pPr>
              <w:spacing w:line="288" w:lineRule="auto"/>
              <w:jc w:val="center"/>
              <w:rPr>
                <w:lang w:val="en-US"/>
              </w:rPr>
            </w:pPr>
            <w:r>
              <w:rPr>
                <w:lang w:val="en-US"/>
              </w:rPr>
              <w:t>10</w:t>
            </w:r>
          </w:p>
        </w:tc>
        <w:tc>
          <w:tcPr>
            <w:tcW w:w="7278" w:type="dxa"/>
          </w:tcPr>
          <w:p w14:paraId="63FD9A6E" w14:textId="77777777" w:rsidR="009D0416" w:rsidRPr="00101B9F" w:rsidRDefault="009D0416" w:rsidP="004F5D54">
            <w:pPr>
              <w:spacing w:line="288" w:lineRule="auto"/>
              <w:rPr>
                <w:lang w:val="en-US"/>
              </w:rPr>
            </w:pPr>
            <w:r>
              <w:rPr>
                <w:lang w:val="en-US"/>
              </w:rPr>
              <w:t>Offset – slope analyses</w:t>
            </w:r>
          </w:p>
        </w:tc>
        <w:tc>
          <w:tcPr>
            <w:tcW w:w="845" w:type="dxa"/>
          </w:tcPr>
          <w:p w14:paraId="131A47CE" w14:textId="77777777" w:rsidR="009D0416" w:rsidRDefault="009D0416" w:rsidP="004F5D54">
            <w:pPr>
              <w:spacing w:line="288" w:lineRule="auto"/>
              <w:jc w:val="center"/>
              <w:rPr>
                <w:lang w:val="en-US"/>
              </w:rPr>
            </w:pPr>
            <w:r>
              <w:rPr>
                <w:lang w:val="en-US"/>
              </w:rPr>
              <w:t>20</w:t>
            </w:r>
          </w:p>
        </w:tc>
      </w:tr>
      <w:tr w:rsidR="009D0416" w14:paraId="220763AF" w14:textId="77777777" w:rsidTr="004F5D54">
        <w:tc>
          <w:tcPr>
            <w:tcW w:w="939" w:type="dxa"/>
          </w:tcPr>
          <w:p w14:paraId="4F6C45D5" w14:textId="77777777" w:rsidR="009D0416" w:rsidRDefault="009D0416" w:rsidP="004F5D54">
            <w:pPr>
              <w:spacing w:line="288" w:lineRule="auto"/>
              <w:jc w:val="center"/>
              <w:rPr>
                <w:lang w:val="en-US"/>
              </w:rPr>
            </w:pPr>
          </w:p>
        </w:tc>
        <w:tc>
          <w:tcPr>
            <w:tcW w:w="7278" w:type="dxa"/>
          </w:tcPr>
          <w:p w14:paraId="07BFCAAF" w14:textId="77777777" w:rsidR="009D0416" w:rsidRPr="00101B9F" w:rsidRDefault="009D0416" w:rsidP="004F5D54">
            <w:pPr>
              <w:spacing w:line="288" w:lineRule="auto"/>
              <w:rPr>
                <w:lang w:val="en-US"/>
              </w:rPr>
            </w:pPr>
            <w:r w:rsidRPr="00100B86">
              <w:rPr>
                <w:lang w:val="en-US"/>
              </w:rPr>
              <w:t>Supplementary Figure 1</w:t>
            </w:r>
            <w:r>
              <w:rPr>
                <w:lang w:val="en-US"/>
              </w:rPr>
              <w:t>5</w:t>
            </w:r>
          </w:p>
        </w:tc>
        <w:tc>
          <w:tcPr>
            <w:tcW w:w="845" w:type="dxa"/>
          </w:tcPr>
          <w:p w14:paraId="63CF47EE" w14:textId="77777777" w:rsidR="009D0416" w:rsidRDefault="009D0416" w:rsidP="004F5D54">
            <w:pPr>
              <w:spacing w:line="288" w:lineRule="auto"/>
              <w:jc w:val="center"/>
              <w:rPr>
                <w:lang w:val="en-US"/>
              </w:rPr>
            </w:pPr>
            <w:r>
              <w:rPr>
                <w:lang w:val="en-US"/>
              </w:rPr>
              <w:t>20</w:t>
            </w:r>
          </w:p>
        </w:tc>
      </w:tr>
      <w:tr w:rsidR="009D0416" w14:paraId="2C38DBEE" w14:textId="77777777" w:rsidTr="004F5D54">
        <w:tc>
          <w:tcPr>
            <w:tcW w:w="939" w:type="dxa"/>
          </w:tcPr>
          <w:p w14:paraId="1087EB79" w14:textId="77777777" w:rsidR="009D0416" w:rsidRDefault="009D0416" w:rsidP="004F5D54">
            <w:pPr>
              <w:spacing w:line="288" w:lineRule="auto"/>
              <w:jc w:val="center"/>
              <w:rPr>
                <w:lang w:val="en-US"/>
              </w:rPr>
            </w:pPr>
          </w:p>
        </w:tc>
        <w:tc>
          <w:tcPr>
            <w:tcW w:w="7278" w:type="dxa"/>
          </w:tcPr>
          <w:p w14:paraId="49612B97" w14:textId="77777777" w:rsidR="009D0416" w:rsidRPr="00101B9F" w:rsidRDefault="009D0416" w:rsidP="004F5D54">
            <w:pPr>
              <w:spacing w:line="288" w:lineRule="auto"/>
              <w:rPr>
                <w:lang w:val="en-US"/>
              </w:rPr>
            </w:pPr>
            <w:r w:rsidRPr="00100B86">
              <w:rPr>
                <w:lang w:val="en-US"/>
              </w:rPr>
              <w:t>Supplementary Figure 1</w:t>
            </w:r>
            <w:r>
              <w:rPr>
                <w:lang w:val="en-US"/>
              </w:rPr>
              <w:t>6</w:t>
            </w:r>
          </w:p>
        </w:tc>
        <w:tc>
          <w:tcPr>
            <w:tcW w:w="845" w:type="dxa"/>
          </w:tcPr>
          <w:p w14:paraId="2FD22742" w14:textId="77777777" w:rsidR="009D0416" w:rsidRDefault="009D0416" w:rsidP="004F5D54">
            <w:pPr>
              <w:spacing w:line="288" w:lineRule="auto"/>
              <w:jc w:val="center"/>
              <w:rPr>
                <w:lang w:val="en-US"/>
              </w:rPr>
            </w:pPr>
            <w:r>
              <w:rPr>
                <w:lang w:val="en-US"/>
              </w:rPr>
              <w:t>20</w:t>
            </w:r>
          </w:p>
        </w:tc>
      </w:tr>
      <w:tr w:rsidR="009D0416" w14:paraId="4705C4DC" w14:textId="77777777" w:rsidTr="004F5D54">
        <w:tc>
          <w:tcPr>
            <w:tcW w:w="939" w:type="dxa"/>
          </w:tcPr>
          <w:p w14:paraId="1C5A01D8" w14:textId="77777777" w:rsidR="009D0416" w:rsidRDefault="009D0416" w:rsidP="004F5D54">
            <w:pPr>
              <w:spacing w:line="288" w:lineRule="auto"/>
              <w:jc w:val="center"/>
              <w:rPr>
                <w:lang w:val="en-US"/>
              </w:rPr>
            </w:pPr>
          </w:p>
        </w:tc>
        <w:tc>
          <w:tcPr>
            <w:tcW w:w="7278" w:type="dxa"/>
          </w:tcPr>
          <w:p w14:paraId="440580C7" w14:textId="77777777" w:rsidR="009D0416" w:rsidRPr="00101B9F" w:rsidRDefault="009D0416" w:rsidP="004F5D54">
            <w:pPr>
              <w:spacing w:line="288" w:lineRule="auto"/>
              <w:rPr>
                <w:lang w:val="en-US"/>
              </w:rPr>
            </w:pPr>
            <w:r w:rsidRPr="00100B86">
              <w:rPr>
                <w:lang w:val="en-US"/>
              </w:rPr>
              <w:t>Supplementary Figure 1</w:t>
            </w:r>
            <w:r>
              <w:rPr>
                <w:lang w:val="en-US"/>
              </w:rPr>
              <w:t>7</w:t>
            </w:r>
          </w:p>
        </w:tc>
        <w:tc>
          <w:tcPr>
            <w:tcW w:w="845" w:type="dxa"/>
          </w:tcPr>
          <w:p w14:paraId="222A2CCF" w14:textId="77777777" w:rsidR="009D0416" w:rsidRDefault="009D0416" w:rsidP="004F5D54">
            <w:pPr>
              <w:spacing w:line="288" w:lineRule="auto"/>
              <w:jc w:val="center"/>
              <w:rPr>
                <w:lang w:val="en-US"/>
              </w:rPr>
            </w:pPr>
            <w:r>
              <w:rPr>
                <w:lang w:val="en-US"/>
              </w:rPr>
              <w:t>21</w:t>
            </w:r>
          </w:p>
        </w:tc>
      </w:tr>
      <w:tr w:rsidR="009D0416" w14:paraId="238422A4" w14:textId="77777777" w:rsidTr="004F5D54">
        <w:tc>
          <w:tcPr>
            <w:tcW w:w="939" w:type="dxa"/>
          </w:tcPr>
          <w:p w14:paraId="435E0696" w14:textId="77777777" w:rsidR="009D0416" w:rsidRDefault="009D0416" w:rsidP="004F5D54">
            <w:pPr>
              <w:spacing w:line="288" w:lineRule="auto"/>
              <w:jc w:val="center"/>
              <w:rPr>
                <w:lang w:val="en-US"/>
              </w:rPr>
            </w:pPr>
            <w:r>
              <w:rPr>
                <w:lang w:val="en-US"/>
              </w:rPr>
              <w:t>11</w:t>
            </w:r>
          </w:p>
        </w:tc>
        <w:tc>
          <w:tcPr>
            <w:tcW w:w="7278" w:type="dxa"/>
          </w:tcPr>
          <w:p w14:paraId="092F7A18" w14:textId="5831E352" w:rsidR="009D0416" w:rsidRPr="00101B9F" w:rsidRDefault="009D0416" w:rsidP="004F5D54">
            <w:pPr>
              <w:spacing w:line="288" w:lineRule="auto"/>
              <w:rPr>
                <w:lang w:val="en-US"/>
              </w:rPr>
            </w:pPr>
            <w:r>
              <w:rPr>
                <w:lang w:val="en-US"/>
              </w:rPr>
              <w:t xml:space="preserve">Maintenance bout analyses – </w:t>
            </w:r>
            <w:r w:rsidR="006A1562">
              <w:rPr>
                <w:lang w:val="en-US"/>
              </w:rPr>
              <w:t>stability</w:t>
            </w:r>
            <w:r>
              <w:rPr>
                <w:lang w:val="en-US"/>
              </w:rPr>
              <w:t xml:space="preserve"> as a state</w:t>
            </w:r>
          </w:p>
        </w:tc>
        <w:tc>
          <w:tcPr>
            <w:tcW w:w="845" w:type="dxa"/>
          </w:tcPr>
          <w:p w14:paraId="7D6B96C6" w14:textId="77777777" w:rsidR="009D0416" w:rsidRDefault="009D0416" w:rsidP="004F5D54">
            <w:pPr>
              <w:spacing w:line="288" w:lineRule="auto"/>
              <w:jc w:val="center"/>
              <w:rPr>
                <w:lang w:val="en-US"/>
              </w:rPr>
            </w:pPr>
            <w:r>
              <w:rPr>
                <w:lang w:val="en-US"/>
              </w:rPr>
              <w:t>22</w:t>
            </w:r>
          </w:p>
        </w:tc>
      </w:tr>
      <w:tr w:rsidR="009D0416" w14:paraId="3DE691C2" w14:textId="77777777" w:rsidTr="004F5D54">
        <w:tc>
          <w:tcPr>
            <w:tcW w:w="939" w:type="dxa"/>
          </w:tcPr>
          <w:p w14:paraId="1F31B909" w14:textId="77777777" w:rsidR="009D0416" w:rsidRDefault="009D0416" w:rsidP="004F5D54">
            <w:pPr>
              <w:spacing w:line="288" w:lineRule="auto"/>
              <w:jc w:val="center"/>
              <w:rPr>
                <w:lang w:val="en-US"/>
              </w:rPr>
            </w:pPr>
          </w:p>
        </w:tc>
        <w:tc>
          <w:tcPr>
            <w:tcW w:w="7278" w:type="dxa"/>
          </w:tcPr>
          <w:p w14:paraId="51943E5F" w14:textId="77777777" w:rsidR="009D0416" w:rsidRPr="00101B9F" w:rsidRDefault="009D0416" w:rsidP="004F5D54">
            <w:pPr>
              <w:spacing w:line="288" w:lineRule="auto"/>
              <w:rPr>
                <w:lang w:val="en-US"/>
              </w:rPr>
            </w:pPr>
            <w:r w:rsidRPr="00100B86">
              <w:rPr>
                <w:lang w:val="en-US"/>
              </w:rPr>
              <w:t>Supplementary Figure 1</w:t>
            </w:r>
            <w:r>
              <w:rPr>
                <w:lang w:val="en-US"/>
              </w:rPr>
              <w:t>8</w:t>
            </w:r>
          </w:p>
        </w:tc>
        <w:tc>
          <w:tcPr>
            <w:tcW w:w="845" w:type="dxa"/>
          </w:tcPr>
          <w:p w14:paraId="3F29B3E1" w14:textId="77777777" w:rsidR="009D0416" w:rsidRDefault="009D0416" w:rsidP="004F5D54">
            <w:pPr>
              <w:spacing w:line="288" w:lineRule="auto"/>
              <w:jc w:val="center"/>
              <w:rPr>
                <w:lang w:val="en-US"/>
              </w:rPr>
            </w:pPr>
            <w:r>
              <w:rPr>
                <w:lang w:val="en-US"/>
              </w:rPr>
              <w:t>22</w:t>
            </w:r>
          </w:p>
        </w:tc>
      </w:tr>
      <w:tr w:rsidR="009D0416" w14:paraId="524DDCF2" w14:textId="77777777" w:rsidTr="004F5D54">
        <w:tc>
          <w:tcPr>
            <w:tcW w:w="939" w:type="dxa"/>
          </w:tcPr>
          <w:p w14:paraId="5172A335" w14:textId="77777777" w:rsidR="009D0416" w:rsidRDefault="009D0416" w:rsidP="004F5D54">
            <w:pPr>
              <w:spacing w:line="288" w:lineRule="auto"/>
              <w:jc w:val="center"/>
              <w:rPr>
                <w:lang w:val="en-US"/>
              </w:rPr>
            </w:pPr>
          </w:p>
        </w:tc>
        <w:tc>
          <w:tcPr>
            <w:tcW w:w="7278" w:type="dxa"/>
          </w:tcPr>
          <w:p w14:paraId="35EBF907" w14:textId="77777777" w:rsidR="009D0416" w:rsidRPr="00100B86" w:rsidRDefault="009D0416" w:rsidP="004F5D54">
            <w:pPr>
              <w:spacing w:line="288" w:lineRule="auto"/>
              <w:rPr>
                <w:lang w:val="en-US"/>
              </w:rPr>
            </w:pPr>
            <w:r w:rsidRPr="00100B86">
              <w:rPr>
                <w:lang w:val="en-US"/>
              </w:rPr>
              <w:t>Supplementary Figure 1</w:t>
            </w:r>
            <w:r>
              <w:rPr>
                <w:lang w:val="en-US"/>
              </w:rPr>
              <w:t>9</w:t>
            </w:r>
          </w:p>
        </w:tc>
        <w:tc>
          <w:tcPr>
            <w:tcW w:w="845" w:type="dxa"/>
          </w:tcPr>
          <w:p w14:paraId="38BD540A" w14:textId="77777777" w:rsidR="009D0416" w:rsidRDefault="009D0416" w:rsidP="004F5D54">
            <w:pPr>
              <w:spacing w:line="288" w:lineRule="auto"/>
              <w:jc w:val="center"/>
              <w:rPr>
                <w:lang w:val="en-US"/>
              </w:rPr>
            </w:pPr>
            <w:r>
              <w:rPr>
                <w:lang w:val="en-US"/>
              </w:rPr>
              <w:t>23</w:t>
            </w:r>
          </w:p>
        </w:tc>
      </w:tr>
      <w:tr w:rsidR="009D0416" w14:paraId="3B3BE9E7" w14:textId="77777777" w:rsidTr="004F5D54">
        <w:tc>
          <w:tcPr>
            <w:tcW w:w="939" w:type="dxa"/>
          </w:tcPr>
          <w:p w14:paraId="10221D8A" w14:textId="77777777" w:rsidR="009D0416" w:rsidRDefault="009D0416" w:rsidP="004F5D54">
            <w:pPr>
              <w:spacing w:line="288" w:lineRule="auto"/>
              <w:jc w:val="center"/>
              <w:rPr>
                <w:lang w:val="en-US"/>
              </w:rPr>
            </w:pPr>
            <w:r>
              <w:rPr>
                <w:lang w:val="en-US"/>
              </w:rPr>
              <w:t>12</w:t>
            </w:r>
          </w:p>
        </w:tc>
        <w:tc>
          <w:tcPr>
            <w:tcW w:w="7278" w:type="dxa"/>
          </w:tcPr>
          <w:p w14:paraId="07D3E0A6" w14:textId="77777777" w:rsidR="009D0416" w:rsidRPr="00100B86" w:rsidRDefault="009D0416" w:rsidP="004F5D54">
            <w:pPr>
              <w:spacing w:line="288" w:lineRule="auto"/>
              <w:rPr>
                <w:lang w:val="en-US"/>
              </w:rPr>
            </w:pPr>
            <w:r>
              <w:rPr>
                <w:lang w:val="en-US"/>
              </w:rPr>
              <w:t>Additional information on MRI subsample datasets</w:t>
            </w:r>
          </w:p>
        </w:tc>
        <w:tc>
          <w:tcPr>
            <w:tcW w:w="845" w:type="dxa"/>
          </w:tcPr>
          <w:p w14:paraId="665DE58B" w14:textId="14DEBD3F" w:rsidR="009D0416" w:rsidRDefault="009D0416" w:rsidP="004F5D54">
            <w:pPr>
              <w:spacing w:line="288" w:lineRule="auto"/>
              <w:jc w:val="center"/>
              <w:rPr>
                <w:lang w:val="en-US"/>
              </w:rPr>
            </w:pPr>
            <w:r>
              <w:rPr>
                <w:lang w:val="en-US"/>
              </w:rPr>
              <w:t>2</w:t>
            </w:r>
            <w:r w:rsidR="00444FF4">
              <w:rPr>
                <w:lang w:val="en-US"/>
              </w:rPr>
              <w:t>4</w:t>
            </w:r>
          </w:p>
        </w:tc>
      </w:tr>
      <w:tr w:rsidR="009D0416" w14:paraId="5F67DCF0" w14:textId="77777777" w:rsidTr="004F5D54">
        <w:tc>
          <w:tcPr>
            <w:tcW w:w="939" w:type="dxa"/>
          </w:tcPr>
          <w:p w14:paraId="048905AF" w14:textId="77777777" w:rsidR="009D0416" w:rsidRDefault="009D0416" w:rsidP="004F5D54">
            <w:pPr>
              <w:spacing w:line="288" w:lineRule="auto"/>
              <w:jc w:val="center"/>
              <w:rPr>
                <w:lang w:val="en-US"/>
              </w:rPr>
            </w:pPr>
          </w:p>
        </w:tc>
        <w:tc>
          <w:tcPr>
            <w:tcW w:w="7278" w:type="dxa"/>
          </w:tcPr>
          <w:p w14:paraId="17ABB7FC" w14:textId="77777777" w:rsidR="009D0416" w:rsidRDefault="009D0416" w:rsidP="004F5D54">
            <w:pPr>
              <w:spacing w:line="288" w:lineRule="auto"/>
              <w:rPr>
                <w:lang w:val="en-US"/>
              </w:rPr>
            </w:pPr>
            <w:r w:rsidRPr="00D50F53">
              <w:rPr>
                <w:lang w:val="en-US"/>
              </w:rPr>
              <w:t>Supplementary Table 2</w:t>
            </w:r>
          </w:p>
        </w:tc>
        <w:tc>
          <w:tcPr>
            <w:tcW w:w="845" w:type="dxa"/>
          </w:tcPr>
          <w:p w14:paraId="31BDF4DF" w14:textId="5DE4DA3F" w:rsidR="009D0416" w:rsidRDefault="009D0416" w:rsidP="004F5D54">
            <w:pPr>
              <w:spacing w:line="288" w:lineRule="auto"/>
              <w:jc w:val="center"/>
              <w:rPr>
                <w:lang w:val="en-US"/>
              </w:rPr>
            </w:pPr>
            <w:r>
              <w:rPr>
                <w:lang w:val="en-US"/>
              </w:rPr>
              <w:t>2</w:t>
            </w:r>
            <w:r w:rsidR="00444FF4">
              <w:rPr>
                <w:lang w:val="en-US"/>
              </w:rPr>
              <w:t>4</w:t>
            </w:r>
          </w:p>
        </w:tc>
      </w:tr>
      <w:tr w:rsidR="009D0416" w14:paraId="2D335B15" w14:textId="77777777" w:rsidTr="003B6783">
        <w:tc>
          <w:tcPr>
            <w:tcW w:w="939" w:type="dxa"/>
          </w:tcPr>
          <w:p w14:paraId="2E93B96E" w14:textId="77777777" w:rsidR="009D0416" w:rsidRDefault="009D0416" w:rsidP="004F5D54">
            <w:pPr>
              <w:spacing w:line="288" w:lineRule="auto"/>
              <w:jc w:val="center"/>
              <w:rPr>
                <w:lang w:val="en-US"/>
              </w:rPr>
            </w:pPr>
            <w:r>
              <w:rPr>
                <w:lang w:val="en-US"/>
              </w:rPr>
              <w:t>13</w:t>
            </w:r>
          </w:p>
        </w:tc>
        <w:tc>
          <w:tcPr>
            <w:tcW w:w="7278" w:type="dxa"/>
          </w:tcPr>
          <w:p w14:paraId="743D8D6B" w14:textId="02828026" w:rsidR="009D0416" w:rsidRDefault="009D0416" w:rsidP="004F5D54">
            <w:pPr>
              <w:spacing w:line="288" w:lineRule="auto"/>
              <w:rPr>
                <w:lang w:val="en-US"/>
              </w:rPr>
            </w:pPr>
            <w:r>
              <w:rPr>
                <w:lang w:val="en-US"/>
              </w:rPr>
              <w:t>Funding</w:t>
            </w:r>
            <w:r w:rsidR="00C44B64">
              <w:rPr>
                <w:lang w:val="en-US"/>
              </w:rPr>
              <w:t>, acknowledgements and additional cohort information</w:t>
            </w:r>
          </w:p>
        </w:tc>
        <w:tc>
          <w:tcPr>
            <w:tcW w:w="845" w:type="dxa"/>
          </w:tcPr>
          <w:p w14:paraId="7867479D" w14:textId="0EAA0C5A" w:rsidR="009D0416" w:rsidRDefault="009D0416" w:rsidP="004F5D54">
            <w:pPr>
              <w:spacing w:line="288" w:lineRule="auto"/>
              <w:jc w:val="center"/>
              <w:rPr>
                <w:lang w:val="en-US"/>
              </w:rPr>
            </w:pPr>
            <w:r>
              <w:rPr>
                <w:lang w:val="en-US"/>
              </w:rPr>
              <w:t>2</w:t>
            </w:r>
            <w:r w:rsidR="00B16251">
              <w:rPr>
                <w:lang w:val="en-US"/>
              </w:rPr>
              <w:t>9</w:t>
            </w:r>
          </w:p>
        </w:tc>
      </w:tr>
      <w:tr w:rsidR="003B6783" w:rsidRPr="003B6783" w14:paraId="5E0B4480" w14:textId="77777777" w:rsidTr="0085068A">
        <w:tc>
          <w:tcPr>
            <w:tcW w:w="939" w:type="dxa"/>
          </w:tcPr>
          <w:p w14:paraId="222BE392" w14:textId="1FE9EE60" w:rsidR="003B6783" w:rsidRDefault="003B6783" w:rsidP="004F5D54">
            <w:pPr>
              <w:spacing w:line="288" w:lineRule="auto"/>
              <w:jc w:val="center"/>
              <w:rPr>
                <w:lang w:val="en-US"/>
              </w:rPr>
            </w:pPr>
            <w:r>
              <w:rPr>
                <w:lang w:val="en-US"/>
              </w:rPr>
              <w:t>14</w:t>
            </w:r>
          </w:p>
        </w:tc>
        <w:tc>
          <w:tcPr>
            <w:tcW w:w="7278" w:type="dxa"/>
          </w:tcPr>
          <w:p w14:paraId="08C6146F" w14:textId="11080A9B" w:rsidR="003B6783" w:rsidRDefault="003B6783" w:rsidP="004F5D54">
            <w:pPr>
              <w:spacing w:line="288" w:lineRule="auto"/>
              <w:rPr>
                <w:lang w:val="en-US"/>
              </w:rPr>
            </w:pPr>
            <w:r>
              <w:rPr>
                <w:lang w:val="en-US"/>
              </w:rPr>
              <w:t>Additional SHARE and Betula analyses</w:t>
            </w:r>
          </w:p>
        </w:tc>
        <w:tc>
          <w:tcPr>
            <w:tcW w:w="845" w:type="dxa"/>
          </w:tcPr>
          <w:p w14:paraId="320AA93D" w14:textId="700EBDBB" w:rsidR="003B6783" w:rsidRDefault="003B6783" w:rsidP="004F5D54">
            <w:pPr>
              <w:spacing w:line="288" w:lineRule="auto"/>
              <w:jc w:val="center"/>
              <w:rPr>
                <w:lang w:val="en-US"/>
              </w:rPr>
            </w:pPr>
            <w:r>
              <w:rPr>
                <w:lang w:val="en-US"/>
              </w:rPr>
              <w:t>32</w:t>
            </w:r>
          </w:p>
        </w:tc>
      </w:tr>
      <w:tr w:rsidR="0085068A" w:rsidRPr="003B6783" w14:paraId="702B6987" w14:textId="77777777" w:rsidTr="0085068A">
        <w:tc>
          <w:tcPr>
            <w:tcW w:w="939" w:type="dxa"/>
          </w:tcPr>
          <w:p w14:paraId="28246D81" w14:textId="77777777" w:rsidR="0085068A" w:rsidRDefault="0085068A" w:rsidP="004F5D54">
            <w:pPr>
              <w:spacing w:line="288" w:lineRule="auto"/>
              <w:jc w:val="center"/>
              <w:rPr>
                <w:lang w:val="en-US"/>
              </w:rPr>
            </w:pPr>
          </w:p>
        </w:tc>
        <w:tc>
          <w:tcPr>
            <w:tcW w:w="7278" w:type="dxa"/>
          </w:tcPr>
          <w:p w14:paraId="1889A696" w14:textId="4A7CB50A" w:rsidR="0085068A" w:rsidRDefault="0085068A" w:rsidP="004F5D54">
            <w:pPr>
              <w:spacing w:line="288" w:lineRule="auto"/>
              <w:rPr>
                <w:lang w:val="en-US"/>
              </w:rPr>
            </w:pPr>
            <w:r w:rsidRPr="0085068A">
              <w:rPr>
                <w:lang w:val="en-US"/>
              </w:rPr>
              <w:t>Supplementary Figure 20</w:t>
            </w:r>
          </w:p>
        </w:tc>
        <w:tc>
          <w:tcPr>
            <w:tcW w:w="845" w:type="dxa"/>
          </w:tcPr>
          <w:p w14:paraId="73C88F39" w14:textId="253FFE22" w:rsidR="0085068A" w:rsidRDefault="0085068A" w:rsidP="004F5D54">
            <w:pPr>
              <w:spacing w:line="288" w:lineRule="auto"/>
              <w:jc w:val="center"/>
              <w:rPr>
                <w:lang w:val="en-US"/>
              </w:rPr>
            </w:pPr>
            <w:r>
              <w:rPr>
                <w:lang w:val="en-US"/>
              </w:rPr>
              <w:t>3</w:t>
            </w:r>
            <w:r w:rsidR="005776B2">
              <w:rPr>
                <w:lang w:val="en-US"/>
              </w:rPr>
              <w:t>2</w:t>
            </w:r>
          </w:p>
        </w:tc>
      </w:tr>
      <w:tr w:rsidR="0085068A" w:rsidRPr="003B6783" w14:paraId="681C72E5" w14:textId="77777777" w:rsidTr="00075760">
        <w:tc>
          <w:tcPr>
            <w:tcW w:w="939" w:type="dxa"/>
          </w:tcPr>
          <w:p w14:paraId="0D208CB1" w14:textId="77777777" w:rsidR="0085068A" w:rsidRDefault="0085068A" w:rsidP="004F5D54">
            <w:pPr>
              <w:spacing w:line="288" w:lineRule="auto"/>
              <w:jc w:val="center"/>
              <w:rPr>
                <w:lang w:val="en-US"/>
              </w:rPr>
            </w:pPr>
          </w:p>
        </w:tc>
        <w:tc>
          <w:tcPr>
            <w:tcW w:w="7278" w:type="dxa"/>
          </w:tcPr>
          <w:p w14:paraId="34C20C56" w14:textId="3FB3157A" w:rsidR="0085068A" w:rsidRPr="0085068A" w:rsidRDefault="0085068A" w:rsidP="004F5D54">
            <w:pPr>
              <w:spacing w:line="288" w:lineRule="auto"/>
              <w:rPr>
                <w:lang w:val="en-US"/>
              </w:rPr>
            </w:pPr>
            <w:r w:rsidRPr="0085068A">
              <w:rPr>
                <w:lang w:val="en-US"/>
              </w:rPr>
              <w:t>Supplementary Figure 2</w:t>
            </w:r>
            <w:r>
              <w:rPr>
                <w:lang w:val="en-US"/>
              </w:rPr>
              <w:t>1</w:t>
            </w:r>
          </w:p>
        </w:tc>
        <w:tc>
          <w:tcPr>
            <w:tcW w:w="845" w:type="dxa"/>
          </w:tcPr>
          <w:p w14:paraId="13601543" w14:textId="16DCC8EB" w:rsidR="0085068A" w:rsidRDefault="0085068A" w:rsidP="004F5D54">
            <w:pPr>
              <w:spacing w:line="288" w:lineRule="auto"/>
              <w:jc w:val="center"/>
              <w:rPr>
                <w:lang w:val="en-US"/>
              </w:rPr>
            </w:pPr>
            <w:r>
              <w:rPr>
                <w:lang w:val="en-US"/>
              </w:rPr>
              <w:t>3</w:t>
            </w:r>
            <w:r w:rsidR="005776B2">
              <w:rPr>
                <w:lang w:val="en-US"/>
              </w:rPr>
              <w:t>3</w:t>
            </w:r>
          </w:p>
        </w:tc>
      </w:tr>
      <w:tr w:rsidR="00075760" w:rsidRPr="003B6783" w14:paraId="79630908" w14:textId="77777777" w:rsidTr="004F5D54">
        <w:tc>
          <w:tcPr>
            <w:tcW w:w="939" w:type="dxa"/>
            <w:tcBorders>
              <w:bottom w:val="single" w:sz="4" w:space="0" w:color="auto"/>
            </w:tcBorders>
          </w:tcPr>
          <w:p w14:paraId="679DEF16" w14:textId="2D8623AE" w:rsidR="00075760" w:rsidRDefault="00075760" w:rsidP="004F5D54">
            <w:pPr>
              <w:spacing w:line="288" w:lineRule="auto"/>
              <w:jc w:val="center"/>
              <w:rPr>
                <w:lang w:val="en-US"/>
              </w:rPr>
            </w:pPr>
            <w:r>
              <w:rPr>
                <w:lang w:val="en-US"/>
              </w:rPr>
              <w:t>15</w:t>
            </w:r>
          </w:p>
        </w:tc>
        <w:tc>
          <w:tcPr>
            <w:tcW w:w="7278" w:type="dxa"/>
            <w:tcBorders>
              <w:bottom w:val="single" w:sz="4" w:space="0" w:color="auto"/>
            </w:tcBorders>
          </w:tcPr>
          <w:p w14:paraId="30E9FA42" w14:textId="4A55A123" w:rsidR="00075760" w:rsidRPr="0085068A" w:rsidRDefault="00075760" w:rsidP="004F5D54">
            <w:pPr>
              <w:spacing w:line="288" w:lineRule="auto"/>
              <w:rPr>
                <w:lang w:val="en-US"/>
              </w:rPr>
            </w:pPr>
            <w:r>
              <w:rPr>
                <w:lang w:val="en-US"/>
              </w:rPr>
              <w:t>Consortia authors</w:t>
            </w:r>
          </w:p>
        </w:tc>
        <w:tc>
          <w:tcPr>
            <w:tcW w:w="845" w:type="dxa"/>
            <w:tcBorders>
              <w:bottom w:val="single" w:sz="4" w:space="0" w:color="auto"/>
            </w:tcBorders>
          </w:tcPr>
          <w:p w14:paraId="1B327299" w14:textId="37B68F57" w:rsidR="00075760" w:rsidRDefault="00075760" w:rsidP="004F5D54">
            <w:pPr>
              <w:spacing w:line="288" w:lineRule="auto"/>
              <w:jc w:val="center"/>
              <w:rPr>
                <w:lang w:val="en-US"/>
              </w:rPr>
            </w:pPr>
            <w:r>
              <w:rPr>
                <w:lang w:val="en-US"/>
              </w:rPr>
              <w:t>36</w:t>
            </w:r>
          </w:p>
        </w:tc>
      </w:tr>
    </w:tbl>
    <w:p w14:paraId="0A76ABC9" w14:textId="3003D408" w:rsidR="005727E9" w:rsidRPr="00FE5D0C" w:rsidRDefault="005727E9" w:rsidP="00FE5D0C">
      <w:pPr>
        <w:spacing w:after="0" w:line="360" w:lineRule="auto"/>
        <w:rPr>
          <w:lang w:val="en-US"/>
        </w:rPr>
      </w:pPr>
    </w:p>
    <w:p w14:paraId="2BE781EB" w14:textId="77777777" w:rsidR="005727E9" w:rsidRPr="00FE5D0C" w:rsidRDefault="005727E9" w:rsidP="00FE5D0C">
      <w:pPr>
        <w:spacing w:after="0" w:line="360" w:lineRule="auto"/>
        <w:rPr>
          <w:i/>
          <w:iCs/>
          <w:lang w:val="en-US"/>
        </w:rPr>
      </w:pPr>
      <w:r w:rsidRPr="00FE5D0C">
        <w:rPr>
          <w:i/>
          <w:iCs/>
          <w:lang w:val="en-US"/>
        </w:rPr>
        <w:br w:type="page"/>
      </w:r>
    </w:p>
    <w:p w14:paraId="7CC98551" w14:textId="371CE231" w:rsidR="004C6BDE" w:rsidRPr="00FE5D0C" w:rsidRDefault="00050A46" w:rsidP="00FE5D0C">
      <w:pPr>
        <w:spacing w:after="0" w:line="360" w:lineRule="auto"/>
        <w:rPr>
          <w:b/>
          <w:bCs/>
          <w:lang w:val="en-US"/>
        </w:rPr>
      </w:pPr>
      <w:r w:rsidRPr="00FE5D0C">
        <w:rPr>
          <w:b/>
          <w:bCs/>
          <w:lang w:val="en-US"/>
        </w:rPr>
        <w:lastRenderedPageBreak/>
        <w:t xml:space="preserve">Section 1: </w:t>
      </w:r>
      <w:r w:rsidR="004C6BDE" w:rsidRPr="00FE5D0C">
        <w:rPr>
          <w:b/>
          <w:bCs/>
          <w:lang w:val="en-US"/>
        </w:rPr>
        <w:t xml:space="preserve">Memory change </w:t>
      </w:r>
      <w:r w:rsidR="0018776E" w:rsidRPr="00FE5D0C">
        <w:rPr>
          <w:b/>
          <w:bCs/>
          <w:lang w:val="en-US"/>
        </w:rPr>
        <w:t>over age</w:t>
      </w:r>
    </w:p>
    <w:p w14:paraId="6589CDA0" w14:textId="2480EB80" w:rsidR="004C6BDE" w:rsidRPr="00FE5D0C" w:rsidRDefault="004C6BDE" w:rsidP="00FE5D0C">
      <w:pPr>
        <w:spacing w:after="0" w:line="360" w:lineRule="auto"/>
        <w:rPr>
          <w:lang w:val="en-US"/>
        </w:rPr>
      </w:pPr>
      <w:r w:rsidRPr="00FE5D0C">
        <w:rPr>
          <w:lang w:val="en-US"/>
        </w:rPr>
        <w:t>The overall median slope was -0.197 words/year (95% CI for the population median: -0.200, -0.192. To summarize age trends (Figure 1), we plotted a longitudinal curve obtained by smoothing the per-participant Theil–Sen slopes as a function of each participant’s median age using a GAM (F = 212.2, p &lt; 2×10</w:t>
      </w:r>
      <w:r w:rsidRPr="00FE5D0C">
        <w:rPr>
          <w:rFonts w:ascii="Cambria Math" w:hAnsi="Cambria Math" w:cs="Cambria Math"/>
          <w:lang w:val="en-US"/>
        </w:rPr>
        <w:t>⁻</w:t>
      </w:r>
      <w:r w:rsidRPr="00FE5D0C">
        <w:rPr>
          <w:rFonts w:cs="Aptos"/>
          <w:lang w:val="en-US"/>
        </w:rPr>
        <w:t>¹⁶</w:t>
      </w:r>
      <w:r w:rsidRPr="00FE5D0C">
        <w:rPr>
          <w:lang w:val="en-US"/>
        </w:rPr>
        <w:t>). This was compared to a cross-sectional curve computed as the first derivative of a GAM fitted to recall versus age using all visits (F = 12,231.1, p &lt; 2</w:t>
      </w:r>
      <w:r w:rsidRPr="00FE5D0C">
        <w:rPr>
          <w:rFonts w:cs="Aptos"/>
          <w:lang w:val="en-US"/>
        </w:rPr>
        <w:t>×</w:t>
      </w:r>
      <w:r w:rsidRPr="00FE5D0C">
        <w:rPr>
          <w:lang w:val="en-US"/>
        </w:rPr>
        <w:t>10</w:t>
      </w:r>
      <w:r w:rsidRPr="00FE5D0C">
        <w:rPr>
          <w:rFonts w:ascii="Cambria Math" w:hAnsi="Cambria Math" w:cs="Cambria Math"/>
          <w:lang w:val="en-US"/>
        </w:rPr>
        <w:t>⁻</w:t>
      </w:r>
      <w:r w:rsidRPr="00FE5D0C">
        <w:rPr>
          <w:rFonts w:cs="Aptos"/>
          <w:lang w:val="en-US"/>
        </w:rPr>
        <w:t>¹⁶</w:t>
      </w:r>
      <w:r w:rsidRPr="00FE5D0C">
        <w:rPr>
          <w:lang w:val="en-US"/>
        </w:rPr>
        <w:t>). Over most of the age span (</w:t>
      </w:r>
      <w:r w:rsidRPr="00FE5D0C">
        <w:rPr>
          <w:rFonts w:cs="Aptos"/>
          <w:lang w:val="en-US"/>
        </w:rPr>
        <w:t>≈</w:t>
      </w:r>
      <w:r w:rsidRPr="00FE5D0C">
        <w:rPr>
          <w:lang w:val="en-US"/>
        </w:rPr>
        <w:t>60</w:t>
      </w:r>
      <w:r w:rsidRPr="00FE5D0C">
        <w:rPr>
          <w:rFonts w:cs="Aptos"/>
          <w:lang w:val="en-US"/>
        </w:rPr>
        <w:t>–</w:t>
      </w:r>
      <w:r w:rsidRPr="00FE5D0C">
        <w:rPr>
          <w:lang w:val="en-US"/>
        </w:rPr>
        <w:t>80 years), the curves were approximately parallel, but the longitudinal decline was consistently steeper with narrower CIs. Restricting the cross-sectional model to the same ≥4-visit subsample used for the longitudinal analyses produced identical shapes (SI Figure X). The discrepancy is expected under several well-documented mechanisms. First, selective survival and participation enrich older age groups with healthier, higher-functioning individuals, inflating means at later ages and attenuating cross-sectional age contrasts. Second, cohort differences can bias cross-sectional comparisons toward smaller declines. Third, the longitudinal estimator is a secant (interval-average) while the cross-sectional derivative is a tangent (instantaneous rate). With accelerating decline, interval-averaged slopes are expected to be more negative.</w:t>
      </w:r>
    </w:p>
    <w:p w14:paraId="042B69F3" w14:textId="77777777" w:rsidR="004C6BDE" w:rsidRPr="00FE5D0C" w:rsidRDefault="004C6BDE" w:rsidP="00FE5D0C">
      <w:pPr>
        <w:spacing w:after="0" w:line="360" w:lineRule="auto"/>
        <w:rPr>
          <w:lang w:val="en-GB"/>
        </w:rPr>
      </w:pPr>
    </w:p>
    <w:p w14:paraId="6A7F3CBE" w14:textId="77777777" w:rsidR="00E962E2" w:rsidRPr="00FE5D0C" w:rsidRDefault="00E962E2" w:rsidP="00FE5D0C">
      <w:pPr>
        <w:spacing w:after="0" w:line="360" w:lineRule="auto"/>
        <w:rPr>
          <w:b/>
          <w:bCs/>
          <w:lang w:val="en-US"/>
        </w:rPr>
      </w:pPr>
      <w:r w:rsidRPr="00FE5D0C">
        <w:rPr>
          <w:b/>
          <w:bCs/>
          <w:noProof/>
          <w:lang w:val="en-US"/>
        </w:rPr>
        <w:drawing>
          <wp:inline distT="0" distB="0" distL="0" distR="0" wp14:anchorId="43FF4CB8" wp14:editId="627F4EA8">
            <wp:extent cx="3871428" cy="2277110"/>
            <wp:effectExtent l="0" t="0" r="0" b="8890"/>
            <wp:docPr id="1726023322" name="Bilde 20" descr="Et bilde som inneholder tekst, skjermbilde, diagram, Plottdiagram&#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023322" name="Bilde 20" descr="Et bilde som inneholder tekst, skjermbilde, diagram, Plottdiagram&#10;&#10;KI-generert innhold kan være feil."/>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79889" cy="2282087"/>
                    </a:xfrm>
                    <a:prstGeom prst="rect">
                      <a:avLst/>
                    </a:prstGeom>
                  </pic:spPr>
                </pic:pic>
              </a:graphicData>
            </a:graphic>
          </wp:inline>
        </w:drawing>
      </w:r>
    </w:p>
    <w:p w14:paraId="2E4A2E73" w14:textId="5BA84AB3" w:rsidR="00E962E2" w:rsidRPr="00FE5D0C" w:rsidRDefault="00E962E2" w:rsidP="00FE5D0C">
      <w:pPr>
        <w:spacing w:after="0" w:line="360" w:lineRule="auto"/>
        <w:rPr>
          <w:lang w:val="en-US"/>
        </w:rPr>
      </w:pPr>
      <w:r w:rsidRPr="00FE5D0C">
        <w:rPr>
          <w:b/>
          <w:bCs/>
          <w:lang w:val="en-US"/>
        </w:rPr>
        <w:t xml:space="preserve">Supplementary Figure </w:t>
      </w:r>
      <w:r w:rsidR="005727E9" w:rsidRPr="00FE5D0C">
        <w:rPr>
          <w:b/>
          <w:bCs/>
          <w:lang w:val="en-US"/>
        </w:rPr>
        <w:t>1</w:t>
      </w:r>
      <w:r w:rsidR="00E45D51" w:rsidRPr="00FE5D0C">
        <w:rPr>
          <w:b/>
          <w:bCs/>
          <w:lang w:val="en-US"/>
        </w:rPr>
        <w:t xml:space="preserve"> Estimated memory decline from cross-sectional age-trends. </w:t>
      </w:r>
      <w:r w:rsidR="00E45D51" w:rsidRPr="00FE5D0C">
        <w:rPr>
          <w:lang w:val="en-US"/>
        </w:rPr>
        <w:t xml:space="preserve">A cross-sectional curve computed as the first derivative of a GAM fitted to recall versus age using all visits was used as an approximation of age-decline. The orange line shows the results for the full SHARE sample (n = 158,291) and the blue line represents the results for the longitudinal subsample with &gt; 4 visits (n = 55,318). Shaded </w:t>
      </w:r>
      <w:r w:rsidR="008167FE" w:rsidRPr="00FE5D0C">
        <w:rPr>
          <w:lang w:val="en-US"/>
        </w:rPr>
        <w:t>ribbons</w:t>
      </w:r>
      <w:r w:rsidR="00E45D51" w:rsidRPr="00FE5D0C">
        <w:rPr>
          <w:lang w:val="en-US"/>
        </w:rPr>
        <w:t xml:space="preserve"> denote 95% CI.</w:t>
      </w:r>
    </w:p>
    <w:p w14:paraId="75383E0D" w14:textId="77777777" w:rsidR="00233C2E" w:rsidRPr="00FE5D0C" w:rsidRDefault="00233C2E" w:rsidP="00FE5D0C">
      <w:pPr>
        <w:spacing w:after="0" w:line="360" w:lineRule="auto"/>
        <w:rPr>
          <w:b/>
          <w:bCs/>
          <w:lang w:val="en-US"/>
        </w:rPr>
      </w:pPr>
    </w:p>
    <w:p w14:paraId="784AEFE9" w14:textId="5EC376D0" w:rsidR="00233C2E" w:rsidRPr="00FE5D0C" w:rsidRDefault="00580B82" w:rsidP="00FE5D0C">
      <w:pPr>
        <w:spacing w:after="0" w:line="360" w:lineRule="auto"/>
        <w:rPr>
          <w:b/>
          <w:bCs/>
          <w:lang w:val="en-US"/>
        </w:rPr>
      </w:pPr>
      <w:r w:rsidRPr="00FE5D0C">
        <w:rPr>
          <w:b/>
          <w:bCs/>
          <w:noProof/>
          <w:lang w:val="en-US"/>
        </w:rPr>
        <w:lastRenderedPageBreak/>
        <w:drawing>
          <wp:inline distT="0" distB="0" distL="0" distR="0" wp14:anchorId="0BB1F9CF" wp14:editId="75916CEE">
            <wp:extent cx="5760720" cy="2840990"/>
            <wp:effectExtent l="0" t="0" r="0" b="0"/>
            <wp:docPr id="1437505639" name="Bilde 7" descr="Et bilde som inneholder tekst, skjermbilde, Fargerikt, lin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505639" name="Bilde 7" descr="Et bilde som inneholder tekst, skjermbilde, Fargerikt, line&#10;&#10;KI-generert innhold kan være feil."/>
                    <pic:cNvPicPr/>
                  </pic:nvPicPr>
                  <pic:blipFill rotWithShape="1">
                    <a:blip r:embed="rId7" cstate="print">
                      <a:extLst>
                        <a:ext uri="{28A0092B-C50C-407E-A947-70E740481C1C}">
                          <a14:useLocalDpi xmlns:a14="http://schemas.microsoft.com/office/drawing/2010/main" val="0"/>
                        </a:ext>
                      </a:extLst>
                    </a:blip>
                    <a:srcRect t="8954" b="-1"/>
                    <a:stretch/>
                  </pic:blipFill>
                  <pic:spPr bwMode="auto">
                    <a:xfrm>
                      <a:off x="0" y="0"/>
                      <a:ext cx="5760720" cy="2840990"/>
                    </a:xfrm>
                    <a:prstGeom prst="rect">
                      <a:avLst/>
                    </a:prstGeom>
                    <a:ln>
                      <a:noFill/>
                    </a:ln>
                    <a:extLst>
                      <a:ext uri="{53640926-AAD7-44D8-BBD7-CCE9431645EC}">
                        <a14:shadowObscured xmlns:a14="http://schemas.microsoft.com/office/drawing/2010/main"/>
                      </a:ext>
                    </a:extLst>
                  </pic:spPr>
                </pic:pic>
              </a:graphicData>
            </a:graphic>
          </wp:inline>
        </w:drawing>
      </w:r>
    </w:p>
    <w:p w14:paraId="02F4443C" w14:textId="106D3FD3" w:rsidR="00A43633" w:rsidRPr="00FE5D0C" w:rsidRDefault="00221FDB" w:rsidP="00FE5D0C">
      <w:pPr>
        <w:spacing w:after="0" w:line="360" w:lineRule="auto"/>
        <w:rPr>
          <w:lang w:val="en-US"/>
        </w:rPr>
      </w:pPr>
      <w:r w:rsidRPr="00FE5D0C">
        <w:rPr>
          <w:b/>
          <w:bCs/>
          <w:lang w:val="en-US"/>
        </w:rPr>
        <w:t xml:space="preserve">Supplementary </w:t>
      </w:r>
      <w:r w:rsidR="00A43633" w:rsidRPr="00FE5D0C">
        <w:rPr>
          <w:b/>
          <w:bCs/>
          <w:lang w:val="en-US"/>
        </w:rPr>
        <w:t xml:space="preserve">Figure </w:t>
      </w:r>
      <w:r w:rsidR="005727E9" w:rsidRPr="00FE5D0C">
        <w:rPr>
          <w:b/>
          <w:bCs/>
          <w:lang w:val="en-US"/>
        </w:rPr>
        <w:t>2</w:t>
      </w:r>
      <w:r w:rsidR="00A43633" w:rsidRPr="00FE5D0C">
        <w:rPr>
          <w:b/>
          <w:bCs/>
          <w:lang w:val="en-US"/>
        </w:rPr>
        <w:t xml:space="preserve">. Pooled age trend in practice-corrected episodic memory in SHARE and HRS with model-based predictive bands. </w:t>
      </w:r>
      <w:r w:rsidR="00A43633" w:rsidRPr="00FE5D0C">
        <w:rPr>
          <w:lang w:val="en-US"/>
        </w:rPr>
        <w:t>Practice-corrected recall (words; immediate + delayed 10-word recall) is plotted against age (50–95 years) using pooled data from SHARE and HRS. The black curve shows the estimated mean trajectory from a generalized additive model (GAM) fitted to all observations with a penalized spline for age (</w:t>
      </w:r>
      <w:proofErr w:type="spellStart"/>
      <w:proofErr w:type="gramStart"/>
      <w:r w:rsidR="00A43633" w:rsidRPr="00FE5D0C">
        <w:rPr>
          <w:lang w:val="en-US"/>
        </w:rPr>
        <w:t>mgcv</w:t>
      </w:r>
      <w:proofErr w:type="spellEnd"/>
      <w:r w:rsidR="00A43633" w:rsidRPr="00FE5D0C">
        <w:rPr>
          <w:lang w:val="en-US"/>
        </w:rPr>
        <w:t>::</w:t>
      </w:r>
      <w:proofErr w:type="gramEnd"/>
      <w:r w:rsidR="00A43633" w:rsidRPr="00FE5D0C">
        <w:rPr>
          <w:lang w:val="en-US"/>
        </w:rPr>
        <w:t>bam; smoothing basis with k=12). To avoid over-weighting participants with many repeated assessments, observations were weighted by the inverse of each participant’s number of available visits (each participant contributing total weight ≈1). Shaded bands represent model-based predictive dispersion around the mean trajectory. The shaded colors show the predictive distribution into 10 bands (0–10%, …, 90–100%), with extreme bands optionally de-emphasized for visualization. Band width is allowed to vary with age by fitting a second GAM to the log of squared residuals as a smooth function of age and converting predictions to an age-specific residual SD; predictive bands are then computed as the mean curve plus quantile-specific multipliers of this SD at each age.</w:t>
      </w:r>
    </w:p>
    <w:p w14:paraId="26AE5065" w14:textId="77777777" w:rsidR="00A43633" w:rsidRPr="00FE5D0C" w:rsidRDefault="00A43633" w:rsidP="00FE5D0C">
      <w:pPr>
        <w:spacing w:after="0" w:line="360" w:lineRule="auto"/>
        <w:rPr>
          <w:b/>
          <w:bCs/>
          <w:lang w:val="en-US"/>
        </w:rPr>
      </w:pPr>
    </w:p>
    <w:p w14:paraId="6C48A320" w14:textId="77777777" w:rsidR="005727E9" w:rsidRPr="00FE5D0C" w:rsidRDefault="005727E9" w:rsidP="00FE5D0C">
      <w:pPr>
        <w:spacing w:after="0" w:line="360" w:lineRule="auto"/>
        <w:rPr>
          <w:b/>
          <w:bCs/>
          <w:lang w:val="en-US"/>
        </w:rPr>
      </w:pPr>
      <w:r w:rsidRPr="00FE5D0C">
        <w:rPr>
          <w:b/>
          <w:bCs/>
          <w:lang w:val="en-US"/>
        </w:rPr>
        <w:br w:type="page"/>
      </w:r>
    </w:p>
    <w:p w14:paraId="57E8FAA6" w14:textId="24EC974A" w:rsidR="00E962E2" w:rsidRPr="00FE5D0C" w:rsidRDefault="00050A46" w:rsidP="00FE5D0C">
      <w:pPr>
        <w:spacing w:after="0" w:line="360" w:lineRule="auto"/>
        <w:rPr>
          <w:b/>
          <w:bCs/>
          <w:lang w:val="en-US"/>
        </w:rPr>
      </w:pPr>
      <w:r w:rsidRPr="00FE5D0C">
        <w:rPr>
          <w:b/>
          <w:bCs/>
          <w:lang w:val="en-US"/>
        </w:rPr>
        <w:lastRenderedPageBreak/>
        <w:t xml:space="preserve">Section 2: </w:t>
      </w:r>
      <w:r w:rsidR="002E47B4" w:rsidRPr="00FE5D0C">
        <w:rPr>
          <w:b/>
          <w:bCs/>
          <w:lang w:val="en-US"/>
        </w:rPr>
        <w:t xml:space="preserve">Distinguishing “true </w:t>
      </w:r>
      <w:r w:rsidR="006A1562">
        <w:rPr>
          <w:b/>
          <w:bCs/>
          <w:lang w:val="en-US"/>
        </w:rPr>
        <w:t>stable performers</w:t>
      </w:r>
      <w:r w:rsidR="002E47B4" w:rsidRPr="00FE5D0C">
        <w:rPr>
          <w:b/>
          <w:bCs/>
          <w:lang w:val="en-US"/>
        </w:rPr>
        <w:t>” from chance</w:t>
      </w:r>
    </w:p>
    <w:p w14:paraId="410D1243" w14:textId="2656D8C6" w:rsidR="002E47B4" w:rsidRPr="00FE5D0C" w:rsidRDefault="005727E9" w:rsidP="00FE5D0C">
      <w:pPr>
        <w:spacing w:after="0" w:line="360" w:lineRule="auto"/>
        <w:rPr>
          <w:b/>
          <w:bCs/>
          <w:lang w:val="en-GB"/>
        </w:rPr>
      </w:pPr>
      <w:r w:rsidRPr="00FE5D0C">
        <w:rPr>
          <w:lang w:val="en-US"/>
        </w:rPr>
        <w:t xml:space="preserve">To separate real </w:t>
      </w:r>
      <w:bookmarkStart w:id="1" w:name="_Hlk219453920"/>
      <w:r w:rsidR="006A1562" w:rsidRPr="006A1562">
        <w:rPr>
          <w:lang w:val="en-US"/>
        </w:rPr>
        <w:t>stable performers</w:t>
      </w:r>
      <w:bookmarkEnd w:id="1"/>
      <w:r w:rsidR="006A1562" w:rsidRPr="006A1562">
        <w:rPr>
          <w:lang w:val="en-US"/>
        </w:rPr>
        <w:t xml:space="preserve"> </w:t>
      </w:r>
      <w:r w:rsidRPr="00FE5D0C">
        <w:rPr>
          <w:lang w:val="en-US"/>
        </w:rPr>
        <w:t xml:space="preserve">from residual noise, we ran a simulation experiment. We generated a dataset where all participants followed the estimated age-expected memory decline, and added each participant’s own within-person noise, estimated as deviations from the participant’s linear slope based on the real data. This allowed us to estimate how often our rules would flag </w:t>
      </w:r>
      <w:r w:rsidR="006A1562" w:rsidRPr="006A1562">
        <w:rPr>
          <w:lang w:val="en-US"/>
        </w:rPr>
        <w:t>stable performers</w:t>
      </w:r>
      <w:r w:rsidR="006A1562" w:rsidRPr="00FE5D0C">
        <w:rPr>
          <w:lang w:val="en-US"/>
        </w:rPr>
        <w:t xml:space="preserve"> </w:t>
      </w:r>
      <w:r w:rsidRPr="00FE5D0C">
        <w:rPr>
          <w:lang w:val="en-US"/>
        </w:rPr>
        <w:t xml:space="preserve">if </w:t>
      </w:r>
      <w:r w:rsidR="006A1562" w:rsidRPr="006A1562">
        <w:rPr>
          <w:lang w:val="en-US"/>
        </w:rPr>
        <w:t>stable performers</w:t>
      </w:r>
      <w:r w:rsidR="006A1562" w:rsidRPr="00FE5D0C">
        <w:rPr>
          <w:lang w:val="en-US"/>
        </w:rPr>
        <w:t xml:space="preserve"> </w:t>
      </w:r>
      <w:r w:rsidRPr="00FE5D0C">
        <w:rPr>
          <w:lang w:val="en-US"/>
        </w:rPr>
        <w:t>did not actually exist.</w:t>
      </w:r>
    </w:p>
    <w:p w14:paraId="7B718409" w14:textId="77777777" w:rsidR="005727E9" w:rsidRPr="00FE5D0C" w:rsidRDefault="005727E9" w:rsidP="00FE5D0C">
      <w:pPr>
        <w:spacing w:after="0" w:line="360" w:lineRule="auto"/>
        <w:rPr>
          <w:b/>
          <w:bCs/>
          <w:lang w:val="en-GB"/>
        </w:rPr>
      </w:pPr>
    </w:p>
    <w:p w14:paraId="1FE4A82B" w14:textId="77777777" w:rsidR="00E962E2" w:rsidRPr="00FE5D0C" w:rsidRDefault="00E962E2" w:rsidP="00FE5D0C">
      <w:pPr>
        <w:spacing w:after="0" w:line="360" w:lineRule="auto"/>
        <w:rPr>
          <w:lang w:val="en-US"/>
        </w:rPr>
      </w:pPr>
      <w:r w:rsidRPr="00FE5D0C">
        <w:rPr>
          <w:noProof/>
          <w:lang w:val="en-US"/>
        </w:rPr>
        <w:drawing>
          <wp:inline distT="0" distB="0" distL="0" distR="0" wp14:anchorId="09D1E5BE" wp14:editId="450875BE">
            <wp:extent cx="5891397" cy="3939540"/>
            <wp:effectExtent l="0" t="0" r="0" b="3810"/>
            <wp:docPr id="731244255" name="Bilde 13" descr="Et bilde som inneholder tekst, Plottdiagram, diagram, lin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244255" name="Bilde 13" descr="Et bilde som inneholder tekst, Plottdiagram, diagram, line&#10;&#10;KI-generert innhold kan være feil."/>
                    <pic:cNvPicPr/>
                  </pic:nvPicPr>
                  <pic:blipFill rotWithShape="1">
                    <a:blip r:embed="rId8" cstate="print">
                      <a:extLst>
                        <a:ext uri="{28A0092B-C50C-407E-A947-70E740481C1C}">
                          <a14:useLocalDpi xmlns:a14="http://schemas.microsoft.com/office/drawing/2010/main" val="0"/>
                        </a:ext>
                      </a:extLst>
                    </a:blip>
                    <a:srcRect l="2116"/>
                    <a:stretch/>
                  </pic:blipFill>
                  <pic:spPr bwMode="auto">
                    <a:xfrm>
                      <a:off x="0" y="0"/>
                      <a:ext cx="5896536" cy="3942977"/>
                    </a:xfrm>
                    <a:prstGeom prst="rect">
                      <a:avLst/>
                    </a:prstGeom>
                    <a:ln>
                      <a:noFill/>
                    </a:ln>
                    <a:extLst>
                      <a:ext uri="{53640926-AAD7-44D8-BBD7-CCE9431645EC}">
                        <a14:shadowObscured xmlns:a14="http://schemas.microsoft.com/office/drawing/2010/main"/>
                      </a:ext>
                    </a:extLst>
                  </pic:spPr>
                </pic:pic>
              </a:graphicData>
            </a:graphic>
          </wp:inline>
        </w:drawing>
      </w:r>
    </w:p>
    <w:p w14:paraId="221448BF" w14:textId="721FBC7A" w:rsidR="00E962E2" w:rsidRPr="00FE5D0C" w:rsidRDefault="00E962E2" w:rsidP="00FE5D0C">
      <w:pPr>
        <w:spacing w:after="0" w:line="360" w:lineRule="auto"/>
        <w:rPr>
          <w:lang w:val="en-US"/>
        </w:rPr>
      </w:pPr>
      <w:r w:rsidRPr="00FE5D0C">
        <w:rPr>
          <w:b/>
          <w:bCs/>
          <w:lang w:val="en-US"/>
        </w:rPr>
        <w:t xml:space="preserve">Supplementary Figure </w:t>
      </w:r>
      <w:r w:rsidR="005727E9" w:rsidRPr="00FE5D0C">
        <w:rPr>
          <w:b/>
          <w:bCs/>
          <w:lang w:val="en-US"/>
        </w:rPr>
        <w:t>3</w:t>
      </w:r>
      <w:r w:rsidR="00855808" w:rsidRPr="00FE5D0C">
        <w:rPr>
          <w:b/>
          <w:bCs/>
          <w:lang w:val="en-US"/>
        </w:rPr>
        <w:t xml:space="preserve"> Simulation results</w:t>
      </w:r>
      <w:r w:rsidR="005727E9" w:rsidRPr="00FE5D0C">
        <w:rPr>
          <w:b/>
          <w:bCs/>
          <w:lang w:val="en-US"/>
        </w:rPr>
        <w:t xml:space="preserve"> across thresholds</w:t>
      </w:r>
      <w:r w:rsidR="00855808" w:rsidRPr="00FE5D0C">
        <w:rPr>
          <w:b/>
          <w:bCs/>
          <w:lang w:val="en-US"/>
        </w:rPr>
        <w:t xml:space="preserve">. </w:t>
      </w:r>
      <w:r w:rsidR="00855808" w:rsidRPr="00FE5D0C">
        <w:rPr>
          <w:lang w:val="en-US"/>
        </w:rPr>
        <w:t xml:space="preserve">We compared the observed </w:t>
      </w:r>
      <w:r w:rsidR="006A1562" w:rsidRPr="006A1562">
        <w:rPr>
          <w:lang w:val="en-US"/>
        </w:rPr>
        <w:t>stable performers</w:t>
      </w:r>
      <w:r w:rsidR="006A1562" w:rsidRPr="00FE5D0C">
        <w:rPr>
          <w:lang w:val="en-US"/>
        </w:rPr>
        <w:t xml:space="preserve"> </w:t>
      </w:r>
      <w:r w:rsidR="00855808" w:rsidRPr="00FE5D0C">
        <w:rPr>
          <w:lang w:val="en-US"/>
        </w:rPr>
        <w:t>prevalence (orange solid lines) to the null (chance-only) prevalence for a grid of definitions that vary the slope threshold and the confidence requirement (LB threshold) (blue dotted lines). Plotting the observed prevalence against the simulation median and interquartile range (IQR) showed that for all the 15 tested rules (5 slope × 3 LB variations), the observed curve exceeds the null IQR.</w:t>
      </w:r>
    </w:p>
    <w:p w14:paraId="1C7778B6" w14:textId="77777777" w:rsidR="00124A14" w:rsidRPr="00FE5D0C" w:rsidRDefault="00124A14" w:rsidP="00FE5D0C">
      <w:pPr>
        <w:spacing w:after="0" w:line="360" w:lineRule="auto"/>
        <w:rPr>
          <w:lang w:val="en-US"/>
        </w:rPr>
      </w:pPr>
    </w:p>
    <w:p w14:paraId="1754C88A" w14:textId="77777777" w:rsidR="00050A46" w:rsidRPr="00FE5D0C" w:rsidRDefault="00050A46" w:rsidP="00FE5D0C">
      <w:pPr>
        <w:spacing w:after="0" w:line="360" w:lineRule="auto"/>
        <w:rPr>
          <w:b/>
          <w:bCs/>
          <w:lang w:val="en-US"/>
        </w:rPr>
      </w:pPr>
      <w:r w:rsidRPr="00FE5D0C">
        <w:rPr>
          <w:b/>
          <w:bCs/>
          <w:lang w:val="en-US"/>
        </w:rPr>
        <w:br w:type="page"/>
      </w:r>
    </w:p>
    <w:p w14:paraId="519F9BBC" w14:textId="0E52078C" w:rsidR="00124A14" w:rsidRDefault="00050A46" w:rsidP="00FE5D0C">
      <w:pPr>
        <w:spacing w:after="0" w:line="360" w:lineRule="auto"/>
        <w:rPr>
          <w:b/>
          <w:bCs/>
          <w:lang w:val="en-US"/>
        </w:rPr>
      </w:pPr>
      <w:r w:rsidRPr="00FE5D0C">
        <w:rPr>
          <w:b/>
          <w:bCs/>
          <w:lang w:val="en-US"/>
        </w:rPr>
        <w:lastRenderedPageBreak/>
        <w:t xml:space="preserve">Section 3: </w:t>
      </w:r>
      <w:proofErr w:type="spellStart"/>
      <w:r w:rsidRPr="00FE5D0C">
        <w:rPr>
          <w:b/>
          <w:bCs/>
          <w:lang w:val="en-US"/>
        </w:rPr>
        <w:t>Frequentialist</w:t>
      </w:r>
      <w:proofErr w:type="spellEnd"/>
      <w:r w:rsidRPr="00FE5D0C">
        <w:rPr>
          <w:b/>
          <w:bCs/>
          <w:lang w:val="en-US"/>
        </w:rPr>
        <w:t xml:space="preserve"> vs. Bayesian modelling</w:t>
      </w:r>
    </w:p>
    <w:p w14:paraId="599AE8DC" w14:textId="77777777" w:rsidR="00987D38" w:rsidRPr="00FE5D0C" w:rsidRDefault="00987D38" w:rsidP="00FE5D0C">
      <w:pPr>
        <w:spacing w:after="0" w:line="360" w:lineRule="auto"/>
        <w:rPr>
          <w:lang w:val="en-US"/>
        </w:rPr>
      </w:pP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1"/>
        <w:gridCol w:w="4531"/>
      </w:tblGrid>
      <w:tr w:rsidR="005727E9" w:rsidRPr="00FE5D0C" w14:paraId="3005C62D" w14:textId="77777777" w:rsidTr="00124A14">
        <w:tc>
          <w:tcPr>
            <w:tcW w:w="4531" w:type="dxa"/>
          </w:tcPr>
          <w:p w14:paraId="7C22B614" w14:textId="21EF4B95" w:rsidR="005727E9" w:rsidRPr="00987D38" w:rsidRDefault="00124A14" w:rsidP="00FE5D0C">
            <w:pPr>
              <w:spacing w:line="360" w:lineRule="auto"/>
              <w:jc w:val="right"/>
              <w:rPr>
                <w:sz w:val="32"/>
                <w:szCs w:val="32"/>
                <w:lang w:val="en-US"/>
              </w:rPr>
            </w:pPr>
            <w:proofErr w:type="spellStart"/>
            <w:r w:rsidRPr="00987D38">
              <w:rPr>
                <w:sz w:val="32"/>
                <w:szCs w:val="32"/>
                <w:lang w:val="en-US"/>
              </w:rPr>
              <w:t>Frequentialist</w:t>
            </w:r>
            <w:proofErr w:type="spellEnd"/>
            <w:r w:rsidRPr="00987D38">
              <w:rPr>
                <w:sz w:val="32"/>
                <w:szCs w:val="32"/>
                <w:lang w:val="en-US"/>
              </w:rPr>
              <w:t xml:space="preserve"> framework</w:t>
            </w:r>
          </w:p>
        </w:tc>
        <w:tc>
          <w:tcPr>
            <w:tcW w:w="4531" w:type="dxa"/>
          </w:tcPr>
          <w:p w14:paraId="5AB01440" w14:textId="714D6F1F" w:rsidR="005727E9" w:rsidRPr="00987D38" w:rsidRDefault="00124A14" w:rsidP="00FE5D0C">
            <w:pPr>
              <w:spacing w:line="360" w:lineRule="auto"/>
              <w:jc w:val="center"/>
              <w:rPr>
                <w:sz w:val="32"/>
                <w:szCs w:val="32"/>
                <w:lang w:val="en-US"/>
              </w:rPr>
            </w:pPr>
            <w:r w:rsidRPr="00987D38">
              <w:rPr>
                <w:sz w:val="32"/>
                <w:szCs w:val="32"/>
                <w:lang w:val="en-US"/>
              </w:rPr>
              <w:t>Bayesian framework</w:t>
            </w:r>
          </w:p>
        </w:tc>
      </w:tr>
      <w:tr w:rsidR="005727E9" w:rsidRPr="00FE5D0C" w14:paraId="01B02B49" w14:textId="77777777" w:rsidTr="00124A14">
        <w:tc>
          <w:tcPr>
            <w:tcW w:w="4531" w:type="dxa"/>
          </w:tcPr>
          <w:p w14:paraId="6890678A" w14:textId="7F3A855E" w:rsidR="005727E9" w:rsidRPr="00FE5D0C" w:rsidRDefault="005727E9" w:rsidP="00FE5D0C">
            <w:pPr>
              <w:spacing w:line="360" w:lineRule="auto"/>
              <w:rPr>
                <w:lang w:val="en-US"/>
              </w:rPr>
            </w:pPr>
            <w:r w:rsidRPr="00FE5D0C">
              <w:rPr>
                <w:rFonts w:cs="Cambria Math"/>
                <w:noProof/>
                <w:lang w:val="en-US"/>
              </w:rPr>
              <w:drawing>
                <wp:inline distT="0" distB="0" distL="0" distR="0" wp14:anchorId="031B6AF4" wp14:editId="6455CC17">
                  <wp:extent cx="2781300" cy="3757677"/>
                  <wp:effectExtent l="0" t="0" r="0" b="0"/>
                  <wp:docPr id="1035303651" name="Bilde 2" descr="Et bilde som inneholder tekst, diagram, Plottdiagram, lin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303651" name="Bilde 2" descr="Et bilde som inneholder tekst, diagram, Plottdiagram, line&#10;&#10;KI-generert innhold kan være feil."/>
                          <pic:cNvPicPr/>
                        </pic:nvPicPr>
                        <pic:blipFill rotWithShape="1">
                          <a:blip r:embed="rId9" cstate="print">
                            <a:extLst>
                              <a:ext uri="{28A0092B-C50C-407E-A947-70E740481C1C}">
                                <a14:useLocalDpi xmlns:a14="http://schemas.microsoft.com/office/drawing/2010/main" val="0"/>
                              </a:ext>
                            </a:extLst>
                          </a:blip>
                          <a:srcRect l="5408" r="46468"/>
                          <a:stretch/>
                        </pic:blipFill>
                        <pic:spPr bwMode="auto">
                          <a:xfrm>
                            <a:off x="0" y="0"/>
                            <a:ext cx="2783948" cy="3761254"/>
                          </a:xfrm>
                          <a:prstGeom prst="rect">
                            <a:avLst/>
                          </a:prstGeom>
                          <a:ln>
                            <a:noFill/>
                          </a:ln>
                          <a:extLst>
                            <a:ext uri="{53640926-AAD7-44D8-BBD7-CCE9431645EC}">
                              <a14:shadowObscured xmlns:a14="http://schemas.microsoft.com/office/drawing/2010/main"/>
                            </a:ext>
                          </a:extLst>
                        </pic:spPr>
                      </pic:pic>
                    </a:graphicData>
                  </a:graphic>
                </wp:inline>
              </w:drawing>
            </w:r>
          </w:p>
        </w:tc>
        <w:tc>
          <w:tcPr>
            <w:tcW w:w="4531" w:type="dxa"/>
          </w:tcPr>
          <w:p w14:paraId="06E10602" w14:textId="588B9EEB" w:rsidR="005727E9" w:rsidRPr="00FE5D0C" w:rsidRDefault="005727E9" w:rsidP="00FE5D0C">
            <w:pPr>
              <w:spacing w:line="360" w:lineRule="auto"/>
              <w:rPr>
                <w:lang w:val="en-US"/>
              </w:rPr>
            </w:pPr>
            <w:r w:rsidRPr="00FE5D0C">
              <w:rPr>
                <w:noProof/>
                <w:lang w:val="en-US"/>
              </w:rPr>
              <w:drawing>
                <wp:inline distT="0" distB="0" distL="0" distR="0" wp14:anchorId="7F5C7628" wp14:editId="5F51CDFE">
                  <wp:extent cx="3059006" cy="3703320"/>
                  <wp:effectExtent l="0" t="0" r="8255" b="0"/>
                  <wp:docPr id="152785395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853951" name=""/>
                          <pic:cNvPicPr/>
                        </pic:nvPicPr>
                        <pic:blipFill rotWithShape="1">
                          <a:blip r:embed="rId10" cstate="print">
                            <a:extLst>
                              <a:ext uri="{28A0092B-C50C-407E-A947-70E740481C1C}">
                                <a14:useLocalDpi xmlns:a14="http://schemas.microsoft.com/office/drawing/2010/main" val="0"/>
                              </a:ext>
                            </a:extLst>
                          </a:blip>
                          <a:srcRect l="7659" t="5400"/>
                          <a:stretch/>
                        </pic:blipFill>
                        <pic:spPr bwMode="auto">
                          <a:xfrm>
                            <a:off x="0" y="0"/>
                            <a:ext cx="3075389" cy="3723154"/>
                          </a:xfrm>
                          <a:prstGeom prst="rect">
                            <a:avLst/>
                          </a:prstGeom>
                          <a:ln>
                            <a:noFill/>
                          </a:ln>
                          <a:extLst>
                            <a:ext uri="{53640926-AAD7-44D8-BBD7-CCE9431645EC}">
                              <a14:shadowObscured xmlns:a14="http://schemas.microsoft.com/office/drawing/2010/main"/>
                            </a:ext>
                          </a:extLst>
                        </pic:spPr>
                      </pic:pic>
                    </a:graphicData>
                  </a:graphic>
                </wp:inline>
              </w:drawing>
            </w:r>
          </w:p>
        </w:tc>
      </w:tr>
    </w:tbl>
    <w:p w14:paraId="3040A1C1" w14:textId="12CE9DB6" w:rsidR="00C67AEB" w:rsidRPr="00FE5D0C" w:rsidRDefault="00903E35" w:rsidP="00FE5D0C">
      <w:pPr>
        <w:spacing w:after="0" w:line="360" w:lineRule="auto"/>
        <w:rPr>
          <w:lang w:val="en-US"/>
        </w:rPr>
      </w:pPr>
      <w:r w:rsidRPr="00FE5D0C">
        <w:rPr>
          <w:b/>
          <w:bCs/>
          <w:lang w:val="en-GB"/>
        </w:rPr>
        <w:t xml:space="preserve">Supplementary Figure </w:t>
      </w:r>
      <w:r w:rsidR="005727E9" w:rsidRPr="00FE5D0C">
        <w:rPr>
          <w:b/>
          <w:bCs/>
          <w:lang w:val="en-GB"/>
        </w:rPr>
        <w:t>4</w:t>
      </w:r>
      <w:r w:rsidRPr="00FE5D0C">
        <w:rPr>
          <w:b/>
          <w:bCs/>
          <w:lang w:val="en-GB"/>
        </w:rPr>
        <w:t xml:space="preserve">. Prevalence of observed </w:t>
      </w:r>
      <w:r w:rsidR="006A1562" w:rsidRPr="006A1562">
        <w:rPr>
          <w:b/>
          <w:bCs/>
          <w:lang w:val="en-GB"/>
        </w:rPr>
        <w:t xml:space="preserve">stable performers </w:t>
      </w:r>
      <w:r w:rsidRPr="00FE5D0C">
        <w:rPr>
          <w:b/>
          <w:bCs/>
          <w:lang w:val="en-GB"/>
        </w:rPr>
        <w:t>across age</w:t>
      </w:r>
      <w:r w:rsidR="00C67AEB" w:rsidRPr="00FE5D0C">
        <w:rPr>
          <w:b/>
          <w:bCs/>
          <w:lang w:val="en-GB"/>
        </w:rPr>
        <w:t xml:space="preserve"> using robust Theil-Sen regression</w:t>
      </w:r>
      <w:r w:rsidR="005727E9" w:rsidRPr="00FE5D0C">
        <w:rPr>
          <w:b/>
          <w:bCs/>
          <w:lang w:val="en-GB"/>
        </w:rPr>
        <w:t xml:space="preserve"> and hierarchical Bayesian modelling</w:t>
      </w:r>
      <w:r w:rsidR="00B45314" w:rsidRPr="00FE5D0C">
        <w:rPr>
          <w:b/>
          <w:bCs/>
          <w:lang w:val="en-GB"/>
        </w:rPr>
        <w:t xml:space="preserve"> in SHARE</w:t>
      </w:r>
      <w:r w:rsidRPr="00FE5D0C">
        <w:rPr>
          <w:b/>
          <w:bCs/>
          <w:lang w:val="en-GB"/>
        </w:rPr>
        <w:t>.</w:t>
      </w:r>
      <w:r w:rsidRPr="00FE5D0C">
        <w:rPr>
          <w:lang w:val="en-GB"/>
        </w:rPr>
        <w:t xml:space="preserve"> </w:t>
      </w:r>
      <w:r w:rsidR="005727E9" w:rsidRPr="00FE5D0C">
        <w:rPr>
          <w:lang w:val="en-GB"/>
        </w:rPr>
        <w:t xml:space="preserve">Left panel: </w:t>
      </w:r>
      <w:r w:rsidRPr="00FE5D0C">
        <w:rPr>
          <w:lang w:val="en-GB"/>
        </w:rPr>
        <w:t xml:space="preserve">The lines show the observed percentages of </w:t>
      </w:r>
      <w:r w:rsidR="006A1562" w:rsidRPr="006A1562">
        <w:rPr>
          <w:lang w:val="en-GB"/>
        </w:rPr>
        <w:t xml:space="preserve">stable performers </w:t>
      </w:r>
      <w:r w:rsidRPr="00FE5D0C">
        <w:rPr>
          <w:lang w:val="en-GB"/>
        </w:rPr>
        <w:t>within a ±1.5-year moving window</w:t>
      </w:r>
      <w:r w:rsidR="005727E9" w:rsidRPr="00FE5D0C">
        <w:rPr>
          <w:lang w:val="en-GB"/>
        </w:rPr>
        <w:t xml:space="preserve"> using the Thiel-Sen approach</w:t>
      </w:r>
      <w:r w:rsidRPr="00FE5D0C">
        <w:rPr>
          <w:lang w:val="en-GB"/>
        </w:rPr>
        <w:t xml:space="preserve">. Shaded bands are 95% Wald CIs. The conservative rule (blue) has 95% LOO lower bound (LB) and slope </w:t>
      </w:r>
      <w:r w:rsidRPr="00FE5D0C">
        <w:rPr>
          <w:u w:val="single"/>
          <w:lang w:val="en-GB"/>
        </w:rPr>
        <w:t>&gt;</w:t>
      </w:r>
      <w:r w:rsidRPr="00FE5D0C">
        <w:rPr>
          <w:lang w:val="en-GB"/>
        </w:rPr>
        <w:t xml:space="preserve"> 0, whereas the lenient rule (orange) has 50% LOO LB and slope </w:t>
      </w:r>
      <w:r w:rsidRPr="00FE5D0C">
        <w:rPr>
          <w:u w:val="single"/>
          <w:lang w:val="en-GB"/>
        </w:rPr>
        <w:t>&gt;</w:t>
      </w:r>
      <w:r w:rsidRPr="00FE5D0C">
        <w:rPr>
          <w:lang w:val="en-GB"/>
        </w:rPr>
        <w:t xml:space="preserve"> -0.1. </w:t>
      </w:r>
      <w:r w:rsidR="005727E9" w:rsidRPr="00FE5D0C">
        <w:rPr>
          <w:lang w:val="en-GB"/>
        </w:rPr>
        <w:t xml:space="preserve">Right panel: </w:t>
      </w:r>
      <w:r w:rsidR="006A1562">
        <w:rPr>
          <w:lang w:val="en-GB"/>
        </w:rPr>
        <w:t>S</w:t>
      </w:r>
      <w:r w:rsidR="006A1562" w:rsidRPr="006A1562">
        <w:rPr>
          <w:lang w:val="en-US"/>
        </w:rPr>
        <w:t xml:space="preserve">table performers </w:t>
      </w:r>
      <w:r w:rsidR="00C67AEB" w:rsidRPr="00FE5D0C">
        <w:rPr>
          <w:lang w:val="en-US"/>
        </w:rPr>
        <w:t>prevalence with age in the hierarchical Bayesian modelling framework.</w:t>
      </w:r>
      <w:r w:rsidR="00C67AEB" w:rsidRPr="00FE5D0C">
        <w:rPr>
          <w:b/>
          <w:bCs/>
          <w:lang w:val="en-US"/>
        </w:rPr>
        <w:t xml:space="preserve"> </w:t>
      </w:r>
      <w:r w:rsidR="00C67AEB" w:rsidRPr="00FE5D0C">
        <w:rPr>
          <w:lang w:val="en-US"/>
        </w:rPr>
        <w:t xml:space="preserve">Shaded bands are 95%. </w:t>
      </w:r>
    </w:p>
    <w:p w14:paraId="228BAE0F" w14:textId="0BD8E62C" w:rsidR="00C67AEB" w:rsidRPr="00FE5D0C" w:rsidRDefault="00B45314" w:rsidP="00FE5D0C">
      <w:pPr>
        <w:spacing w:after="0" w:line="360" w:lineRule="auto"/>
        <w:rPr>
          <w:lang w:val="en-GB"/>
        </w:rPr>
      </w:pPr>
      <w:r w:rsidRPr="00FE5D0C">
        <w:rPr>
          <w:noProof/>
          <w:lang w:val="en-US"/>
        </w:rPr>
        <w:drawing>
          <wp:inline distT="0" distB="0" distL="0" distR="0" wp14:anchorId="1B02D651" wp14:editId="15F4E805">
            <wp:extent cx="3461677" cy="2354580"/>
            <wp:effectExtent l="0" t="0" r="5715" b="7620"/>
            <wp:docPr id="962985875" name="Bilde 2" descr="Et bilde som inneholder tekst, skjermbilde, Plottdiagram, Fon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985875" name="Bilde 2" descr="Et bilde som inneholder tekst, skjermbilde, Plottdiagram, Font&#10;&#10;KI-generert innhold kan være fei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06140" cy="2384823"/>
                    </a:xfrm>
                    <a:prstGeom prst="rect">
                      <a:avLst/>
                    </a:prstGeom>
                  </pic:spPr>
                </pic:pic>
              </a:graphicData>
            </a:graphic>
          </wp:inline>
        </w:drawing>
      </w:r>
    </w:p>
    <w:p w14:paraId="3682FC89" w14:textId="6C0472A5" w:rsidR="00B45314" w:rsidRPr="00FE5D0C" w:rsidRDefault="00B45314" w:rsidP="00FE5D0C">
      <w:pPr>
        <w:spacing w:after="0" w:line="360" w:lineRule="auto"/>
        <w:rPr>
          <w:lang w:val="en-US"/>
        </w:rPr>
      </w:pPr>
      <w:r w:rsidRPr="00FE5D0C">
        <w:rPr>
          <w:b/>
          <w:bCs/>
          <w:lang w:val="en-US"/>
        </w:rPr>
        <w:lastRenderedPageBreak/>
        <w:t>Supplementary Figure 5.</w:t>
      </w:r>
      <w:r w:rsidRPr="00FE5D0C">
        <w:rPr>
          <w:lang w:val="en-US"/>
        </w:rPr>
        <w:t xml:space="preserve"> </w:t>
      </w:r>
      <w:r w:rsidR="006A1562">
        <w:rPr>
          <w:lang w:val="en-US"/>
        </w:rPr>
        <w:t>S</w:t>
      </w:r>
      <w:r w:rsidR="006A1562" w:rsidRPr="006A1562">
        <w:rPr>
          <w:lang w:val="en-US"/>
        </w:rPr>
        <w:t>table performers</w:t>
      </w:r>
      <w:r w:rsidR="006A1562" w:rsidRPr="00FE5D0C">
        <w:rPr>
          <w:lang w:val="en-US"/>
        </w:rPr>
        <w:t xml:space="preserve"> </w:t>
      </w:r>
      <w:r w:rsidRPr="00FE5D0C">
        <w:rPr>
          <w:lang w:val="en-US"/>
        </w:rPr>
        <w:t>prevalence as a function of age in Betula under the hierarchical Bayesian framework according to a conservative (&gt; 0) and lenient (&gt; -0.4) slope criterion.</w:t>
      </w:r>
    </w:p>
    <w:p w14:paraId="3DD328DD" w14:textId="46041B83" w:rsidR="00050A46" w:rsidRPr="00FE5D0C" w:rsidRDefault="00050A46" w:rsidP="00FE5D0C">
      <w:pPr>
        <w:spacing w:after="0" w:line="360" w:lineRule="auto"/>
        <w:rPr>
          <w:b/>
          <w:bCs/>
          <w:lang w:val="en-GB"/>
        </w:rPr>
      </w:pPr>
      <w:r w:rsidRPr="00FE5D0C">
        <w:rPr>
          <w:b/>
          <w:bCs/>
          <w:lang w:val="en-GB"/>
        </w:rPr>
        <w:t xml:space="preserve">Section 4: Example plots of individual </w:t>
      </w:r>
      <w:r w:rsidR="006A1562" w:rsidRPr="006A1562">
        <w:rPr>
          <w:b/>
          <w:bCs/>
          <w:lang w:val="en-GB"/>
        </w:rPr>
        <w:t>stable performers</w:t>
      </w:r>
    </w:p>
    <w:p w14:paraId="623CCD32" w14:textId="01F1AF48" w:rsidR="00662587" w:rsidRPr="00FE5D0C" w:rsidRDefault="00662587" w:rsidP="00FE5D0C">
      <w:pPr>
        <w:spacing w:after="0" w:line="360" w:lineRule="auto"/>
        <w:rPr>
          <w:lang w:val="en-US"/>
        </w:rPr>
      </w:pPr>
      <w:r w:rsidRPr="00FE5D0C">
        <w:rPr>
          <w:noProof/>
        </w:rPr>
        <w:drawing>
          <wp:inline distT="0" distB="0" distL="0" distR="0" wp14:anchorId="2FDE09F7" wp14:editId="401B8C25">
            <wp:extent cx="6045351" cy="4396740"/>
            <wp:effectExtent l="0" t="0" r="0" b="3810"/>
            <wp:docPr id="491611420" name="Bilde 2">
              <a:extLst xmlns:a="http://schemas.openxmlformats.org/drawingml/2006/main">
                <a:ext uri="{FF2B5EF4-FFF2-40B4-BE49-F238E27FC236}">
                  <a16:creationId xmlns:a16="http://schemas.microsoft.com/office/drawing/2014/main" id="{5296D996-F159-7C07-0970-9D8A2BDAE5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2">
                      <a:extLst>
                        <a:ext uri="{FF2B5EF4-FFF2-40B4-BE49-F238E27FC236}">
                          <a16:creationId xmlns:a16="http://schemas.microsoft.com/office/drawing/2014/main" id="{5296D996-F159-7C07-0970-9D8A2BDAE508}"/>
                        </a:ext>
                      </a:extLst>
                    </pic:cNvPr>
                    <pic:cNvPicPr>
                      <a:picLocks noChangeAspect="1"/>
                    </pic:cNvPicPr>
                  </pic:nvPicPr>
                  <pic:blipFill rotWithShape="1">
                    <a:blip r:embed="rId12"/>
                    <a:srcRect t="3341"/>
                    <a:stretch/>
                  </pic:blipFill>
                  <pic:spPr bwMode="auto">
                    <a:xfrm>
                      <a:off x="0" y="0"/>
                      <a:ext cx="6047885" cy="4398583"/>
                    </a:xfrm>
                    <a:prstGeom prst="rect">
                      <a:avLst/>
                    </a:prstGeom>
                    <a:ln>
                      <a:noFill/>
                    </a:ln>
                    <a:extLst>
                      <a:ext uri="{53640926-AAD7-44D8-BBD7-CCE9431645EC}">
                        <a14:shadowObscured xmlns:a14="http://schemas.microsoft.com/office/drawing/2010/main"/>
                      </a:ext>
                    </a:extLst>
                  </pic:spPr>
                </pic:pic>
              </a:graphicData>
            </a:graphic>
          </wp:inline>
        </w:drawing>
      </w:r>
    </w:p>
    <w:p w14:paraId="534D0F03" w14:textId="6940FF55" w:rsidR="00B07203" w:rsidRPr="00FE5D0C" w:rsidRDefault="00662587" w:rsidP="00FE5D0C">
      <w:pPr>
        <w:spacing w:after="0" w:line="360" w:lineRule="auto"/>
        <w:rPr>
          <w:b/>
          <w:bCs/>
          <w:lang w:val="en-US"/>
        </w:rPr>
      </w:pPr>
      <w:r w:rsidRPr="00FE5D0C">
        <w:rPr>
          <w:b/>
          <w:bCs/>
          <w:lang w:val="en-US"/>
        </w:rPr>
        <w:t xml:space="preserve">Supplementary Figure </w:t>
      </w:r>
      <w:r w:rsidR="00A46A86" w:rsidRPr="00FE5D0C">
        <w:rPr>
          <w:b/>
          <w:bCs/>
          <w:lang w:val="en-US"/>
        </w:rPr>
        <w:t>6</w:t>
      </w:r>
      <w:r w:rsidRPr="00FE5D0C">
        <w:rPr>
          <w:b/>
          <w:bCs/>
          <w:lang w:val="en-US"/>
        </w:rPr>
        <w:t xml:space="preserve">. Examples of </w:t>
      </w:r>
      <w:r w:rsidR="006A1562" w:rsidRPr="006A1562">
        <w:rPr>
          <w:b/>
          <w:bCs/>
          <w:lang w:val="en-US"/>
        </w:rPr>
        <w:t xml:space="preserve">stable performers </w:t>
      </w:r>
      <w:r w:rsidRPr="00FE5D0C">
        <w:rPr>
          <w:b/>
          <w:bCs/>
          <w:lang w:val="en-US"/>
        </w:rPr>
        <w:t xml:space="preserve">according to the conservative rule (slope </w:t>
      </w:r>
      <w:r w:rsidRPr="00FE5D0C">
        <w:rPr>
          <w:b/>
          <w:bCs/>
          <w:u w:val="single"/>
          <w:lang w:val="en-US"/>
        </w:rPr>
        <w:t>&gt;</w:t>
      </w:r>
      <w:r w:rsidRPr="00FE5D0C">
        <w:rPr>
          <w:b/>
          <w:bCs/>
          <w:lang w:val="en-US"/>
        </w:rPr>
        <w:t xml:space="preserve"> 0, LB 95%).</w:t>
      </w:r>
    </w:p>
    <w:p w14:paraId="131D0C29" w14:textId="77777777" w:rsidR="00E962E2" w:rsidRPr="00FE5D0C" w:rsidRDefault="00E962E2" w:rsidP="00FE5D0C">
      <w:pPr>
        <w:spacing w:after="0" w:line="360" w:lineRule="auto"/>
        <w:rPr>
          <w:lang w:val="en-US"/>
        </w:rPr>
      </w:pPr>
    </w:p>
    <w:p w14:paraId="6548127C" w14:textId="435E26B3" w:rsidR="00662587" w:rsidRPr="00FE5D0C" w:rsidRDefault="00662587" w:rsidP="00FE5D0C">
      <w:pPr>
        <w:spacing w:after="0" w:line="360" w:lineRule="auto"/>
        <w:rPr>
          <w:lang w:val="en-US"/>
        </w:rPr>
      </w:pPr>
      <w:r w:rsidRPr="00FE5D0C">
        <w:rPr>
          <w:noProof/>
        </w:rPr>
        <w:lastRenderedPageBreak/>
        <w:drawing>
          <wp:inline distT="0" distB="0" distL="0" distR="0" wp14:anchorId="0DFF8716" wp14:editId="60AD6CDA">
            <wp:extent cx="5958464" cy="4343400"/>
            <wp:effectExtent l="0" t="0" r="4445" b="0"/>
            <wp:docPr id="1351509508" name="Bilde 2">
              <a:extLst xmlns:a="http://schemas.openxmlformats.org/drawingml/2006/main">
                <a:ext uri="{FF2B5EF4-FFF2-40B4-BE49-F238E27FC236}">
                  <a16:creationId xmlns:a16="http://schemas.microsoft.com/office/drawing/2014/main" id="{19A2DE71-DFEA-A9EC-AB72-E884E477C3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2">
                      <a:extLst>
                        <a:ext uri="{FF2B5EF4-FFF2-40B4-BE49-F238E27FC236}">
                          <a16:creationId xmlns:a16="http://schemas.microsoft.com/office/drawing/2014/main" id="{19A2DE71-DFEA-A9EC-AB72-E884E477C396}"/>
                        </a:ext>
                      </a:extLst>
                    </pic:cNvPr>
                    <pic:cNvPicPr>
                      <a:picLocks noChangeAspect="1"/>
                    </pic:cNvPicPr>
                  </pic:nvPicPr>
                  <pic:blipFill rotWithShape="1">
                    <a:blip r:embed="rId13"/>
                    <a:srcRect t="2822"/>
                    <a:stretch/>
                  </pic:blipFill>
                  <pic:spPr bwMode="auto">
                    <a:xfrm>
                      <a:off x="0" y="0"/>
                      <a:ext cx="5964343" cy="4347686"/>
                    </a:xfrm>
                    <a:prstGeom prst="rect">
                      <a:avLst/>
                    </a:prstGeom>
                    <a:ln>
                      <a:noFill/>
                    </a:ln>
                    <a:extLst>
                      <a:ext uri="{53640926-AAD7-44D8-BBD7-CCE9431645EC}">
                        <a14:shadowObscured xmlns:a14="http://schemas.microsoft.com/office/drawing/2010/main"/>
                      </a:ext>
                    </a:extLst>
                  </pic:spPr>
                </pic:pic>
              </a:graphicData>
            </a:graphic>
          </wp:inline>
        </w:drawing>
      </w:r>
    </w:p>
    <w:p w14:paraId="431493F3" w14:textId="65ADDECB" w:rsidR="00662587" w:rsidRPr="00FE5D0C" w:rsidRDefault="00662587" w:rsidP="00FE5D0C">
      <w:pPr>
        <w:spacing w:after="0" w:line="360" w:lineRule="auto"/>
        <w:rPr>
          <w:b/>
          <w:bCs/>
          <w:lang w:val="en-US"/>
        </w:rPr>
      </w:pPr>
      <w:r w:rsidRPr="00FE5D0C">
        <w:rPr>
          <w:b/>
          <w:bCs/>
          <w:lang w:val="en-US"/>
        </w:rPr>
        <w:t xml:space="preserve">Supplementary Figure </w:t>
      </w:r>
      <w:r w:rsidR="00A46A86" w:rsidRPr="00FE5D0C">
        <w:rPr>
          <w:b/>
          <w:bCs/>
          <w:lang w:val="en-US"/>
        </w:rPr>
        <w:t>7</w:t>
      </w:r>
      <w:r w:rsidRPr="00FE5D0C">
        <w:rPr>
          <w:b/>
          <w:bCs/>
          <w:lang w:val="en-US"/>
        </w:rPr>
        <w:t>. Examples of non-</w:t>
      </w:r>
      <w:r w:rsidR="006A1562" w:rsidRPr="006A1562">
        <w:rPr>
          <w:lang w:val="en-GB"/>
        </w:rPr>
        <w:t xml:space="preserve"> </w:t>
      </w:r>
      <w:r w:rsidR="006A1562" w:rsidRPr="006A1562">
        <w:rPr>
          <w:b/>
          <w:bCs/>
          <w:lang w:val="en-US"/>
        </w:rPr>
        <w:t xml:space="preserve">stable performers </w:t>
      </w:r>
      <w:r w:rsidRPr="00FE5D0C">
        <w:rPr>
          <w:b/>
          <w:bCs/>
          <w:lang w:val="en-US"/>
        </w:rPr>
        <w:t xml:space="preserve">according to the conservative rule (slope </w:t>
      </w:r>
      <w:r w:rsidRPr="00FE5D0C">
        <w:rPr>
          <w:b/>
          <w:bCs/>
          <w:u w:val="single"/>
          <w:lang w:val="en-US"/>
        </w:rPr>
        <w:t>&gt;</w:t>
      </w:r>
      <w:r w:rsidRPr="00FE5D0C">
        <w:rPr>
          <w:b/>
          <w:bCs/>
          <w:lang w:val="en-US"/>
        </w:rPr>
        <w:t xml:space="preserve"> 0, LB 95%).</w:t>
      </w:r>
    </w:p>
    <w:p w14:paraId="555F4630" w14:textId="77777777" w:rsidR="00662587" w:rsidRPr="00FE5D0C" w:rsidRDefault="00662587" w:rsidP="00FE5D0C">
      <w:pPr>
        <w:spacing w:after="0" w:line="360" w:lineRule="auto"/>
        <w:rPr>
          <w:lang w:val="en-US"/>
        </w:rPr>
      </w:pPr>
    </w:p>
    <w:p w14:paraId="7C9320D1" w14:textId="237A40CD" w:rsidR="00662587" w:rsidRPr="00FE5D0C" w:rsidRDefault="00662587" w:rsidP="00FE5D0C">
      <w:pPr>
        <w:spacing w:after="0" w:line="360" w:lineRule="auto"/>
        <w:rPr>
          <w:lang w:val="en-US"/>
        </w:rPr>
      </w:pPr>
      <w:r w:rsidRPr="00FE5D0C">
        <w:rPr>
          <w:noProof/>
        </w:rPr>
        <w:lastRenderedPageBreak/>
        <w:drawing>
          <wp:inline distT="0" distB="0" distL="0" distR="0" wp14:anchorId="2414B192" wp14:editId="5EB8801E">
            <wp:extent cx="6106033" cy="4457700"/>
            <wp:effectExtent l="0" t="0" r="9525" b="0"/>
            <wp:docPr id="675851527" name="Bilde 2">
              <a:extLst xmlns:a="http://schemas.openxmlformats.org/drawingml/2006/main">
                <a:ext uri="{FF2B5EF4-FFF2-40B4-BE49-F238E27FC236}">
                  <a16:creationId xmlns:a16="http://schemas.microsoft.com/office/drawing/2014/main" id="{FAFFD82C-8C36-772A-D61E-B45310AAF5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2">
                      <a:extLst>
                        <a:ext uri="{FF2B5EF4-FFF2-40B4-BE49-F238E27FC236}">
                          <a16:creationId xmlns:a16="http://schemas.microsoft.com/office/drawing/2014/main" id="{FAFFD82C-8C36-772A-D61E-B45310AAF502}"/>
                        </a:ext>
                      </a:extLst>
                    </pic:cNvPr>
                    <pic:cNvPicPr>
                      <a:picLocks noChangeAspect="1"/>
                    </pic:cNvPicPr>
                  </pic:nvPicPr>
                  <pic:blipFill rotWithShape="1">
                    <a:blip r:embed="rId14"/>
                    <a:srcRect t="3158"/>
                    <a:stretch/>
                  </pic:blipFill>
                  <pic:spPr bwMode="auto">
                    <a:xfrm>
                      <a:off x="0" y="0"/>
                      <a:ext cx="6109016" cy="4459878"/>
                    </a:xfrm>
                    <a:prstGeom prst="rect">
                      <a:avLst/>
                    </a:prstGeom>
                    <a:ln>
                      <a:noFill/>
                    </a:ln>
                    <a:extLst>
                      <a:ext uri="{53640926-AAD7-44D8-BBD7-CCE9431645EC}">
                        <a14:shadowObscured xmlns:a14="http://schemas.microsoft.com/office/drawing/2010/main"/>
                      </a:ext>
                    </a:extLst>
                  </pic:spPr>
                </pic:pic>
              </a:graphicData>
            </a:graphic>
          </wp:inline>
        </w:drawing>
      </w:r>
    </w:p>
    <w:p w14:paraId="6C7DC9E3" w14:textId="0B4739FB" w:rsidR="00662587" w:rsidRPr="00FE5D0C" w:rsidRDefault="00662587" w:rsidP="00FE5D0C">
      <w:pPr>
        <w:spacing w:after="0" w:line="360" w:lineRule="auto"/>
        <w:rPr>
          <w:b/>
          <w:bCs/>
          <w:lang w:val="en-US"/>
        </w:rPr>
      </w:pPr>
      <w:r w:rsidRPr="00FE5D0C">
        <w:rPr>
          <w:b/>
          <w:bCs/>
          <w:lang w:val="en-US"/>
        </w:rPr>
        <w:t xml:space="preserve">Supplementary Figure </w:t>
      </w:r>
      <w:r w:rsidR="00A46A86" w:rsidRPr="00FE5D0C">
        <w:rPr>
          <w:b/>
          <w:bCs/>
          <w:lang w:val="en-US"/>
        </w:rPr>
        <w:t>8</w:t>
      </w:r>
      <w:r w:rsidRPr="00FE5D0C">
        <w:rPr>
          <w:b/>
          <w:bCs/>
          <w:lang w:val="en-US"/>
        </w:rPr>
        <w:t xml:space="preserve">. Examples of </w:t>
      </w:r>
      <w:r w:rsidR="006A1562" w:rsidRPr="006A1562">
        <w:rPr>
          <w:b/>
          <w:bCs/>
          <w:lang w:val="en-US"/>
        </w:rPr>
        <w:t xml:space="preserve">stable performers </w:t>
      </w:r>
      <w:r w:rsidRPr="00FE5D0C">
        <w:rPr>
          <w:b/>
          <w:bCs/>
          <w:lang w:val="en-US"/>
        </w:rPr>
        <w:t xml:space="preserve">according to the lenient rule (slope </w:t>
      </w:r>
      <w:r w:rsidRPr="00FE5D0C">
        <w:rPr>
          <w:b/>
          <w:bCs/>
          <w:u w:val="single"/>
          <w:lang w:val="en-US"/>
        </w:rPr>
        <w:t>&gt;</w:t>
      </w:r>
      <w:r w:rsidRPr="00FE5D0C">
        <w:rPr>
          <w:b/>
          <w:bCs/>
          <w:lang w:val="en-US"/>
        </w:rPr>
        <w:t xml:space="preserve"> -0.1, LB 50%).</w:t>
      </w:r>
    </w:p>
    <w:p w14:paraId="4BB358BF" w14:textId="11D3E238" w:rsidR="00B07203" w:rsidRPr="00FE5D0C" w:rsidRDefault="00662587" w:rsidP="00FE5D0C">
      <w:pPr>
        <w:spacing w:after="0" w:line="360" w:lineRule="auto"/>
        <w:rPr>
          <w:lang w:val="en-US"/>
        </w:rPr>
      </w:pPr>
      <w:r w:rsidRPr="00FE5D0C">
        <w:rPr>
          <w:noProof/>
        </w:rPr>
        <w:lastRenderedPageBreak/>
        <w:drawing>
          <wp:inline distT="0" distB="0" distL="0" distR="0" wp14:anchorId="089A266F" wp14:editId="539371BC">
            <wp:extent cx="6180203" cy="4518660"/>
            <wp:effectExtent l="0" t="0" r="0" b="0"/>
            <wp:docPr id="1080207874" name="Bilde 2">
              <a:extLst xmlns:a="http://schemas.openxmlformats.org/drawingml/2006/main">
                <a:ext uri="{FF2B5EF4-FFF2-40B4-BE49-F238E27FC236}">
                  <a16:creationId xmlns:a16="http://schemas.microsoft.com/office/drawing/2014/main" id="{922551D6-A7D8-2285-D6D7-98DB000AE7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2">
                      <a:extLst>
                        <a:ext uri="{FF2B5EF4-FFF2-40B4-BE49-F238E27FC236}">
                          <a16:creationId xmlns:a16="http://schemas.microsoft.com/office/drawing/2014/main" id="{922551D6-A7D8-2285-D6D7-98DB000AE714}"/>
                        </a:ext>
                      </a:extLst>
                    </pic:cNvPr>
                    <pic:cNvPicPr>
                      <a:picLocks noChangeAspect="1"/>
                    </pic:cNvPicPr>
                  </pic:nvPicPr>
                  <pic:blipFill rotWithShape="1">
                    <a:blip r:embed="rId15"/>
                    <a:srcRect t="3153"/>
                    <a:stretch/>
                  </pic:blipFill>
                  <pic:spPr bwMode="auto">
                    <a:xfrm>
                      <a:off x="0" y="0"/>
                      <a:ext cx="6183988" cy="4521428"/>
                    </a:xfrm>
                    <a:prstGeom prst="rect">
                      <a:avLst/>
                    </a:prstGeom>
                    <a:ln>
                      <a:noFill/>
                    </a:ln>
                    <a:extLst>
                      <a:ext uri="{53640926-AAD7-44D8-BBD7-CCE9431645EC}">
                        <a14:shadowObscured xmlns:a14="http://schemas.microsoft.com/office/drawing/2010/main"/>
                      </a:ext>
                    </a:extLst>
                  </pic:spPr>
                </pic:pic>
              </a:graphicData>
            </a:graphic>
          </wp:inline>
        </w:drawing>
      </w:r>
    </w:p>
    <w:p w14:paraId="7B9E163A" w14:textId="15A99529" w:rsidR="00662587" w:rsidRPr="00FE5D0C" w:rsidRDefault="00662587" w:rsidP="00FE5D0C">
      <w:pPr>
        <w:spacing w:after="0" w:line="360" w:lineRule="auto"/>
        <w:rPr>
          <w:b/>
          <w:bCs/>
          <w:lang w:val="en-US"/>
        </w:rPr>
      </w:pPr>
      <w:r w:rsidRPr="00FE5D0C">
        <w:rPr>
          <w:b/>
          <w:bCs/>
          <w:lang w:val="en-US"/>
        </w:rPr>
        <w:t xml:space="preserve">Supplementary Figure </w:t>
      </w:r>
      <w:r w:rsidR="00A46A86" w:rsidRPr="00FE5D0C">
        <w:rPr>
          <w:b/>
          <w:bCs/>
          <w:lang w:val="en-US"/>
        </w:rPr>
        <w:t>9</w:t>
      </w:r>
      <w:r w:rsidRPr="00FE5D0C">
        <w:rPr>
          <w:b/>
          <w:bCs/>
          <w:lang w:val="en-US"/>
        </w:rPr>
        <w:t>. Examples of non-</w:t>
      </w:r>
      <w:r w:rsidR="006A1562" w:rsidRPr="006A1562">
        <w:rPr>
          <w:lang w:val="en-GB"/>
        </w:rPr>
        <w:t xml:space="preserve"> </w:t>
      </w:r>
      <w:r w:rsidR="006A1562" w:rsidRPr="006A1562">
        <w:rPr>
          <w:b/>
          <w:bCs/>
          <w:lang w:val="en-US"/>
        </w:rPr>
        <w:t xml:space="preserve">stable performers </w:t>
      </w:r>
      <w:r w:rsidRPr="00FE5D0C">
        <w:rPr>
          <w:b/>
          <w:bCs/>
          <w:lang w:val="en-US"/>
        </w:rPr>
        <w:t xml:space="preserve">according to the lenient rule (slope </w:t>
      </w:r>
      <w:r w:rsidRPr="00FE5D0C">
        <w:rPr>
          <w:b/>
          <w:bCs/>
          <w:u w:val="single"/>
          <w:lang w:val="en-US"/>
        </w:rPr>
        <w:t>&gt;</w:t>
      </w:r>
      <w:r w:rsidRPr="00FE5D0C">
        <w:rPr>
          <w:b/>
          <w:bCs/>
          <w:lang w:val="en-US"/>
        </w:rPr>
        <w:t xml:space="preserve"> -0.1, LB 50%).</w:t>
      </w:r>
    </w:p>
    <w:p w14:paraId="7E4911F0" w14:textId="5442230A" w:rsidR="00050A46" w:rsidRPr="00FE5D0C" w:rsidRDefault="00050A46" w:rsidP="00FE5D0C">
      <w:pPr>
        <w:spacing w:after="0" w:line="360" w:lineRule="auto"/>
        <w:rPr>
          <w:b/>
          <w:bCs/>
          <w:i/>
          <w:iCs/>
          <w:lang w:val="en-US"/>
        </w:rPr>
      </w:pPr>
      <w:r w:rsidRPr="00FE5D0C">
        <w:rPr>
          <w:b/>
          <w:bCs/>
          <w:i/>
          <w:iCs/>
          <w:lang w:val="en-US"/>
        </w:rPr>
        <w:br w:type="page"/>
      </w:r>
    </w:p>
    <w:p w14:paraId="08472468" w14:textId="6552C5BC" w:rsidR="00050A46" w:rsidRPr="00FE5D0C" w:rsidRDefault="004229AB" w:rsidP="00FE5D0C">
      <w:pPr>
        <w:spacing w:after="0" w:line="360" w:lineRule="auto"/>
        <w:rPr>
          <w:b/>
          <w:bCs/>
          <w:lang w:val="en-US"/>
        </w:rPr>
      </w:pPr>
      <w:r w:rsidRPr="00FE5D0C">
        <w:rPr>
          <w:b/>
          <w:bCs/>
          <w:lang w:val="en-US"/>
        </w:rPr>
        <w:lastRenderedPageBreak/>
        <w:t xml:space="preserve">Section 5: </w:t>
      </w:r>
      <w:r w:rsidR="00ED2118" w:rsidRPr="00FE5D0C">
        <w:rPr>
          <w:b/>
          <w:bCs/>
          <w:lang w:val="en-US"/>
        </w:rPr>
        <w:t>Memory analyses in the MRI subsample</w:t>
      </w:r>
    </w:p>
    <w:p w14:paraId="3114877A" w14:textId="72412099" w:rsidR="00662587" w:rsidRPr="00FE5D0C" w:rsidRDefault="00ED2118" w:rsidP="00FE5D0C">
      <w:pPr>
        <w:spacing w:after="0" w:line="360" w:lineRule="auto"/>
        <w:rPr>
          <w:lang w:val="en-US"/>
        </w:rPr>
      </w:pPr>
      <w:r w:rsidRPr="00FE5D0C">
        <w:rPr>
          <w:lang w:val="en-US"/>
        </w:rPr>
        <w:t xml:space="preserve">We analyzed longitudinal MRI data from 10 independent studies (n =1,978 participants aged &gt; 50 with &gt; 4 episodic-memory test sessions covering 16,342 tests and 7,206 scans). We extracted a principal component across memory subtests within each study and classified </w:t>
      </w:r>
      <w:r w:rsidR="003D39FE" w:rsidRPr="003D39FE">
        <w:rPr>
          <w:lang w:val="en-US"/>
        </w:rPr>
        <w:t xml:space="preserve">stable performers </w:t>
      </w:r>
      <w:r w:rsidRPr="00FE5D0C">
        <w:rPr>
          <w:lang w:val="en-US"/>
        </w:rPr>
        <w:t xml:space="preserve">using the same Theil–Sen–based framework. The PPV-estimated proportion of true </w:t>
      </w:r>
      <w:r w:rsidR="006A1562" w:rsidRPr="006A1562">
        <w:rPr>
          <w:lang w:val="en-US"/>
        </w:rPr>
        <w:t xml:space="preserve">stable performers </w:t>
      </w:r>
      <w:r w:rsidRPr="00FE5D0C">
        <w:rPr>
          <w:lang w:val="en-US"/>
        </w:rPr>
        <w:t>was 9.8% (95% CI: 9.3–10.4) for ages ≥70 (95% CI: 8.2–9.2) for ages ≥80, slightly higher than in SHARE and BETULA, likely reflecting more selectivity and selection bias in MRI cohorts.</w:t>
      </w:r>
    </w:p>
    <w:p w14:paraId="3C37968D" w14:textId="24708E51" w:rsidR="00B11A53" w:rsidRPr="00FE5D0C" w:rsidRDefault="00B11A53" w:rsidP="00FE5D0C">
      <w:pPr>
        <w:spacing w:after="0" w:line="360" w:lineRule="auto"/>
        <w:rPr>
          <w:b/>
          <w:bCs/>
          <w:lang w:val="en-US"/>
        </w:rPr>
      </w:pPr>
      <w:r w:rsidRPr="00FE5D0C">
        <w:rPr>
          <w:b/>
          <w:bCs/>
          <w:noProof/>
          <w:lang w:val="en-US"/>
        </w:rPr>
        <w:drawing>
          <wp:inline distT="0" distB="0" distL="0" distR="0" wp14:anchorId="79F3AD57" wp14:editId="7AF87ADC">
            <wp:extent cx="4838700" cy="2030730"/>
            <wp:effectExtent l="0" t="0" r="0" b="7620"/>
            <wp:docPr id="810915499"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6063"/>
                    <a:stretch/>
                  </pic:blipFill>
                  <pic:spPr bwMode="auto">
                    <a:xfrm>
                      <a:off x="0" y="0"/>
                      <a:ext cx="4838700" cy="2030730"/>
                    </a:xfrm>
                    <a:prstGeom prst="rect">
                      <a:avLst/>
                    </a:prstGeom>
                    <a:noFill/>
                    <a:ln>
                      <a:noFill/>
                    </a:ln>
                    <a:extLst>
                      <a:ext uri="{53640926-AAD7-44D8-BBD7-CCE9431645EC}">
                        <a14:shadowObscured xmlns:a14="http://schemas.microsoft.com/office/drawing/2010/main"/>
                      </a:ext>
                    </a:extLst>
                  </pic:spPr>
                </pic:pic>
              </a:graphicData>
            </a:graphic>
          </wp:inline>
        </w:drawing>
      </w:r>
    </w:p>
    <w:p w14:paraId="3CD2AF12" w14:textId="3DE9E2BC" w:rsidR="00B11A53" w:rsidRPr="00FE5D0C" w:rsidRDefault="00ED2118" w:rsidP="00FE5D0C">
      <w:pPr>
        <w:spacing w:after="0" w:line="360" w:lineRule="auto"/>
        <w:rPr>
          <w:lang w:val="en-US"/>
        </w:rPr>
      </w:pPr>
      <w:r w:rsidRPr="00FE5D0C">
        <w:rPr>
          <w:b/>
          <w:bCs/>
          <w:lang w:val="en-US"/>
        </w:rPr>
        <w:t xml:space="preserve">Supplementary Figure 10. Individual memory trajectories in the MRI subsample. </w:t>
      </w:r>
      <w:r w:rsidRPr="00FE5D0C">
        <w:rPr>
          <w:lang w:val="en-US"/>
        </w:rPr>
        <w:t xml:space="preserve">Lines show Theil–Sen slopes for 50 randomly selected </w:t>
      </w:r>
      <w:r w:rsidR="006A1562" w:rsidRPr="006A1562">
        <w:rPr>
          <w:lang w:val="en-US"/>
        </w:rPr>
        <w:t xml:space="preserve">stable performers </w:t>
      </w:r>
      <w:r w:rsidRPr="00FE5D0C">
        <w:rPr>
          <w:lang w:val="en-US"/>
        </w:rPr>
        <w:t>(</w:t>
      </w:r>
      <w:r w:rsidRPr="00FE5D0C">
        <w:rPr>
          <w:rFonts w:ascii="Cambria Math" w:hAnsi="Cambria Math" w:cs="Cambria Math"/>
          <w:lang w:val="en-US"/>
        </w:rPr>
        <w:t>𝛿</w:t>
      </w:r>
      <w:r w:rsidRPr="00FE5D0C">
        <w:rPr>
          <w:lang w:val="en-US"/>
        </w:rPr>
        <w:t xml:space="preserve"> &gt; 0, LB &gt; 95, blue) and non-</w:t>
      </w:r>
      <w:r w:rsidR="006A1562" w:rsidRPr="006A1562">
        <w:rPr>
          <w:lang w:val="en-GB"/>
        </w:rPr>
        <w:t xml:space="preserve"> </w:t>
      </w:r>
      <w:r w:rsidR="006A1562" w:rsidRPr="006A1562">
        <w:rPr>
          <w:lang w:val="en-US"/>
        </w:rPr>
        <w:t xml:space="preserve">stable performers </w:t>
      </w:r>
      <w:r w:rsidRPr="00FE5D0C">
        <w:rPr>
          <w:lang w:val="en-US"/>
        </w:rPr>
        <w:t>(</w:t>
      </w:r>
      <w:r w:rsidRPr="00FE5D0C">
        <w:rPr>
          <w:rFonts w:ascii="Cambria Math" w:hAnsi="Cambria Math" w:cs="Cambria Math"/>
          <w:lang w:val="en-US"/>
        </w:rPr>
        <w:t>𝛿</w:t>
      </w:r>
      <w:r w:rsidRPr="00FE5D0C">
        <w:rPr>
          <w:lang w:val="en-US"/>
        </w:rPr>
        <w:t xml:space="preserve"> &lt; -0.1 or LB &lt; 50, orange).</w:t>
      </w:r>
    </w:p>
    <w:p w14:paraId="574CEFA6" w14:textId="3A36C974" w:rsidR="00ED2118" w:rsidRPr="00FE5D0C" w:rsidRDefault="00ED2118" w:rsidP="00FE5D0C">
      <w:pPr>
        <w:spacing w:after="0" w:line="360" w:lineRule="auto"/>
        <w:rPr>
          <w:b/>
          <w:bCs/>
          <w:lang w:val="en-US"/>
        </w:rPr>
      </w:pPr>
      <w:r w:rsidRPr="00FE5D0C">
        <w:rPr>
          <w:b/>
          <w:bCs/>
          <w:noProof/>
          <w:lang w:val="en-US"/>
        </w:rPr>
        <w:drawing>
          <wp:inline distT="0" distB="0" distL="0" distR="0" wp14:anchorId="62DB4CD1" wp14:editId="58BD5DFB">
            <wp:extent cx="3999057" cy="2484120"/>
            <wp:effectExtent l="0" t="0" r="1905" b="0"/>
            <wp:docPr id="153228421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876" t="7977"/>
                    <a:stretch/>
                  </pic:blipFill>
                  <pic:spPr bwMode="auto">
                    <a:xfrm>
                      <a:off x="0" y="0"/>
                      <a:ext cx="4011297" cy="2491723"/>
                    </a:xfrm>
                    <a:prstGeom prst="rect">
                      <a:avLst/>
                    </a:prstGeom>
                    <a:noFill/>
                    <a:ln>
                      <a:noFill/>
                    </a:ln>
                    <a:extLst>
                      <a:ext uri="{53640926-AAD7-44D8-BBD7-CCE9431645EC}">
                        <a14:shadowObscured xmlns:a14="http://schemas.microsoft.com/office/drawing/2010/main"/>
                      </a:ext>
                    </a:extLst>
                  </pic:spPr>
                </pic:pic>
              </a:graphicData>
            </a:graphic>
          </wp:inline>
        </w:drawing>
      </w:r>
    </w:p>
    <w:p w14:paraId="01FA3058" w14:textId="64B179A6" w:rsidR="00ED2118" w:rsidRPr="00FE5D0C" w:rsidRDefault="00ED2118" w:rsidP="00FE5D0C">
      <w:pPr>
        <w:spacing w:after="0" w:line="360" w:lineRule="auto"/>
        <w:rPr>
          <w:lang w:val="en-US"/>
        </w:rPr>
      </w:pPr>
      <w:r w:rsidRPr="00FE5D0C">
        <w:rPr>
          <w:b/>
          <w:bCs/>
          <w:lang w:val="en-US"/>
        </w:rPr>
        <w:t xml:space="preserve">Supplementary Figure 11. Prevalence of observed </w:t>
      </w:r>
      <w:r w:rsidR="006A1562" w:rsidRPr="006A1562">
        <w:rPr>
          <w:b/>
          <w:bCs/>
          <w:lang w:val="en-US"/>
        </w:rPr>
        <w:t xml:space="preserve">stable performers </w:t>
      </w:r>
      <w:r w:rsidRPr="00FE5D0C">
        <w:rPr>
          <w:b/>
          <w:bCs/>
          <w:lang w:val="en-US"/>
        </w:rPr>
        <w:t xml:space="preserve">across age using robust Theil-Sen regression in the MRI subsample. </w:t>
      </w:r>
      <w:r w:rsidRPr="00FE5D0C">
        <w:rPr>
          <w:lang w:val="en-US"/>
        </w:rPr>
        <w:t xml:space="preserve">The lines show the observed percentages of </w:t>
      </w:r>
      <w:r w:rsidR="006A1562" w:rsidRPr="006A1562">
        <w:rPr>
          <w:lang w:val="en-US"/>
        </w:rPr>
        <w:t xml:space="preserve">stable performers </w:t>
      </w:r>
      <w:r w:rsidRPr="00FE5D0C">
        <w:rPr>
          <w:lang w:val="en-US"/>
        </w:rPr>
        <w:t>within a ±1.5-year moving window using the Thiel-Sen approach. Shaded bands are 95% Wald CIs. The conservative rule (blue) has 95% LOO lower bound (LB) and slope &gt; 0, whereas the lenient rule (orange) has 50% LOO LB and slope &gt; -0.1.</w:t>
      </w:r>
    </w:p>
    <w:p w14:paraId="5D67BB27" w14:textId="59D56BA6" w:rsidR="00C9302B" w:rsidRPr="00FE5D0C" w:rsidRDefault="004229AB" w:rsidP="00FE5D0C">
      <w:pPr>
        <w:spacing w:after="0" w:line="360" w:lineRule="auto"/>
        <w:rPr>
          <w:b/>
          <w:bCs/>
          <w:lang w:val="en-US"/>
        </w:rPr>
      </w:pPr>
      <w:r w:rsidRPr="00FE5D0C">
        <w:rPr>
          <w:b/>
          <w:bCs/>
          <w:lang w:val="en-US"/>
        </w:rPr>
        <w:lastRenderedPageBreak/>
        <w:t>Section 6: Brain atrophy analyses</w:t>
      </w:r>
    </w:p>
    <w:p w14:paraId="66D0B93F" w14:textId="75C2A1A5" w:rsidR="001F5056" w:rsidRPr="00FE5D0C" w:rsidRDefault="001F5056" w:rsidP="00FE5D0C">
      <w:pPr>
        <w:spacing w:after="0" w:line="360" w:lineRule="auto"/>
        <w:rPr>
          <w:lang w:val="en-US"/>
        </w:rPr>
      </w:pPr>
      <w:r w:rsidRPr="00FE5D0C">
        <w:rPr>
          <w:lang w:val="en-US"/>
        </w:rPr>
        <w:t xml:space="preserve">We used the same Theil–Sen framework to 44 volumetric brain regions, and fitted interval-weighted logistic regressions comparing conservative </w:t>
      </w:r>
      <w:r w:rsidR="006A1562" w:rsidRPr="006A1562">
        <w:rPr>
          <w:lang w:val="en-US"/>
        </w:rPr>
        <w:t xml:space="preserve">stable performers </w:t>
      </w:r>
      <w:r w:rsidRPr="00FE5D0C">
        <w:rPr>
          <w:lang w:val="en-US"/>
        </w:rPr>
        <w:t>(n = 215; mean age 68.5 years [SD 7.5, range 54.0-88.9], 124 women/ 91 men; mean memory follow-up 9.3 years [SD 5.4, range 2.0-21.4]; mean MRI follow-up 6.1 years [SD 4.6, range 1.0-17.4]) to lenient non-</w:t>
      </w:r>
      <w:r w:rsidR="006A1562" w:rsidRPr="006A1562">
        <w:rPr>
          <w:lang w:val="en-GB"/>
        </w:rPr>
        <w:t xml:space="preserve"> </w:t>
      </w:r>
      <w:r w:rsidR="006A1562" w:rsidRPr="006A1562">
        <w:rPr>
          <w:lang w:val="en-US"/>
        </w:rPr>
        <w:t xml:space="preserve">stable performers </w:t>
      </w:r>
      <w:r w:rsidRPr="00FE5D0C">
        <w:rPr>
          <w:lang w:val="en-US"/>
        </w:rPr>
        <w:t xml:space="preserve">(n = 1,387; mean age 72.4 years [SD 8.5, range 51.6-91.2], 711 women/ 676 men; mean memory follow-up 8.1 years [SD 4.2, range 2.0-22.3]; mean MRI follow-up 5.0 years [SD 3.3, range 1.0-18.1]). Models were adjusted for age at the midpoint of brain follow-up, sex, and intracranial volume. Participants with longer MRI follow-up contributed more strongly to the estimation via weights proportional to their brain follow-up interval (weight = participant’s follow-up span in years / sample mean follow-up span), thereby downweighing noisy slopes from short intervals. </w:t>
      </w:r>
      <w:bookmarkStart w:id="2" w:name="_Hlk218690623"/>
      <w:r w:rsidRPr="00FE5D0C">
        <w:rPr>
          <w:lang w:val="en-US"/>
        </w:rPr>
        <w:t xml:space="preserve">FDR was controlled across regions by the </w:t>
      </w:r>
      <w:proofErr w:type="spellStart"/>
      <w:r w:rsidRPr="00FE5D0C">
        <w:rPr>
          <w:lang w:val="en-US"/>
        </w:rPr>
        <w:t>Benjamini</w:t>
      </w:r>
      <w:proofErr w:type="spellEnd"/>
      <w:r w:rsidRPr="00FE5D0C">
        <w:rPr>
          <w:lang w:val="en-US"/>
        </w:rPr>
        <w:t>–Hochberg procedure.</w:t>
      </w:r>
    </w:p>
    <w:bookmarkEnd w:id="2"/>
    <w:p w14:paraId="705F84E5" w14:textId="77777777" w:rsidR="001F5056" w:rsidRPr="00FE5D0C" w:rsidRDefault="001F5056" w:rsidP="00FE5D0C">
      <w:pPr>
        <w:spacing w:after="0" w:line="360" w:lineRule="auto"/>
        <w:rPr>
          <w:lang w:val="en-US"/>
        </w:rPr>
      </w:pPr>
    </w:p>
    <w:p w14:paraId="273201FF" w14:textId="4E2CBE55" w:rsidR="00C9302B" w:rsidRPr="00FE5D0C" w:rsidRDefault="001F5056" w:rsidP="00FE5D0C">
      <w:pPr>
        <w:spacing w:after="0" w:line="360" w:lineRule="auto"/>
        <w:rPr>
          <w:lang w:val="en-US"/>
        </w:rPr>
      </w:pPr>
      <w:r w:rsidRPr="00FE5D0C">
        <w:rPr>
          <w:lang w:val="en-US"/>
        </w:rPr>
        <w:t xml:space="preserve">Conservative </w:t>
      </w:r>
      <w:r w:rsidR="006A1562" w:rsidRPr="006A1562">
        <w:rPr>
          <w:lang w:val="en-US"/>
        </w:rPr>
        <w:t xml:space="preserve">stable performers </w:t>
      </w:r>
      <w:r w:rsidRPr="00FE5D0C">
        <w:rPr>
          <w:lang w:val="en-US"/>
        </w:rPr>
        <w:t>showed less atrophy and ventricular expansion than lenient non-</w:t>
      </w:r>
      <w:r w:rsidR="003D39FE" w:rsidRPr="003D39FE">
        <w:rPr>
          <w:lang w:val="en-GB"/>
        </w:rPr>
        <w:t xml:space="preserve"> </w:t>
      </w:r>
      <w:r w:rsidR="003D39FE" w:rsidRPr="003D39FE">
        <w:rPr>
          <w:lang w:val="en-US"/>
        </w:rPr>
        <w:t xml:space="preserve">stable performers </w:t>
      </w:r>
      <w:r w:rsidRPr="00FE5D0C">
        <w:rPr>
          <w:lang w:val="en-US"/>
        </w:rPr>
        <w:t xml:space="preserve">in 27 of 44 regions </w:t>
      </w:r>
      <w:r w:rsidR="00B50423">
        <w:rPr>
          <w:lang w:val="en-US"/>
        </w:rPr>
        <w:t xml:space="preserve">from the </w:t>
      </w:r>
      <w:proofErr w:type="spellStart"/>
      <w:r w:rsidR="00B50423">
        <w:rPr>
          <w:lang w:val="en-US"/>
        </w:rPr>
        <w:t>Desikan-Killany</w:t>
      </w:r>
      <w:proofErr w:type="spellEnd"/>
      <w:r w:rsidR="00B50423">
        <w:rPr>
          <w:lang w:val="en-US"/>
        </w:rPr>
        <w:t xml:space="preserve"> cortical atlas and the </w:t>
      </w:r>
      <w:proofErr w:type="spellStart"/>
      <w:r w:rsidR="00B50423">
        <w:rPr>
          <w:lang w:val="en-US"/>
        </w:rPr>
        <w:t>FreeSurfer</w:t>
      </w:r>
      <w:proofErr w:type="spellEnd"/>
      <w:r w:rsidR="00B50423">
        <w:rPr>
          <w:lang w:val="en-US"/>
        </w:rPr>
        <w:t xml:space="preserve"> ASEG segmentation </w:t>
      </w:r>
      <w:r w:rsidRPr="00FE5D0C">
        <w:rPr>
          <w:lang w:val="en-US"/>
        </w:rPr>
        <w:t>(</w:t>
      </w:r>
      <w:r w:rsidR="004229AB" w:rsidRPr="00FE5D0C">
        <w:rPr>
          <w:lang w:val="en-US"/>
        </w:rPr>
        <w:t>Supplementary Information Table 1, Supplementary Figure 12</w:t>
      </w:r>
      <w:r w:rsidRPr="00FE5D0C">
        <w:rPr>
          <w:lang w:val="en-US"/>
        </w:rPr>
        <w:t xml:space="preserve">). The pattern was robust to analyses without covariates and to alternative </w:t>
      </w:r>
      <w:r w:rsidR="006A1562" w:rsidRPr="006A1562">
        <w:rPr>
          <w:lang w:val="en-US"/>
        </w:rPr>
        <w:t xml:space="preserve">stable performers </w:t>
      </w:r>
      <w:r w:rsidRPr="00FE5D0C">
        <w:rPr>
          <w:lang w:val="en-US"/>
        </w:rPr>
        <w:t>definitions. As a comparison, the same analyses were run using robust volume levels, with no regions surviving FDR-correction</w:t>
      </w:r>
      <w:r w:rsidR="004229AB" w:rsidRPr="00FE5D0C">
        <w:rPr>
          <w:lang w:val="en-US"/>
        </w:rPr>
        <w:t xml:space="preserve"> (Supplementary Information Figure 13)</w:t>
      </w:r>
      <w:r w:rsidRPr="00FE5D0C">
        <w:rPr>
          <w:lang w:val="en-US"/>
        </w:rPr>
        <w:t>.</w:t>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873"/>
        <w:gridCol w:w="1108"/>
        <w:gridCol w:w="1110"/>
        <w:gridCol w:w="1110"/>
        <w:gridCol w:w="1157"/>
        <w:gridCol w:w="1157"/>
      </w:tblGrid>
      <w:tr w:rsidR="003F261A" w:rsidRPr="00FE5D0C" w14:paraId="6D5BEBBB" w14:textId="77777777" w:rsidTr="003F261A">
        <w:tc>
          <w:tcPr>
            <w:tcW w:w="2547" w:type="dxa"/>
            <w:tcBorders>
              <w:top w:val="single" w:sz="4" w:space="0" w:color="auto"/>
              <w:bottom w:val="single" w:sz="4" w:space="0" w:color="auto"/>
            </w:tcBorders>
            <w:vAlign w:val="bottom"/>
          </w:tcPr>
          <w:p w14:paraId="6817290A" w14:textId="77777777" w:rsidR="003F261A" w:rsidRPr="00FE5D0C" w:rsidRDefault="003F261A" w:rsidP="00FE5D0C">
            <w:pPr>
              <w:spacing w:line="360" w:lineRule="auto"/>
            </w:pPr>
            <w:r w:rsidRPr="00FE5D0C">
              <w:rPr>
                <w:color w:val="000000"/>
              </w:rPr>
              <w:t>Brain region</w:t>
            </w:r>
          </w:p>
        </w:tc>
        <w:tc>
          <w:tcPr>
            <w:tcW w:w="873" w:type="dxa"/>
            <w:tcBorders>
              <w:top w:val="single" w:sz="4" w:space="0" w:color="auto"/>
              <w:bottom w:val="single" w:sz="4" w:space="0" w:color="auto"/>
            </w:tcBorders>
            <w:vAlign w:val="bottom"/>
          </w:tcPr>
          <w:p w14:paraId="5B8E528D" w14:textId="77777777" w:rsidR="003F261A" w:rsidRPr="00FE5D0C" w:rsidRDefault="003F261A" w:rsidP="00FE5D0C">
            <w:pPr>
              <w:spacing w:line="360" w:lineRule="auto"/>
              <w:jc w:val="right"/>
            </w:pPr>
            <w:r w:rsidRPr="00FE5D0C">
              <w:rPr>
                <w:color w:val="000000"/>
              </w:rPr>
              <w:t>beta</w:t>
            </w:r>
          </w:p>
        </w:tc>
        <w:tc>
          <w:tcPr>
            <w:tcW w:w="1108" w:type="dxa"/>
            <w:tcBorders>
              <w:top w:val="single" w:sz="4" w:space="0" w:color="auto"/>
              <w:bottom w:val="single" w:sz="4" w:space="0" w:color="auto"/>
            </w:tcBorders>
            <w:vAlign w:val="bottom"/>
          </w:tcPr>
          <w:p w14:paraId="7E01D6F7" w14:textId="77777777" w:rsidR="003F261A" w:rsidRPr="00FE5D0C" w:rsidRDefault="003F261A" w:rsidP="00FE5D0C">
            <w:pPr>
              <w:spacing w:line="360" w:lineRule="auto"/>
              <w:jc w:val="right"/>
            </w:pPr>
            <w:r w:rsidRPr="00FE5D0C">
              <w:rPr>
                <w:color w:val="000000"/>
              </w:rPr>
              <w:t>or</w:t>
            </w:r>
          </w:p>
        </w:tc>
        <w:tc>
          <w:tcPr>
            <w:tcW w:w="1110" w:type="dxa"/>
            <w:tcBorders>
              <w:top w:val="single" w:sz="4" w:space="0" w:color="auto"/>
              <w:bottom w:val="single" w:sz="4" w:space="0" w:color="auto"/>
            </w:tcBorders>
            <w:vAlign w:val="bottom"/>
          </w:tcPr>
          <w:p w14:paraId="27A0C994" w14:textId="77777777" w:rsidR="003F261A" w:rsidRPr="00FE5D0C" w:rsidRDefault="003F261A" w:rsidP="00FE5D0C">
            <w:pPr>
              <w:spacing w:line="360" w:lineRule="auto"/>
              <w:jc w:val="right"/>
            </w:pPr>
            <w:proofErr w:type="spellStart"/>
            <w:r w:rsidRPr="00FE5D0C">
              <w:rPr>
                <w:color w:val="000000"/>
              </w:rPr>
              <w:t>lcl</w:t>
            </w:r>
            <w:proofErr w:type="spellEnd"/>
          </w:p>
        </w:tc>
        <w:tc>
          <w:tcPr>
            <w:tcW w:w="1110" w:type="dxa"/>
            <w:tcBorders>
              <w:top w:val="single" w:sz="4" w:space="0" w:color="auto"/>
              <w:bottom w:val="single" w:sz="4" w:space="0" w:color="auto"/>
            </w:tcBorders>
            <w:vAlign w:val="bottom"/>
          </w:tcPr>
          <w:p w14:paraId="5E61F261" w14:textId="77777777" w:rsidR="003F261A" w:rsidRPr="00FE5D0C" w:rsidRDefault="003F261A" w:rsidP="00FE5D0C">
            <w:pPr>
              <w:spacing w:line="360" w:lineRule="auto"/>
              <w:jc w:val="right"/>
            </w:pPr>
            <w:proofErr w:type="spellStart"/>
            <w:r w:rsidRPr="00FE5D0C">
              <w:rPr>
                <w:color w:val="000000"/>
              </w:rPr>
              <w:t>ucl</w:t>
            </w:r>
            <w:proofErr w:type="spellEnd"/>
          </w:p>
        </w:tc>
        <w:tc>
          <w:tcPr>
            <w:tcW w:w="1157" w:type="dxa"/>
            <w:tcBorders>
              <w:top w:val="single" w:sz="4" w:space="0" w:color="auto"/>
              <w:bottom w:val="single" w:sz="4" w:space="0" w:color="auto"/>
            </w:tcBorders>
            <w:vAlign w:val="bottom"/>
          </w:tcPr>
          <w:p w14:paraId="6E9C553E" w14:textId="77777777" w:rsidR="003F261A" w:rsidRPr="00FE5D0C" w:rsidRDefault="003F261A" w:rsidP="00FE5D0C">
            <w:pPr>
              <w:spacing w:line="360" w:lineRule="auto"/>
              <w:jc w:val="right"/>
            </w:pPr>
            <w:r w:rsidRPr="00FE5D0C">
              <w:rPr>
                <w:color w:val="000000"/>
              </w:rPr>
              <w:t>p</w:t>
            </w:r>
          </w:p>
        </w:tc>
        <w:tc>
          <w:tcPr>
            <w:tcW w:w="1157" w:type="dxa"/>
            <w:tcBorders>
              <w:top w:val="single" w:sz="4" w:space="0" w:color="auto"/>
              <w:bottom w:val="single" w:sz="4" w:space="0" w:color="auto"/>
            </w:tcBorders>
            <w:vAlign w:val="bottom"/>
          </w:tcPr>
          <w:p w14:paraId="7E7F1BD6" w14:textId="77777777" w:rsidR="003F261A" w:rsidRPr="00FE5D0C" w:rsidRDefault="003F261A" w:rsidP="00FE5D0C">
            <w:pPr>
              <w:spacing w:line="360" w:lineRule="auto"/>
              <w:jc w:val="right"/>
            </w:pPr>
            <w:r w:rsidRPr="00FE5D0C">
              <w:rPr>
                <w:color w:val="000000"/>
              </w:rPr>
              <w:t>q bh</w:t>
            </w:r>
          </w:p>
        </w:tc>
      </w:tr>
      <w:tr w:rsidR="003F261A" w:rsidRPr="00FE5D0C" w14:paraId="7F8D5F7D" w14:textId="77777777" w:rsidTr="003F261A">
        <w:tc>
          <w:tcPr>
            <w:tcW w:w="2547" w:type="dxa"/>
            <w:tcBorders>
              <w:top w:val="single" w:sz="4" w:space="0" w:color="auto"/>
            </w:tcBorders>
            <w:vAlign w:val="bottom"/>
          </w:tcPr>
          <w:p w14:paraId="7A6F6309" w14:textId="77777777" w:rsidR="003F261A" w:rsidRPr="00FE5D0C" w:rsidRDefault="003F261A" w:rsidP="00FE5D0C">
            <w:pPr>
              <w:spacing w:line="360" w:lineRule="auto"/>
            </w:pPr>
            <w:r w:rsidRPr="00FE5D0C">
              <w:rPr>
                <w:color w:val="000000"/>
              </w:rPr>
              <w:t>Cerebellum-</w:t>
            </w:r>
            <w:proofErr w:type="spellStart"/>
            <w:r w:rsidRPr="00FE5D0C">
              <w:rPr>
                <w:color w:val="000000"/>
              </w:rPr>
              <w:t>Cortex</w:t>
            </w:r>
            <w:proofErr w:type="spellEnd"/>
          </w:p>
        </w:tc>
        <w:tc>
          <w:tcPr>
            <w:tcW w:w="873" w:type="dxa"/>
            <w:tcBorders>
              <w:top w:val="single" w:sz="4" w:space="0" w:color="auto"/>
            </w:tcBorders>
            <w:vAlign w:val="bottom"/>
          </w:tcPr>
          <w:p w14:paraId="1E374516" w14:textId="46EF724A"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29</w:t>
            </w:r>
          </w:p>
        </w:tc>
        <w:tc>
          <w:tcPr>
            <w:tcW w:w="1108" w:type="dxa"/>
            <w:tcBorders>
              <w:top w:val="single" w:sz="4" w:space="0" w:color="auto"/>
            </w:tcBorders>
            <w:vAlign w:val="bottom"/>
          </w:tcPr>
          <w:p w14:paraId="4962175C" w14:textId="07603FFD"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34</w:t>
            </w:r>
          </w:p>
        </w:tc>
        <w:tc>
          <w:tcPr>
            <w:tcW w:w="1110" w:type="dxa"/>
            <w:tcBorders>
              <w:top w:val="single" w:sz="4" w:space="0" w:color="auto"/>
            </w:tcBorders>
            <w:vAlign w:val="bottom"/>
          </w:tcPr>
          <w:p w14:paraId="5327115E" w14:textId="5768C416"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20</w:t>
            </w:r>
          </w:p>
        </w:tc>
        <w:tc>
          <w:tcPr>
            <w:tcW w:w="1110" w:type="dxa"/>
            <w:tcBorders>
              <w:top w:val="single" w:sz="4" w:space="0" w:color="auto"/>
            </w:tcBorders>
            <w:vAlign w:val="bottom"/>
          </w:tcPr>
          <w:p w14:paraId="1CD22109" w14:textId="0F1028EE"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49</w:t>
            </w:r>
          </w:p>
        </w:tc>
        <w:tc>
          <w:tcPr>
            <w:tcW w:w="1157" w:type="dxa"/>
            <w:tcBorders>
              <w:top w:val="single" w:sz="4" w:space="0" w:color="auto"/>
            </w:tcBorders>
            <w:vAlign w:val="bottom"/>
          </w:tcPr>
          <w:p w14:paraId="444A2099" w14:textId="41CB053E"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29e-07</w:t>
            </w:r>
          </w:p>
        </w:tc>
        <w:tc>
          <w:tcPr>
            <w:tcW w:w="1157" w:type="dxa"/>
            <w:tcBorders>
              <w:top w:val="single" w:sz="4" w:space="0" w:color="auto"/>
            </w:tcBorders>
            <w:vAlign w:val="bottom"/>
          </w:tcPr>
          <w:p w14:paraId="6AD16E9D" w14:textId="7E65672F" w:rsidR="003F261A" w:rsidRPr="00FE5D0C" w:rsidRDefault="003F261A" w:rsidP="00FE5D0C">
            <w:pPr>
              <w:spacing w:line="360" w:lineRule="auto"/>
              <w:jc w:val="right"/>
            </w:pPr>
            <w:r w:rsidRPr="00FE5D0C">
              <w:rPr>
                <w:color w:val="000000"/>
              </w:rPr>
              <w:t>2</w:t>
            </w:r>
            <w:r w:rsidR="00B25685">
              <w:rPr>
                <w:color w:val="000000"/>
              </w:rPr>
              <w:t>.</w:t>
            </w:r>
            <w:r w:rsidRPr="00FE5D0C">
              <w:rPr>
                <w:color w:val="000000"/>
              </w:rPr>
              <w:t>84e-06</w:t>
            </w:r>
          </w:p>
        </w:tc>
      </w:tr>
      <w:tr w:rsidR="003F261A" w:rsidRPr="00FE5D0C" w14:paraId="0670FF09" w14:textId="77777777" w:rsidTr="003F261A">
        <w:tc>
          <w:tcPr>
            <w:tcW w:w="2547" w:type="dxa"/>
            <w:vAlign w:val="bottom"/>
          </w:tcPr>
          <w:p w14:paraId="6D953252" w14:textId="77777777" w:rsidR="003F261A" w:rsidRPr="00FE5D0C" w:rsidRDefault="003F261A" w:rsidP="00FE5D0C">
            <w:pPr>
              <w:spacing w:line="360" w:lineRule="auto"/>
            </w:pPr>
            <w:proofErr w:type="spellStart"/>
            <w:r w:rsidRPr="00FE5D0C">
              <w:rPr>
                <w:color w:val="000000"/>
              </w:rPr>
              <w:t>Hippocampus</w:t>
            </w:r>
            <w:proofErr w:type="spellEnd"/>
          </w:p>
        </w:tc>
        <w:tc>
          <w:tcPr>
            <w:tcW w:w="873" w:type="dxa"/>
            <w:vAlign w:val="bottom"/>
          </w:tcPr>
          <w:p w14:paraId="0FB873FF" w14:textId="5BC4B4E8"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35</w:t>
            </w:r>
          </w:p>
        </w:tc>
        <w:tc>
          <w:tcPr>
            <w:tcW w:w="1108" w:type="dxa"/>
            <w:vAlign w:val="bottom"/>
          </w:tcPr>
          <w:p w14:paraId="3246A905" w14:textId="1E7D9891"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42</w:t>
            </w:r>
          </w:p>
        </w:tc>
        <w:tc>
          <w:tcPr>
            <w:tcW w:w="1110" w:type="dxa"/>
            <w:vAlign w:val="bottom"/>
          </w:tcPr>
          <w:p w14:paraId="5BCF052C" w14:textId="269D023F"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23</w:t>
            </w:r>
          </w:p>
        </w:tc>
        <w:tc>
          <w:tcPr>
            <w:tcW w:w="1110" w:type="dxa"/>
            <w:vAlign w:val="bottom"/>
          </w:tcPr>
          <w:p w14:paraId="30065974" w14:textId="75864439"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63</w:t>
            </w:r>
          </w:p>
        </w:tc>
        <w:tc>
          <w:tcPr>
            <w:tcW w:w="1157" w:type="dxa"/>
            <w:vAlign w:val="bottom"/>
          </w:tcPr>
          <w:p w14:paraId="7EA28344" w14:textId="431EF06E"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07e-06</w:t>
            </w:r>
          </w:p>
        </w:tc>
        <w:tc>
          <w:tcPr>
            <w:tcW w:w="1157" w:type="dxa"/>
            <w:vAlign w:val="bottom"/>
          </w:tcPr>
          <w:p w14:paraId="3B92B686" w14:textId="6C4A5FDB" w:rsidR="003F261A" w:rsidRPr="00FE5D0C" w:rsidRDefault="003F261A" w:rsidP="00FE5D0C">
            <w:pPr>
              <w:spacing w:line="360" w:lineRule="auto"/>
              <w:jc w:val="right"/>
            </w:pPr>
            <w:r w:rsidRPr="00FE5D0C">
              <w:rPr>
                <w:color w:val="000000"/>
              </w:rPr>
              <w:t>9</w:t>
            </w:r>
            <w:r w:rsidR="00B25685">
              <w:rPr>
                <w:color w:val="000000"/>
              </w:rPr>
              <w:t>.</w:t>
            </w:r>
            <w:r w:rsidRPr="00FE5D0C">
              <w:rPr>
                <w:color w:val="000000"/>
              </w:rPr>
              <w:t>44e-06</w:t>
            </w:r>
          </w:p>
        </w:tc>
      </w:tr>
      <w:tr w:rsidR="003F261A" w:rsidRPr="00FE5D0C" w14:paraId="335714AD" w14:textId="77777777" w:rsidTr="003F261A">
        <w:tc>
          <w:tcPr>
            <w:tcW w:w="2547" w:type="dxa"/>
            <w:vAlign w:val="bottom"/>
          </w:tcPr>
          <w:p w14:paraId="37F4B345" w14:textId="77777777" w:rsidR="003F261A" w:rsidRPr="00FE5D0C" w:rsidRDefault="003F261A" w:rsidP="00FE5D0C">
            <w:pPr>
              <w:spacing w:line="360" w:lineRule="auto"/>
              <w:rPr>
                <w:lang w:val="da-DK"/>
              </w:rPr>
            </w:pPr>
            <w:proofErr w:type="spellStart"/>
            <w:r w:rsidRPr="00FE5D0C">
              <w:rPr>
                <w:color w:val="000000"/>
                <w:lang w:val="da-DK"/>
              </w:rPr>
              <w:t>Inf</w:t>
            </w:r>
            <w:proofErr w:type="spellEnd"/>
            <w:r w:rsidRPr="00FE5D0C">
              <w:rPr>
                <w:color w:val="000000"/>
                <w:lang w:val="da-DK"/>
              </w:rPr>
              <w:t>-</w:t>
            </w:r>
            <w:proofErr w:type="spellStart"/>
            <w:r w:rsidRPr="00FE5D0C">
              <w:rPr>
                <w:color w:val="000000"/>
                <w:lang w:val="da-DK"/>
              </w:rPr>
              <w:t>Lat</w:t>
            </w:r>
            <w:proofErr w:type="spellEnd"/>
            <w:r w:rsidRPr="00FE5D0C">
              <w:rPr>
                <w:color w:val="000000"/>
                <w:lang w:val="da-DK"/>
              </w:rPr>
              <w:t>-Vent</w:t>
            </w:r>
          </w:p>
        </w:tc>
        <w:tc>
          <w:tcPr>
            <w:tcW w:w="873" w:type="dxa"/>
            <w:vAlign w:val="bottom"/>
          </w:tcPr>
          <w:p w14:paraId="418E1DFB" w14:textId="13771B64"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23</w:t>
            </w:r>
          </w:p>
        </w:tc>
        <w:tc>
          <w:tcPr>
            <w:tcW w:w="1108" w:type="dxa"/>
            <w:vAlign w:val="bottom"/>
          </w:tcPr>
          <w:p w14:paraId="0420FDB4" w14:textId="6E2E64EB"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79</w:t>
            </w:r>
          </w:p>
        </w:tc>
        <w:tc>
          <w:tcPr>
            <w:tcW w:w="1110" w:type="dxa"/>
            <w:vAlign w:val="bottom"/>
          </w:tcPr>
          <w:p w14:paraId="00B19BDD" w14:textId="7E7F4145"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70</w:t>
            </w:r>
          </w:p>
        </w:tc>
        <w:tc>
          <w:tcPr>
            <w:tcW w:w="1110" w:type="dxa"/>
            <w:vAlign w:val="bottom"/>
          </w:tcPr>
          <w:p w14:paraId="38B52CFA" w14:textId="2F4896E2"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89</w:t>
            </w:r>
          </w:p>
        </w:tc>
        <w:tc>
          <w:tcPr>
            <w:tcW w:w="1157" w:type="dxa"/>
            <w:vAlign w:val="bottom"/>
          </w:tcPr>
          <w:p w14:paraId="198B356F" w14:textId="0A1DBB17"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00</w:t>
            </w:r>
          </w:p>
        </w:tc>
        <w:tc>
          <w:tcPr>
            <w:tcW w:w="1157" w:type="dxa"/>
            <w:vAlign w:val="bottom"/>
          </w:tcPr>
          <w:p w14:paraId="0C8DB4A0" w14:textId="3F004046"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00</w:t>
            </w:r>
          </w:p>
        </w:tc>
      </w:tr>
      <w:tr w:rsidR="003F261A" w:rsidRPr="00FE5D0C" w14:paraId="5A1753BA" w14:textId="77777777" w:rsidTr="003F261A">
        <w:tc>
          <w:tcPr>
            <w:tcW w:w="2547" w:type="dxa"/>
            <w:vAlign w:val="bottom"/>
          </w:tcPr>
          <w:p w14:paraId="2EC0ED51" w14:textId="77777777" w:rsidR="003F261A" w:rsidRPr="00FE5D0C" w:rsidRDefault="003F261A" w:rsidP="00FE5D0C">
            <w:pPr>
              <w:spacing w:line="360" w:lineRule="auto"/>
              <w:rPr>
                <w:lang w:val="en-GB"/>
              </w:rPr>
            </w:pPr>
            <w:r w:rsidRPr="00FE5D0C">
              <w:rPr>
                <w:color w:val="000000"/>
                <w:lang w:val="en-GB"/>
              </w:rPr>
              <w:t>Cerebellum-White-Matter</w:t>
            </w:r>
          </w:p>
        </w:tc>
        <w:tc>
          <w:tcPr>
            <w:tcW w:w="873" w:type="dxa"/>
            <w:vAlign w:val="bottom"/>
          </w:tcPr>
          <w:p w14:paraId="3A5D064E" w14:textId="51E7ECFA"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19</w:t>
            </w:r>
          </w:p>
        </w:tc>
        <w:tc>
          <w:tcPr>
            <w:tcW w:w="1108" w:type="dxa"/>
            <w:vAlign w:val="bottom"/>
          </w:tcPr>
          <w:p w14:paraId="1DC7BBEC" w14:textId="111A3BA3"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20</w:t>
            </w:r>
          </w:p>
        </w:tc>
        <w:tc>
          <w:tcPr>
            <w:tcW w:w="1110" w:type="dxa"/>
            <w:vAlign w:val="bottom"/>
          </w:tcPr>
          <w:p w14:paraId="1281218E" w14:textId="4D48AB6B"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08</w:t>
            </w:r>
          </w:p>
        </w:tc>
        <w:tc>
          <w:tcPr>
            <w:tcW w:w="1110" w:type="dxa"/>
            <w:vAlign w:val="bottom"/>
          </w:tcPr>
          <w:p w14:paraId="7EF10FBC" w14:textId="2637C389"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34</w:t>
            </w:r>
          </w:p>
        </w:tc>
        <w:tc>
          <w:tcPr>
            <w:tcW w:w="1157" w:type="dxa"/>
            <w:vAlign w:val="bottom"/>
          </w:tcPr>
          <w:p w14:paraId="00F5A69F" w14:textId="1002BD0B"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00</w:t>
            </w:r>
          </w:p>
        </w:tc>
        <w:tc>
          <w:tcPr>
            <w:tcW w:w="1157" w:type="dxa"/>
            <w:vAlign w:val="bottom"/>
          </w:tcPr>
          <w:p w14:paraId="6B05D709" w14:textId="2BCA672A"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00</w:t>
            </w:r>
          </w:p>
        </w:tc>
      </w:tr>
      <w:tr w:rsidR="003F261A" w:rsidRPr="00FE5D0C" w14:paraId="054246EC" w14:textId="77777777" w:rsidTr="003F261A">
        <w:tc>
          <w:tcPr>
            <w:tcW w:w="2547" w:type="dxa"/>
            <w:vAlign w:val="bottom"/>
          </w:tcPr>
          <w:p w14:paraId="4BF3FBAF" w14:textId="77777777" w:rsidR="003F261A" w:rsidRPr="00FE5D0C" w:rsidRDefault="003F261A" w:rsidP="00FE5D0C">
            <w:pPr>
              <w:spacing w:line="360" w:lineRule="auto"/>
            </w:pPr>
            <w:proofErr w:type="spellStart"/>
            <w:r w:rsidRPr="00FE5D0C">
              <w:rPr>
                <w:color w:val="000000"/>
              </w:rPr>
              <w:t>Amygdala</w:t>
            </w:r>
            <w:proofErr w:type="spellEnd"/>
          </w:p>
        </w:tc>
        <w:tc>
          <w:tcPr>
            <w:tcW w:w="873" w:type="dxa"/>
            <w:vAlign w:val="bottom"/>
          </w:tcPr>
          <w:p w14:paraId="6A0B3EBD" w14:textId="6F457A19"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20</w:t>
            </w:r>
          </w:p>
        </w:tc>
        <w:tc>
          <w:tcPr>
            <w:tcW w:w="1108" w:type="dxa"/>
            <w:vAlign w:val="bottom"/>
          </w:tcPr>
          <w:p w14:paraId="4C72D484" w14:textId="1B652C6C"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22</w:t>
            </w:r>
          </w:p>
        </w:tc>
        <w:tc>
          <w:tcPr>
            <w:tcW w:w="1110" w:type="dxa"/>
            <w:vAlign w:val="bottom"/>
          </w:tcPr>
          <w:p w14:paraId="6C4FAF75" w14:textId="4AC0E861"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07</w:t>
            </w:r>
          </w:p>
        </w:tc>
        <w:tc>
          <w:tcPr>
            <w:tcW w:w="1110" w:type="dxa"/>
            <w:vAlign w:val="bottom"/>
          </w:tcPr>
          <w:p w14:paraId="480AFDBC" w14:textId="374828E6"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39</w:t>
            </w:r>
          </w:p>
        </w:tc>
        <w:tc>
          <w:tcPr>
            <w:tcW w:w="1157" w:type="dxa"/>
            <w:vAlign w:val="bottom"/>
          </w:tcPr>
          <w:p w14:paraId="68B4F43B" w14:textId="04E6BBDC"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00</w:t>
            </w:r>
          </w:p>
        </w:tc>
        <w:tc>
          <w:tcPr>
            <w:tcW w:w="1157" w:type="dxa"/>
            <w:vAlign w:val="bottom"/>
          </w:tcPr>
          <w:p w14:paraId="010A5A99" w14:textId="7A4F9593"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01</w:t>
            </w:r>
          </w:p>
        </w:tc>
      </w:tr>
      <w:tr w:rsidR="003F261A" w:rsidRPr="00FE5D0C" w14:paraId="45231E38" w14:textId="77777777" w:rsidTr="003F261A">
        <w:tc>
          <w:tcPr>
            <w:tcW w:w="2547" w:type="dxa"/>
            <w:vAlign w:val="bottom"/>
          </w:tcPr>
          <w:p w14:paraId="5AA78D12" w14:textId="77777777" w:rsidR="003F261A" w:rsidRPr="00FE5D0C" w:rsidRDefault="003F261A" w:rsidP="00FE5D0C">
            <w:pPr>
              <w:spacing w:line="360" w:lineRule="auto"/>
            </w:pPr>
            <w:r w:rsidRPr="00FE5D0C">
              <w:rPr>
                <w:color w:val="000000"/>
              </w:rPr>
              <w:t>Thalamus-Proper</w:t>
            </w:r>
          </w:p>
        </w:tc>
        <w:tc>
          <w:tcPr>
            <w:tcW w:w="873" w:type="dxa"/>
            <w:vAlign w:val="bottom"/>
          </w:tcPr>
          <w:p w14:paraId="68DBDFDC" w14:textId="1D0303E4"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14</w:t>
            </w:r>
          </w:p>
        </w:tc>
        <w:tc>
          <w:tcPr>
            <w:tcW w:w="1108" w:type="dxa"/>
            <w:vAlign w:val="bottom"/>
          </w:tcPr>
          <w:p w14:paraId="5627E039" w14:textId="2ECF95B0"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15</w:t>
            </w:r>
          </w:p>
        </w:tc>
        <w:tc>
          <w:tcPr>
            <w:tcW w:w="1110" w:type="dxa"/>
            <w:vAlign w:val="bottom"/>
          </w:tcPr>
          <w:p w14:paraId="52D1DAB9" w14:textId="776D3B01"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01</w:t>
            </w:r>
          </w:p>
        </w:tc>
        <w:tc>
          <w:tcPr>
            <w:tcW w:w="1110" w:type="dxa"/>
            <w:vAlign w:val="bottom"/>
          </w:tcPr>
          <w:p w14:paraId="57C0DA40" w14:textId="51E82186"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30</w:t>
            </w:r>
          </w:p>
        </w:tc>
        <w:tc>
          <w:tcPr>
            <w:tcW w:w="1157" w:type="dxa"/>
            <w:vAlign w:val="bottom"/>
          </w:tcPr>
          <w:p w14:paraId="1C81AA6F" w14:textId="29B0ABFB"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03</w:t>
            </w:r>
          </w:p>
        </w:tc>
        <w:tc>
          <w:tcPr>
            <w:tcW w:w="1157" w:type="dxa"/>
            <w:vAlign w:val="bottom"/>
          </w:tcPr>
          <w:p w14:paraId="35742E5B" w14:textId="3464CB01"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05</w:t>
            </w:r>
          </w:p>
        </w:tc>
      </w:tr>
      <w:tr w:rsidR="003F261A" w:rsidRPr="00FE5D0C" w14:paraId="1A9AC3AC" w14:textId="77777777" w:rsidTr="003F261A">
        <w:tc>
          <w:tcPr>
            <w:tcW w:w="2547" w:type="dxa"/>
            <w:vAlign w:val="bottom"/>
          </w:tcPr>
          <w:p w14:paraId="6F4B16EB" w14:textId="77777777" w:rsidR="003F261A" w:rsidRPr="00FE5D0C" w:rsidRDefault="003F261A" w:rsidP="00FE5D0C">
            <w:pPr>
              <w:spacing w:line="360" w:lineRule="auto"/>
            </w:pPr>
            <w:r w:rsidRPr="00FE5D0C">
              <w:rPr>
                <w:color w:val="000000"/>
              </w:rPr>
              <w:t>Lateral-</w:t>
            </w:r>
            <w:proofErr w:type="spellStart"/>
            <w:r w:rsidRPr="00FE5D0C">
              <w:rPr>
                <w:color w:val="000000"/>
              </w:rPr>
              <w:t>Ventricle</w:t>
            </w:r>
            <w:proofErr w:type="spellEnd"/>
          </w:p>
        </w:tc>
        <w:tc>
          <w:tcPr>
            <w:tcW w:w="873" w:type="dxa"/>
            <w:vAlign w:val="bottom"/>
          </w:tcPr>
          <w:p w14:paraId="2EBB27A3" w14:textId="5F9EF640"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07</w:t>
            </w:r>
          </w:p>
        </w:tc>
        <w:tc>
          <w:tcPr>
            <w:tcW w:w="1108" w:type="dxa"/>
            <w:vAlign w:val="bottom"/>
          </w:tcPr>
          <w:p w14:paraId="5CEC7234" w14:textId="41E02637"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93</w:t>
            </w:r>
          </w:p>
        </w:tc>
        <w:tc>
          <w:tcPr>
            <w:tcW w:w="1110" w:type="dxa"/>
            <w:vAlign w:val="bottom"/>
          </w:tcPr>
          <w:p w14:paraId="75E6147F" w14:textId="226DF969"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83</w:t>
            </w:r>
          </w:p>
        </w:tc>
        <w:tc>
          <w:tcPr>
            <w:tcW w:w="1110" w:type="dxa"/>
            <w:vAlign w:val="bottom"/>
          </w:tcPr>
          <w:p w14:paraId="16AD43A6" w14:textId="31258B23"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05</w:t>
            </w:r>
          </w:p>
        </w:tc>
        <w:tc>
          <w:tcPr>
            <w:tcW w:w="1157" w:type="dxa"/>
            <w:vAlign w:val="bottom"/>
          </w:tcPr>
          <w:p w14:paraId="1009065B" w14:textId="20AC134C"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24</w:t>
            </w:r>
          </w:p>
        </w:tc>
        <w:tc>
          <w:tcPr>
            <w:tcW w:w="1157" w:type="dxa"/>
            <w:vAlign w:val="bottom"/>
          </w:tcPr>
          <w:p w14:paraId="45459CBC" w14:textId="68C8F0B5"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31</w:t>
            </w:r>
          </w:p>
        </w:tc>
      </w:tr>
      <w:tr w:rsidR="003F261A" w:rsidRPr="00FE5D0C" w14:paraId="1FB76121" w14:textId="77777777" w:rsidTr="003F261A">
        <w:tc>
          <w:tcPr>
            <w:tcW w:w="2547" w:type="dxa"/>
            <w:vAlign w:val="bottom"/>
          </w:tcPr>
          <w:p w14:paraId="3E515C20" w14:textId="77777777" w:rsidR="003F261A" w:rsidRPr="00FE5D0C" w:rsidRDefault="003F261A" w:rsidP="00FE5D0C">
            <w:pPr>
              <w:spacing w:line="360" w:lineRule="auto"/>
            </w:pPr>
            <w:proofErr w:type="spellStart"/>
            <w:r w:rsidRPr="00FE5D0C">
              <w:rPr>
                <w:color w:val="000000"/>
              </w:rPr>
              <w:t>Pallidum</w:t>
            </w:r>
            <w:proofErr w:type="spellEnd"/>
          </w:p>
        </w:tc>
        <w:tc>
          <w:tcPr>
            <w:tcW w:w="873" w:type="dxa"/>
            <w:vAlign w:val="bottom"/>
          </w:tcPr>
          <w:p w14:paraId="52480BC5" w14:textId="1A64D1EC"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06</w:t>
            </w:r>
          </w:p>
        </w:tc>
        <w:tc>
          <w:tcPr>
            <w:tcW w:w="1108" w:type="dxa"/>
            <w:vAlign w:val="bottom"/>
          </w:tcPr>
          <w:p w14:paraId="30F85DBB" w14:textId="37381040"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06</w:t>
            </w:r>
          </w:p>
        </w:tc>
        <w:tc>
          <w:tcPr>
            <w:tcW w:w="1110" w:type="dxa"/>
            <w:vAlign w:val="bottom"/>
          </w:tcPr>
          <w:p w14:paraId="4330AE9E" w14:textId="77029351"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94</w:t>
            </w:r>
          </w:p>
        </w:tc>
        <w:tc>
          <w:tcPr>
            <w:tcW w:w="1110" w:type="dxa"/>
            <w:vAlign w:val="bottom"/>
          </w:tcPr>
          <w:p w14:paraId="3DA7BB84" w14:textId="30BAAE9E"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20</w:t>
            </w:r>
          </w:p>
        </w:tc>
        <w:tc>
          <w:tcPr>
            <w:tcW w:w="1157" w:type="dxa"/>
            <w:vAlign w:val="bottom"/>
          </w:tcPr>
          <w:p w14:paraId="66D181CE" w14:textId="4AE93945"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35</w:t>
            </w:r>
          </w:p>
        </w:tc>
        <w:tc>
          <w:tcPr>
            <w:tcW w:w="1157" w:type="dxa"/>
            <w:vAlign w:val="bottom"/>
          </w:tcPr>
          <w:p w14:paraId="0E6DA749" w14:textId="6D0E0E82"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45</w:t>
            </w:r>
          </w:p>
        </w:tc>
      </w:tr>
      <w:tr w:rsidR="003F261A" w:rsidRPr="00FE5D0C" w14:paraId="6A72D5DE" w14:textId="77777777" w:rsidTr="003F261A">
        <w:tc>
          <w:tcPr>
            <w:tcW w:w="2547" w:type="dxa"/>
            <w:vAlign w:val="bottom"/>
          </w:tcPr>
          <w:p w14:paraId="5915FF03" w14:textId="77777777" w:rsidR="003F261A" w:rsidRPr="00FE5D0C" w:rsidRDefault="003F261A" w:rsidP="00FE5D0C">
            <w:pPr>
              <w:spacing w:line="360" w:lineRule="auto"/>
            </w:pPr>
            <w:proofErr w:type="spellStart"/>
            <w:r w:rsidRPr="00FE5D0C">
              <w:rPr>
                <w:color w:val="000000"/>
              </w:rPr>
              <w:t>Putamen</w:t>
            </w:r>
            <w:proofErr w:type="spellEnd"/>
          </w:p>
        </w:tc>
        <w:tc>
          <w:tcPr>
            <w:tcW w:w="873" w:type="dxa"/>
            <w:vAlign w:val="bottom"/>
          </w:tcPr>
          <w:p w14:paraId="3BE4EFA1" w14:textId="38BF0F67"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02</w:t>
            </w:r>
          </w:p>
        </w:tc>
        <w:tc>
          <w:tcPr>
            <w:tcW w:w="1108" w:type="dxa"/>
            <w:vAlign w:val="bottom"/>
          </w:tcPr>
          <w:p w14:paraId="58C9CFA6" w14:textId="70974C32"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98</w:t>
            </w:r>
          </w:p>
        </w:tc>
        <w:tc>
          <w:tcPr>
            <w:tcW w:w="1110" w:type="dxa"/>
            <w:vAlign w:val="bottom"/>
          </w:tcPr>
          <w:p w14:paraId="512FFD2D" w14:textId="464D662E"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87</w:t>
            </w:r>
          </w:p>
        </w:tc>
        <w:tc>
          <w:tcPr>
            <w:tcW w:w="1110" w:type="dxa"/>
            <w:vAlign w:val="bottom"/>
          </w:tcPr>
          <w:p w14:paraId="39109A70" w14:textId="4FA399C2"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10</w:t>
            </w:r>
          </w:p>
        </w:tc>
        <w:tc>
          <w:tcPr>
            <w:tcW w:w="1157" w:type="dxa"/>
            <w:vAlign w:val="bottom"/>
          </w:tcPr>
          <w:p w14:paraId="4D019487" w14:textId="28D51153"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69</w:t>
            </w:r>
          </w:p>
        </w:tc>
        <w:tc>
          <w:tcPr>
            <w:tcW w:w="1157" w:type="dxa"/>
            <w:vAlign w:val="bottom"/>
          </w:tcPr>
          <w:p w14:paraId="50ABD0B7" w14:textId="3C49EB66"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76</w:t>
            </w:r>
          </w:p>
        </w:tc>
      </w:tr>
      <w:tr w:rsidR="003F261A" w:rsidRPr="00FE5D0C" w14:paraId="236D5B36" w14:textId="77777777" w:rsidTr="003F261A">
        <w:tc>
          <w:tcPr>
            <w:tcW w:w="2547" w:type="dxa"/>
            <w:vAlign w:val="bottom"/>
          </w:tcPr>
          <w:p w14:paraId="52839A3C" w14:textId="77777777" w:rsidR="003F261A" w:rsidRPr="00FE5D0C" w:rsidRDefault="003F261A" w:rsidP="00FE5D0C">
            <w:pPr>
              <w:spacing w:line="360" w:lineRule="auto"/>
            </w:pPr>
            <w:proofErr w:type="spellStart"/>
            <w:r w:rsidRPr="00FE5D0C">
              <w:rPr>
                <w:color w:val="000000"/>
              </w:rPr>
              <w:t>Caudate</w:t>
            </w:r>
            <w:proofErr w:type="spellEnd"/>
          </w:p>
        </w:tc>
        <w:tc>
          <w:tcPr>
            <w:tcW w:w="873" w:type="dxa"/>
            <w:vAlign w:val="bottom"/>
          </w:tcPr>
          <w:p w14:paraId="1DC0E1EA" w14:textId="5F74BA6E"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02</w:t>
            </w:r>
          </w:p>
        </w:tc>
        <w:tc>
          <w:tcPr>
            <w:tcW w:w="1108" w:type="dxa"/>
            <w:vAlign w:val="bottom"/>
          </w:tcPr>
          <w:p w14:paraId="0BA799FD" w14:textId="3826D597"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98</w:t>
            </w:r>
          </w:p>
        </w:tc>
        <w:tc>
          <w:tcPr>
            <w:tcW w:w="1110" w:type="dxa"/>
            <w:vAlign w:val="bottom"/>
          </w:tcPr>
          <w:p w14:paraId="37CB396E" w14:textId="669D5C14"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86</w:t>
            </w:r>
          </w:p>
        </w:tc>
        <w:tc>
          <w:tcPr>
            <w:tcW w:w="1110" w:type="dxa"/>
            <w:vAlign w:val="bottom"/>
          </w:tcPr>
          <w:p w14:paraId="0A67057C" w14:textId="2DDADEF6"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11</w:t>
            </w:r>
          </w:p>
        </w:tc>
        <w:tc>
          <w:tcPr>
            <w:tcW w:w="1157" w:type="dxa"/>
            <w:vAlign w:val="bottom"/>
          </w:tcPr>
          <w:p w14:paraId="2D4A1554" w14:textId="169C4576"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73</w:t>
            </w:r>
          </w:p>
        </w:tc>
        <w:tc>
          <w:tcPr>
            <w:tcW w:w="1157" w:type="dxa"/>
            <w:vAlign w:val="bottom"/>
          </w:tcPr>
          <w:p w14:paraId="0E210299" w14:textId="15DF1FC7"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78</w:t>
            </w:r>
          </w:p>
        </w:tc>
      </w:tr>
      <w:tr w:rsidR="003F261A" w:rsidRPr="00FE5D0C" w14:paraId="0E64FEFA" w14:textId="77777777" w:rsidTr="003F261A">
        <w:tc>
          <w:tcPr>
            <w:tcW w:w="2547" w:type="dxa"/>
            <w:vAlign w:val="bottom"/>
          </w:tcPr>
          <w:p w14:paraId="3550DFDD" w14:textId="77777777" w:rsidR="003F261A" w:rsidRPr="00FE5D0C" w:rsidRDefault="003F261A" w:rsidP="00FE5D0C">
            <w:pPr>
              <w:spacing w:line="360" w:lineRule="auto"/>
            </w:pPr>
            <w:proofErr w:type="spellStart"/>
            <w:r w:rsidRPr="00FE5D0C">
              <w:rPr>
                <w:color w:val="000000"/>
              </w:rPr>
              <w:t>cuneus</w:t>
            </w:r>
            <w:proofErr w:type="spellEnd"/>
            <w:r w:rsidRPr="00FE5D0C">
              <w:rPr>
                <w:color w:val="000000"/>
              </w:rPr>
              <w:t xml:space="preserve">  </w:t>
            </w:r>
          </w:p>
        </w:tc>
        <w:tc>
          <w:tcPr>
            <w:tcW w:w="873" w:type="dxa"/>
            <w:vAlign w:val="bottom"/>
          </w:tcPr>
          <w:p w14:paraId="7AA8F26E" w14:textId="50AC3C64"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40</w:t>
            </w:r>
          </w:p>
        </w:tc>
        <w:tc>
          <w:tcPr>
            <w:tcW w:w="1108" w:type="dxa"/>
            <w:vAlign w:val="bottom"/>
          </w:tcPr>
          <w:p w14:paraId="3E695B4D" w14:textId="5D12F3E8"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49</w:t>
            </w:r>
          </w:p>
        </w:tc>
        <w:tc>
          <w:tcPr>
            <w:tcW w:w="1110" w:type="dxa"/>
            <w:vAlign w:val="bottom"/>
          </w:tcPr>
          <w:p w14:paraId="6AE05DD4" w14:textId="6EA5FF10"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34</w:t>
            </w:r>
          </w:p>
        </w:tc>
        <w:tc>
          <w:tcPr>
            <w:tcW w:w="1110" w:type="dxa"/>
            <w:vAlign w:val="bottom"/>
          </w:tcPr>
          <w:p w14:paraId="3C7C8B72" w14:textId="67A0ED5A"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65</w:t>
            </w:r>
          </w:p>
        </w:tc>
        <w:tc>
          <w:tcPr>
            <w:tcW w:w="1157" w:type="dxa"/>
            <w:vAlign w:val="bottom"/>
          </w:tcPr>
          <w:p w14:paraId="10FE70F4" w14:textId="606FB6E6" w:rsidR="003F261A" w:rsidRPr="00FE5D0C" w:rsidRDefault="003F261A" w:rsidP="00FE5D0C">
            <w:pPr>
              <w:spacing w:line="360" w:lineRule="auto"/>
              <w:jc w:val="right"/>
            </w:pPr>
            <w:r w:rsidRPr="00FE5D0C">
              <w:rPr>
                <w:color w:val="000000"/>
              </w:rPr>
              <w:t>3</w:t>
            </w:r>
            <w:r w:rsidR="00B25685">
              <w:rPr>
                <w:color w:val="000000"/>
              </w:rPr>
              <w:t>.</w:t>
            </w:r>
            <w:r w:rsidRPr="00FE5D0C">
              <w:rPr>
                <w:color w:val="000000"/>
              </w:rPr>
              <w:t>52e-14</w:t>
            </w:r>
          </w:p>
        </w:tc>
        <w:tc>
          <w:tcPr>
            <w:tcW w:w="1157" w:type="dxa"/>
            <w:vAlign w:val="bottom"/>
          </w:tcPr>
          <w:p w14:paraId="0C4000A2" w14:textId="7F5D2538"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56e-12</w:t>
            </w:r>
          </w:p>
        </w:tc>
      </w:tr>
      <w:tr w:rsidR="003F261A" w:rsidRPr="00FE5D0C" w14:paraId="4876BADE" w14:textId="77777777" w:rsidTr="003F261A">
        <w:tc>
          <w:tcPr>
            <w:tcW w:w="2547" w:type="dxa"/>
            <w:vAlign w:val="bottom"/>
          </w:tcPr>
          <w:p w14:paraId="5396722B" w14:textId="77777777" w:rsidR="003F261A" w:rsidRPr="00FE5D0C" w:rsidRDefault="003F261A" w:rsidP="00FE5D0C">
            <w:pPr>
              <w:spacing w:line="360" w:lineRule="auto"/>
            </w:pPr>
            <w:proofErr w:type="spellStart"/>
            <w:r w:rsidRPr="00FE5D0C">
              <w:rPr>
                <w:color w:val="000000"/>
              </w:rPr>
              <w:t>isthmuscingulate</w:t>
            </w:r>
            <w:proofErr w:type="spellEnd"/>
            <w:r w:rsidRPr="00FE5D0C">
              <w:rPr>
                <w:color w:val="000000"/>
              </w:rPr>
              <w:t xml:space="preserve">  </w:t>
            </w:r>
          </w:p>
        </w:tc>
        <w:tc>
          <w:tcPr>
            <w:tcW w:w="873" w:type="dxa"/>
            <w:vAlign w:val="bottom"/>
          </w:tcPr>
          <w:p w14:paraId="4DA6C20C" w14:textId="7C10062D"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29</w:t>
            </w:r>
          </w:p>
        </w:tc>
        <w:tc>
          <w:tcPr>
            <w:tcW w:w="1108" w:type="dxa"/>
            <w:vAlign w:val="bottom"/>
          </w:tcPr>
          <w:p w14:paraId="116F2BD1" w14:textId="141AAAB4"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33</w:t>
            </w:r>
          </w:p>
        </w:tc>
        <w:tc>
          <w:tcPr>
            <w:tcW w:w="1110" w:type="dxa"/>
            <w:vAlign w:val="bottom"/>
          </w:tcPr>
          <w:p w14:paraId="70F0A227" w14:textId="2B0CA6C3"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19</w:t>
            </w:r>
          </w:p>
        </w:tc>
        <w:tc>
          <w:tcPr>
            <w:tcW w:w="1110" w:type="dxa"/>
            <w:vAlign w:val="bottom"/>
          </w:tcPr>
          <w:p w14:paraId="5A8998F8" w14:textId="31F74EA8"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48</w:t>
            </w:r>
          </w:p>
        </w:tc>
        <w:tc>
          <w:tcPr>
            <w:tcW w:w="1157" w:type="dxa"/>
            <w:vAlign w:val="bottom"/>
          </w:tcPr>
          <w:p w14:paraId="6BBE4406" w14:textId="1CD5DD82" w:rsidR="003F261A" w:rsidRPr="00FE5D0C" w:rsidRDefault="003F261A" w:rsidP="00FE5D0C">
            <w:pPr>
              <w:spacing w:line="360" w:lineRule="auto"/>
              <w:jc w:val="right"/>
            </w:pPr>
            <w:r w:rsidRPr="00FE5D0C">
              <w:rPr>
                <w:color w:val="000000"/>
              </w:rPr>
              <w:t>3</w:t>
            </w:r>
            <w:r w:rsidR="00B25685">
              <w:rPr>
                <w:color w:val="000000"/>
              </w:rPr>
              <w:t>.</w:t>
            </w:r>
            <w:r w:rsidRPr="00FE5D0C">
              <w:rPr>
                <w:color w:val="000000"/>
              </w:rPr>
              <w:t>78e-07</w:t>
            </w:r>
          </w:p>
        </w:tc>
        <w:tc>
          <w:tcPr>
            <w:tcW w:w="1157" w:type="dxa"/>
            <w:vAlign w:val="bottom"/>
          </w:tcPr>
          <w:p w14:paraId="7D448387" w14:textId="2963B32F" w:rsidR="003F261A" w:rsidRPr="00FE5D0C" w:rsidRDefault="003F261A" w:rsidP="00FE5D0C">
            <w:pPr>
              <w:spacing w:line="360" w:lineRule="auto"/>
              <w:jc w:val="right"/>
            </w:pPr>
            <w:r w:rsidRPr="00FE5D0C">
              <w:rPr>
                <w:color w:val="000000"/>
              </w:rPr>
              <w:t>5</w:t>
            </w:r>
            <w:r w:rsidR="00B25685">
              <w:rPr>
                <w:color w:val="000000"/>
              </w:rPr>
              <w:t>.</w:t>
            </w:r>
            <w:r w:rsidRPr="00FE5D0C">
              <w:rPr>
                <w:color w:val="000000"/>
              </w:rPr>
              <w:t>54e-06</w:t>
            </w:r>
          </w:p>
        </w:tc>
      </w:tr>
      <w:tr w:rsidR="003F261A" w:rsidRPr="00FE5D0C" w14:paraId="14E8C20D" w14:textId="77777777" w:rsidTr="003F261A">
        <w:tc>
          <w:tcPr>
            <w:tcW w:w="2547" w:type="dxa"/>
            <w:vAlign w:val="bottom"/>
          </w:tcPr>
          <w:p w14:paraId="0DEBB4FD" w14:textId="77777777" w:rsidR="003F261A" w:rsidRPr="00FE5D0C" w:rsidRDefault="003F261A" w:rsidP="00FE5D0C">
            <w:pPr>
              <w:spacing w:line="360" w:lineRule="auto"/>
            </w:pPr>
            <w:proofErr w:type="spellStart"/>
            <w:r w:rsidRPr="00FE5D0C">
              <w:rPr>
                <w:color w:val="000000"/>
              </w:rPr>
              <w:t>precuneus</w:t>
            </w:r>
            <w:proofErr w:type="spellEnd"/>
            <w:r w:rsidRPr="00FE5D0C">
              <w:rPr>
                <w:color w:val="000000"/>
              </w:rPr>
              <w:t xml:space="preserve">  </w:t>
            </w:r>
          </w:p>
        </w:tc>
        <w:tc>
          <w:tcPr>
            <w:tcW w:w="873" w:type="dxa"/>
            <w:vAlign w:val="bottom"/>
          </w:tcPr>
          <w:p w14:paraId="268AF553" w14:textId="08B0EFB9"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25</w:t>
            </w:r>
          </w:p>
        </w:tc>
        <w:tc>
          <w:tcPr>
            <w:tcW w:w="1108" w:type="dxa"/>
            <w:vAlign w:val="bottom"/>
          </w:tcPr>
          <w:p w14:paraId="3BF23975" w14:textId="3E95DEBA"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29</w:t>
            </w:r>
          </w:p>
        </w:tc>
        <w:tc>
          <w:tcPr>
            <w:tcW w:w="1110" w:type="dxa"/>
            <w:vAlign w:val="bottom"/>
          </w:tcPr>
          <w:p w14:paraId="56932235" w14:textId="6F7ECA59"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16</w:t>
            </w:r>
          </w:p>
        </w:tc>
        <w:tc>
          <w:tcPr>
            <w:tcW w:w="1110" w:type="dxa"/>
            <w:vAlign w:val="bottom"/>
          </w:tcPr>
          <w:p w14:paraId="659429E3" w14:textId="35F1CADD"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42</w:t>
            </w:r>
          </w:p>
        </w:tc>
        <w:tc>
          <w:tcPr>
            <w:tcW w:w="1157" w:type="dxa"/>
            <w:vAlign w:val="bottom"/>
          </w:tcPr>
          <w:p w14:paraId="0017D31E" w14:textId="61DBC04B" w:rsidR="003F261A" w:rsidRPr="00FE5D0C" w:rsidRDefault="003F261A" w:rsidP="00FE5D0C">
            <w:pPr>
              <w:spacing w:line="360" w:lineRule="auto"/>
              <w:jc w:val="right"/>
            </w:pPr>
            <w:r w:rsidRPr="00FE5D0C">
              <w:rPr>
                <w:color w:val="000000"/>
              </w:rPr>
              <w:t>7</w:t>
            </w:r>
            <w:r w:rsidR="00B25685">
              <w:rPr>
                <w:color w:val="000000"/>
              </w:rPr>
              <w:t>.</w:t>
            </w:r>
            <w:r w:rsidRPr="00FE5D0C">
              <w:rPr>
                <w:color w:val="000000"/>
              </w:rPr>
              <w:t>22e-07</w:t>
            </w:r>
          </w:p>
        </w:tc>
        <w:tc>
          <w:tcPr>
            <w:tcW w:w="1157" w:type="dxa"/>
            <w:vAlign w:val="bottom"/>
          </w:tcPr>
          <w:p w14:paraId="2D0ADDB9" w14:textId="5B8C55BF" w:rsidR="003F261A" w:rsidRPr="00FE5D0C" w:rsidRDefault="003F261A" w:rsidP="00FE5D0C">
            <w:pPr>
              <w:spacing w:line="360" w:lineRule="auto"/>
              <w:jc w:val="right"/>
            </w:pPr>
            <w:r w:rsidRPr="00FE5D0C">
              <w:rPr>
                <w:color w:val="000000"/>
              </w:rPr>
              <w:t>7</w:t>
            </w:r>
            <w:r w:rsidR="00B25685">
              <w:rPr>
                <w:color w:val="000000"/>
              </w:rPr>
              <w:t>.</w:t>
            </w:r>
            <w:r w:rsidRPr="00FE5D0C">
              <w:rPr>
                <w:color w:val="000000"/>
              </w:rPr>
              <w:t>94e-06</w:t>
            </w:r>
          </w:p>
        </w:tc>
      </w:tr>
      <w:tr w:rsidR="003F261A" w:rsidRPr="00FE5D0C" w14:paraId="598CBC34" w14:textId="77777777" w:rsidTr="003F261A">
        <w:tc>
          <w:tcPr>
            <w:tcW w:w="2547" w:type="dxa"/>
            <w:vAlign w:val="bottom"/>
          </w:tcPr>
          <w:p w14:paraId="4069248B" w14:textId="77777777" w:rsidR="003F261A" w:rsidRPr="00FE5D0C" w:rsidRDefault="003F261A" w:rsidP="00FE5D0C">
            <w:pPr>
              <w:spacing w:line="360" w:lineRule="auto"/>
            </w:pPr>
            <w:proofErr w:type="spellStart"/>
            <w:r w:rsidRPr="00FE5D0C">
              <w:rPr>
                <w:color w:val="000000"/>
              </w:rPr>
              <w:lastRenderedPageBreak/>
              <w:t>pericalcarine</w:t>
            </w:r>
            <w:proofErr w:type="spellEnd"/>
            <w:r w:rsidRPr="00FE5D0C">
              <w:rPr>
                <w:color w:val="000000"/>
              </w:rPr>
              <w:t xml:space="preserve">  </w:t>
            </w:r>
          </w:p>
        </w:tc>
        <w:tc>
          <w:tcPr>
            <w:tcW w:w="873" w:type="dxa"/>
            <w:vAlign w:val="bottom"/>
          </w:tcPr>
          <w:p w14:paraId="1CABCEB3" w14:textId="07F535C8"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25</w:t>
            </w:r>
          </w:p>
        </w:tc>
        <w:tc>
          <w:tcPr>
            <w:tcW w:w="1108" w:type="dxa"/>
            <w:vAlign w:val="bottom"/>
          </w:tcPr>
          <w:p w14:paraId="06257994" w14:textId="20E1CD1D"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28</w:t>
            </w:r>
          </w:p>
        </w:tc>
        <w:tc>
          <w:tcPr>
            <w:tcW w:w="1110" w:type="dxa"/>
            <w:vAlign w:val="bottom"/>
          </w:tcPr>
          <w:p w14:paraId="66B5E05B" w14:textId="72C5FD72"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15</w:t>
            </w:r>
          </w:p>
        </w:tc>
        <w:tc>
          <w:tcPr>
            <w:tcW w:w="1110" w:type="dxa"/>
            <w:vAlign w:val="bottom"/>
          </w:tcPr>
          <w:p w14:paraId="6A6CE8BC" w14:textId="773C12DA"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42</w:t>
            </w:r>
          </w:p>
        </w:tc>
        <w:tc>
          <w:tcPr>
            <w:tcW w:w="1157" w:type="dxa"/>
            <w:vAlign w:val="bottom"/>
          </w:tcPr>
          <w:p w14:paraId="6F2960CA" w14:textId="24FCD916" w:rsidR="003F261A" w:rsidRPr="00FE5D0C" w:rsidRDefault="003F261A" w:rsidP="00FE5D0C">
            <w:pPr>
              <w:spacing w:line="360" w:lineRule="auto"/>
              <w:jc w:val="right"/>
            </w:pPr>
            <w:r w:rsidRPr="00FE5D0C">
              <w:rPr>
                <w:color w:val="000000"/>
              </w:rPr>
              <w:t>3</w:t>
            </w:r>
            <w:r w:rsidR="00B25685">
              <w:rPr>
                <w:color w:val="000000"/>
              </w:rPr>
              <w:t>.</w:t>
            </w:r>
            <w:r w:rsidRPr="00FE5D0C">
              <w:rPr>
                <w:color w:val="000000"/>
              </w:rPr>
              <w:t>55e-06</w:t>
            </w:r>
          </w:p>
        </w:tc>
        <w:tc>
          <w:tcPr>
            <w:tcW w:w="1157" w:type="dxa"/>
            <w:vAlign w:val="bottom"/>
          </w:tcPr>
          <w:p w14:paraId="21732630" w14:textId="6FA8D890" w:rsidR="003F261A" w:rsidRPr="00FE5D0C" w:rsidRDefault="003F261A" w:rsidP="00FE5D0C">
            <w:pPr>
              <w:spacing w:line="360" w:lineRule="auto"/>
              <w:jc w:val="right"/>
            </w:pPr>
            <w:r w:rsidRPr="00FE5D0C">
              <w:rPr>
                <w:color w:val="000000"/>
              </w:rPr>
              <w:t>2</w:t>
            </w:r>
            <w:r w:rsidR="00B25685">
              <w:rPr>
                <w:color w:val="000000"/>
              </w:rPr>
              <w:t>.</w:t>
            </w:r>
            <w:r w:rsidRPr="00FE5D0C">
              <w:rPr>
                <w:color w:val="000000"/>
              </w:rPr>
              <w:t>39e-05</w:t>
            </w:r>
          </w:p>
        </w:tc>
      </w:tr>
      <w:tr w:rsidR="003F261A" w:rsidRPr="00FE5D0C" w14:paraId="4CD60885" w14:textId="77777777" w:rsidTr="003F261A">
        <w:tc>
          <w:tcPr>
            <w:tcW w:w="2547" w:type="dxa"/>
            <w:vAlign w:val="bottom"/>
          </w:tcPr>
          <w:p w14:paraId="071CFCA6" w14:textId="77777777" w:rsidR="003F261A" w:rsidRPr="00FE5D0C" w:rsidRDefault="003F261A" w:rsidP="00FE5D0C">
            <w:pPr>
              <w:spacing w:line="360" w:lineRule="auto"/>
            </w:pPr>
            <w:r w:rsidRPr="00FE5D0C">
              <w:rPr>
                <w:color w:val="000000"/>
              </w:rPr>
              <w:t xml:space="preserve">superiorparietal  </w:t>
            </w:r>
          </w:p>
        </w:tc>
        <w:tc>
          <w:tcPr>
            <w:tcW w:w="873" w:type="dxa"/>
            <w:vAlign w:val="bottom"/>
          </w:tcPr>
          <w:p w14:paraId="7E15130A" w14:textId="10A6F8AD"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27</w:t>
            </w:r>
          </w:p>
        </w:tc>
        <w:tc>
          <w:tcPr>
            <w:tcW w:w="1108" w:type="dxa"/>
            <w:vAlign w:val="bottom"/>
          </w:tcPr>
          <w:p w14:paraId="09886351" w14:textId="14A4B33B"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31</w:t>
            </w:r>
          </w:p>
        </w:tc>
        <w:tc>
          <w:tcPr>
            <w:tcW w:w="1110" w:type="dxa"/>
            <w:vAlign w:val="bottom"/>
          </w:tcPr>
          <w:p w14:paraId="5056D77E" w14:textId="01E78770"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17</w:t>
            </w:r>
          </w:p>
        </w:tc>
        <w:tc>
          <w:tcPr>
            <w:tcW w:w="1110" w:type="dxa"/>
            <w:vAlign w:val="bottom"/>
          </w:tcPr>
          <w:p w14:paraId="2E95D80A" w14:textId="7ABF3246"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46</w:t>
            </w:r>
          </w:p>
        </w:tc>
        <w:tc>
          <w:tcPr>
            <w:tcW w:w="1157" w:type="dxa"/>
            <w:vAlign w:val="bottom"/>
          </w:tcPr>
          <w:p w14:paraId="458DB440" w14:textId="464F177F" w:rsidR="003F261A" w:rsidRPr="00FE5D0C" w:rsidRDefault="003F261A" w:rsidP="00FE5D0C">
            <w:pPr>
              <w:spacing w:line="360" w:lineRule="auto"/>
              <w:jc w:val="right"/>
            </w:pPr>
            <w:r w:rsidRPr="00FE5D0C">
              <w:rPr>
                <w:color w:val="000000"/>
              </w:rPr>
              <w:t>3</w:t>
            </w:r>
            <w:r w:rsidR="00B25685">
              <w:rPr>
                <w:color w:val="000000"/>
              </w:rPr>
              <w:t>.</w:t>
            </w:r>
            <w:r w:rsidRPr="00FE5D0C">
              <w:rPr>
                <w:color w:val="000000"/>
              </w:rPr>
              <w:t>80e-06</w:t>
            </w:r>
          </w:p>
        </w:tc>
        <w:tc>
          <w:tcPr>
            <w:tcW w:w="1157" w:type="dxa"/>
            <w:vAlign w:val="bottom"/>
          </w:tcPr>
          <w:p w14:paraId="6848D310" w14:textId="723E349E" w:rsidR="003F261A" w:rsidRPr="00FE5D0C" w:rsidRDefault="003F261A" w:rsidP="00FE5D0C">
            <w:pPr>
              <w:spacing w:line="360" w:lineRule="auto"/>
              <w:jc w:val="right"/>
            </w:pPr>
            <w:r w:rsidRPr="00FE5D0C">
              <w:rPr>
                <w:color w:val="000000"/>
              </w:rPr>
              <w:t>2</w:t>
            </w:r>
            <w:r w:rsidR="00B25685">
              <w:rPr>
                <w:color w:val="000000"/>
              </w:rPr>
              <w:t>.</w:t>
            </w:r>
            <w:r w:rsidRPr="00FE5D0C">
              <w:rPr>
                <w:color w:val="000000"/>
              </w:rPr>
              <w:t>39e-05</w:t>
            </w:r>
          </w:p>
        </w:tc>
      </w:tr>
      <w:tr w:rsidR="003F261A" w:rsidRPr="00FE5D0C" w14:paraId="04CF4BDB" w14:textId="77777777" w:rsidTr="003F261A">
        <w:tc>
          <w:tcPr>
            <w:tcW w:w="2547" w:type="dxa"/>
            <w:vAlign w:val="bottom"/>
          </w:tcPr>
          <w:p w14:paraId="4A11ABE2" w14:textId="77777777" w:rsidR="003F261A" w:rsidRPr="00FE5D0C" w:rsidRDefault="003F261A" w:rsidP="00FE5D0C">
            <w:pPr>
              <w:spacing w:line="360" w:lineRule="auto"/>
            </w:pPr>
            <w:proofErr w:type="spellStart"/>
            <w:r w:rsidRPr="00FE5D0C">
              <w:rPr>
                <w:color w:val="000000"/>
              </w:rPr>
              <w:t>caudalmiddlefrontal</w:t>
            </w:r>
            <w:proofErr w:type="spellEnd"/>
            <w:r w:rsidRPr="00FE5D0C">
              <w:rPr>
                <w:color w:val="000000"/>
              </w:rPr>
              <w:t xml:space="preserve">  </w:t>
            </w:r>
          </w:p>
        </w:tc>
        <w:tc>
          <w:tcPr>
            <w:tcW w:w="873" w:type="dxa"/>
            <w:vAlign w:val="bottom"/>
          </w:tcPr>
          <w:p w14:paraId="22FBE794" w14:textId="54EC6C47"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23</w:t>
            </w:r>
          </w:p>
        </w:tc>
        <w:tc>
          <w:tcPr>
            <w:tcW w:w="1108" w:type="dxa"/>
            <w:vAlign w:val="bottom"/>
          </w:tcPr>
          <w:p w14:paraId="34EFD083" w14:textId="40C2BD8B"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26</w:t>
            </w:r>
          </w:p>
        </w:tc>
        <w:tc>
          <w:tcPr>
            <w:tcW w:w="1110" w:type="dxa"/>
            <w:vAlign w:val="bottom"/>
          </w:tcPr>
          <w:p w14:paraId="6F1F10D2" w14:textId="185FA6FE"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14</w:t>
            </w:r>
          </w:p>
        </w:tc>
        <w:tc>
          <w:tcPr>
            <w:tcW w:w="1110" w:type="dxa"/>
            <w:vAlign w:val="bottom"/>
          </w:tcPr>
          <w:p w14:paraId="15D54353" w14:textId="2383BE46"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41</w:t>
            </w:r>
          </w:p>
        </w:tc>
        <w:tc>
          <w:tcPr>
            <w:tcW w:w="1157" w:type="dxa"/>
            <w:vAlign w:val="bottom"/>
          </w:tcPr>
          <w:p w14:paraId="31848485" w14:textId="4D2A002A"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81e-05</w:t>
            </w:r>
          </w:p>
        </w:tc>
        <w:tc>
          <w:tcPr>
            <w:tcW w:w="1157" w:type="dxa"/>
            <w:vAlign w:val="bottom"/>
          </w:tcPr>
          <w:p w14:paraId="43DCB317" w14:textId="63AA7D27" w:rsidR="003F261A" w:rsidRPr="00FE5D0C" w:rsidRDefault="003F261A" w:rsidP="00FE5D0C">
            <w:pPr>
              <w:spacing w:line="360" w:lineRule="auto"/>
              <w:jc w:val="right"/>
            </w:pPr>
            <w:r w:rsidRPr="00FE5D0C">
              <w:rPr>
                <w:color w:val="000000"/>
              </w:rPr>
              <w:t>9</w:t>
            </w:r>
            <w:r w:rsidR="00B25685">
              <w:rPr>
                <w:color w:val="000000"/>
              </w:rPr>
              <w:t>.</w:t>
            </w:r>
            <w:r w:rsidRPr="00FE5D0C">
              <w:rPr>
                <w:color w:val="000000"/>
              </w:rPr>
              <w:t>98e-05</w:t>
            </w:r>
          </w:p>
        </w:tc>
      </w:tr>
      <w:tr w:rsidR="003F261A" w:rsidRPr="00FE5D0C" w14:paraId="7DF67CEE" w14:textId="77777777" w:rsidTr="003F261A">
        <w:tc>
          <w:tcPr>
            <w:tcW w:w="2547" w:type="dxa"/>
            <w:vAlign w:val="bottom"/>
          </w:tcPr>
          <w:p w14:paraId="1F9DC383" w14:textId="77777777" w:rsidR="003F261A" w:rsidRPr="00FE5D0C" w:rsidRDefault="003F261A" w:rsidP="00FE5D0C">
            <w:pPr>
              <w:spacing w:line="360" w:lineRule="auto"/>
            </w:pPr>
            <w:proofErr w:type="spellStart"/>
            <w:r w:rsidRPr="00FE5D0C">
              <w:rPr>
                <w:color w:val="000000"/>
              </w:rPr>
              <w:t>inferiorparietal</w:t>
            </w:r>
            <w:proofErr w:type="spellEnd"/>
            <w:r w:rsidRPr="00FE5D0C">
              <w:rPr>
                <w:color w:val="000000"/>
              </w:rPr>
              <w:t xml:space="preserve">  </w:t>
            </w:r>
          </w:p>
        </w:tc>
        <w:tc>
          <w:tcPr>
            <w:tcW w:w="873" w:type="dxa"/>
            <w:vAlign w:val="bottom"/>
          </w:tcPr>
          <w:p w14:paraId="02623FDA" w14:textId="1CCA2679"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21</w:t>
            </w:r>
          </w:p>
        </w:tc>
        <w:tc>
          <w:tcPr>
            <w:tcW w:w="1108" w:type="dxa"/>
            <w:vAlign w:val="bottom"/>
          </w:tcPr>
          <w:p w14:paraId="0E3837B5" w14:textId="3F779FAC"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23</w:t>
            </w:r>
          </w:p>
        </w:tc>
        <w:tc>
          <w:tcPr>
            <w:tcW w:w="1110" w:type="dxa"/>
            <w:vAlign w:val="bottom"/>
          </w:tcPr>
          <w:p w14:paraId="1DBDE65C" w14:textId="7A3318B1"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12</w:t>
            </w:r>
          </w:p>
        </w:tc>
        <w:tc>
          <w:tcPr>
            <w:tcW w:w="1110" w:type="dxa"/>
            <w:vAlign w:val="bottom"/>
          </w:tcPr>
          <w:p w14:paraId="193B2C78" w14:textId="6889345E"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36</w:t>
            </w:r>
          </w:p>
        </w:tc>
        <w:tc>
          <w:tcPr>
            <w:tcW w:w="1157" w:type="dxa"/>
            <w:vAlign w:val="bottom"/>
          </w:tcPr>
          <w:p w14:paraId="0E25B14B" w14:textId="221CD9D9" w:rsidR="003F261A" w:rsidRPr="00FE5D0C" w:rsidRDefault="003F261A" w:rsidP="00FE5D0C">
            <w:pPr>
              <w:spacing w:line="360" w:lineRule="auto"/>
              <w:jc w:val="right"/>
            </w:pPr>
            <w:r w:rsidRPr="00FE5D0C">
              <w:rPr>
                <w:color w:val="000000"/>
              </w:rPr>
              <w:t>3</w:t>
            </w:r>
            <w:r w:rsidR="00B25685">
              <w:rPr>
                <w:color w:val="000000"/>
              </w:rPr>
              <w:t>.</w:t>
            </w:r>
            <w:r w:rsidRPr="00FE5D0C">
              <w:rPr>
                <w:color w:val="000000"/>
              </w:rPr>
              <w:t>10e-05</w:t>
            </w:r>
          </w:p>
        </w:tc>
        <w:tc>
          <w:tcPr>
            <w:tcW w:w="1157" w:type="dxa"/>
            <w:vAlign w:val="bottom"/>
          </w:tcPr>
          <w:p w14:paraId="570F387A" w14:textId="2D919749"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00</w:t>
            </w:r>
          </w:p>
        </w:tc>
      </w:tr>
      <w:tr w:rsidR="003F261A" w:rsidRPr="00FE5D0C" w14:paraId="5BE20A32" w14:textId="77777777" w:rsidTr="003F261A">
        <w:tc>
          <w:tcPr>
            <w:tcW w:w="2547" w:type="dxa"/>
            <w:vAlign w:val="bottom"/>
          </w:tcPr>
          <w:p w14:paraId="7423A3C7" w14:textId="77777777" w:rsidR="003F261A" w:rsidRPr="00FE5D0C" w:rsidRDefault="003F261A" w:rsidP="00FE5D0C">
            <w:pPr>
              <w:spacing w:line="360" w:lineRule="auto"/>
            </w:pPr>
            <w:proofErr w:type="spellStart"/>
            <w:r w:rsidRPr="00FE5D0C">
              <w:rPr>
                <w:color w:val="000000"/>
              </w:rPr>
              <w:t>parahippocampal</w:t>
            </w:r>
            <w:proofErr w:type="spellEnd"/>
            <w:r w:rsidRPr="00FE5D0C">
              <w:rPr>
                <w:color w:val="000000"/>
              </w:rPr>
              <w:t xml:space="preserve">  </w:t>
            </w:r>
          </w:p>
        </w:tc>
        <w:tc>
          <w:tcPr>
            <w:tcW w:w="873" w:type="dxa"/>
            <w:vAlign w:val="bottom"/>
          </w:tcPr>
          <w:p w14:paraId="164F0A19" w14:textId="6546A5F5"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21</w:t>
            </w:r>
          </w:p>
        </w:tc>
        <w:tc>
          <w:tcPr>
            <w:tcW w:w="1108" w:type="dxa"/>
            <w:vAlign w:val="bottom"/>
          </w:tcPr>
          <w:p w14:paraId="71431DD9" w14:textId="218EADD9"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23</w:t>
            </w:r>
          </w:p>
        </w:tc>
        <w:tc>
          <w:tcPr>
            <w:tcW w:w="1110" w:type="dxa"/>
            <w:vAlign w:val="bottom"/>
          </w:tcPr>
          <w:p w14:paraId="36DCF396" w14:textId="728955E3"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11</w:t>
            </w:r>
          </w:p>
        </w:tc>
        <w:tc>
          <w:tcPr>
            <w:tcW w:w="1110" w:type="dxa"/>
            <w:vAlign w:val="bottom"/>
          </w:tcPr>
          <w:p w14:paraId="55798EBE" w14:textId="2F14C926"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36</w:t>
            </w:r>
          </w:p>
        </w:tc>
        <w:tc>
          <w:tcPr>
            <w:tcW w:w="1157" w:type="dxa"/>
            <w:vAlign w:val="bottom"/>
          </w:tcPr>
          <w:p w14:paraId="3365F347" w14:textId="7809FDCF" w:rsidR="003F261A" w:rsidRPr="00FE5D0C" w:rsidRDefault="003F261A" w:rsidP="00FE5D0C">
            <w:pPr>
              <w:spacing w:line="360" w:lineRule="auto"/>
              <w:jc w:val="right"/>
            </w:pPr>
            <w:r w:rsidRPr="00FE5D0C">
              <w:rPr>
                <w:color w:val="000000"/>
              </w:rPr>
              <w:t>4</w:t>
            </w:r>
            <w:r w:rsidR="00B25685">
              <w:rPr>
                <w:color w:val="000000"/>
              </w:rPr>
              <w:t>.</w:t>
            </w:r>
            <w:r w:rsidRPr="00FE5D0C">
              <w:rPr>
                <w:color w:val="000000"/>
              </w:rPr>
              <w:t>81e-05</w:t>
            </w:r>
          </w:p>
        </w:tc>
        <w:tc>
          <w:tcPr>
            <w:tcW w:w="1157" w:type="dxa"/>
            <w:vAlign w:val="bottom"/>
          </w:tcPr>
          <w:p w14:paraId="6932C5FA" w14:textId="6467A360"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00</w:t>
            </w:r>
          </w:p>
        </w:tc>
      </w:tr>
      <w:tr w:rsidR="003F261A" w:rsidRPr="00FE5D0C" w14:paraId="3E800FE8" w14:textId="77777777" w:rsidTr="003F261A">
        <w:tc>
          <w:tcPr>
            <w:tcW w:w="2547" w:type="dxa"/>
            <w:vAlign w:val="bottom"/>
          </w:tcPr>
          <w:p w14:paraId="09ADFC1B" w14:textId="77777777" w:rsidR="003F261A" w:rsidRPr="00FE5D0C" w:rsidRDefault="003F261A" w:rsidP="00FE5D0C">
            <w:pPr>
              <w:spacing w:line="360" w:lineRule="auto"/>
            </w:pPr>
            <w:proofErr w:type="spellStart"/>
            <w:r w:rsidRPr="00FE5D0C">
              <w:rPr>
                <w:color w:val="000000"/>
              </w:rPr>
              <w:t>precentral</w:t>
            </w:r>
            <w:proofErr w:type="spellEnd"/>
            <w:r w:rsidRPr="00FE5D0C">
              <w:rPr>
                <w:color w:val="000000"/>
              </w:rPr>
              <w:t xml:space="preserve">  </w:t>
            </w:r>
          </w:p>
        </w:tc>
        <w:tc>
          <w:tcPr>
            <w:tcW w:w="873" w:type="dxa"/>
            <w:vAlign w:val="bottom"/>
          </w:tcPr>
          <w:p w14:paraId="72AD4669" w14:textId="75C79859"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24</w:t>
            </w:r>
          </w:p>
        </w:tc>
        <w:tc>
          <w:tcPr>
            <w:tcW w:w="1108" w:type="dxa"/>
            <w:vAlign w:val="bottom"/>
          </w:tcPr>
          <w:p w14:paraId="7C732998" w14:textId="15B05A32"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28</w:t>
            </w:r>
          </w:p>
        </w:tc>
        <w:tc>
          <w:tcPr>
            <w:tcW w:w="1110" w:type="dxa"/>
            <w:vAlign w:val="bottom"/>
          </w:tcPr>
          <w:p w14:paraId="690FAB5F" w14:textId="54391341"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13</w:t>
            </w:r>
          </w:p>
        </w:tc>
        <w:tc>
          <w:tcPr>
            <w:tcW w:w="1110" w:type="dxa"/>
            <w:vAlign w:val="bottom"/>
          </w:tcPr>
          <w:p w14:paraId="192E3ECB" w14:textId="3D351E15"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45</w:t>
            </w:r>
          </w:p>
        </w:tc>
        <w:tc>
          <w:tcPr>
            <w:tcW w:w="1157" w:type="dxa"/>
            <w:vAlign w:val="bottom"/>
          </w:tcPr>
          <w:p w14:paraId="1E2BBF13" w14:textId="74F3FD2C"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00</w:t>
            </w:r>
          </w:p>
        </w:tc>
        <w:tc>
          <w:tcPr>
            <w:tcW w:w="1157" w:type="dxa"/>
            <w:vAlign w:val="bottom"/>
          </w:tcPr>
          <w:p w14:paraId="0F4E00C4" w14:textId="102B96A3"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00</w:t>
            </w:r>
          </w:p>
        </w:tc>
      </w:tr>
      <w:tr w:rsidR="003F261A" w:rsidRPr="00FE5D0C" w14:paraId="576A1D55" w14:textId="77777777" w:rsidTr="003F261A">
        <w:tc>
          <w:tcPr>
            <w:tcW w:w="2547" w:type="dxa"/>
            <w:vAlign w:val="bottom"/>
          </w:tcPr>
          <w:p w14:paraId="51EF13AB" w14:textId="77777777" w:rsidR="003F261A" w:rsidRPr="00FE5D0C" w:rsidRDefault="003F261A" w:rsidP="00FE5D0C">
            <w:pPr>
              <w:spacing w:line="360" w:lineRule="auto"/>
            </w:pPr>
            <w:r w:rsidRPr="00FE5D0C">
              <w:rPr>
                <w:color w:val="000000"/>
              </w:rPr>
              <w:t xml:space="preserve">supramarginal  </w:t>
            </w:r>
          </w:p>
        </w:tc>
        <w:tc>
          <w:tcPr>
            <w:tcW w:w="873" w:type="dxa"/>
            <w:vAlign w:val="bottom"/>
          </w:tcPr>
          <w:p w14:paraId="5BD25F89" w14:textId="43FBE23E"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18</w:t>
            </w:r>
          </w:p>
        </w:tc>
        <w:tc>
          <w:tcPr>
            <w:tcW w:w="1108" w:type="dxa"/>
            <w:vAlign w:val="bottom"/>
          </w:tcPr>
          <w:p w14:paraId="30A7F17F" w14:textId="2D70263D"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20</w:t>
            </w:r>
          </w:p>
        </w:tc>
        <w:tc>
          <w:tcPr>
            <w:tcW w:w="1110" w:type="dxa"/>
            <w:vAlign w:val="bottom"/>
          </w:tcPr>
          <w:p w14:paraId="35E8701A" w14:textId="064A8B29"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09</w:t>
            </w:r>
          </w:p>
        </w:tc>
        <w:tc>
          <w:tcPr>
            <w:tcW w:w="1110" w:type="dxa"/>
            <w:vAlign w:val="bottom"/>
          </w:tcPr>
          <w:p w14:paraId="31215C8E" w14:textId="6DECC95E"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32</w:t>
            </w:r>
          </w:p>
        </w:tc>
        <w:tc>
          <w:tcPr>
            <w:tcW w:w="1157" w:type="dxa"/>
            <w:vAlign w:val="bottom"/>
          </w:tcPr>
          <w:p w14:paraId="67E87585" w14:textId="0D003A6A"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00</w:t>
            </w:r>
          </w:p>
        </w:tc>
        <w:tc>
          <w:tcPr>
            <w:tcW w:w="1157" w:type="dxa"/>
            <w:vAlign w:val="bottom"/>
          </w:tcPr>
          <w:p w14:paraId="5BF16986" w14:textId="5A0850D4"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00</w:t>
            </w:r>
          </w:p>
        </w:tc>
      </w:tr>
      <w:tr w:rsidR="003F261A" w:rsidRPr="00FE5D0C" w14:paraId="4A987AFE" w14:textId="77777777" w:rsidTr="003F261A">
        <w:tc>
          <w:tcPr>
            <w:tcW w:w="2547" w:type="dxa"/>
            <w:vAlign w:val="bottom"/>
          </w:tcPr>
          <w:p w14:paraId="1CF4360D" w14:textId="77777777" w:rsidR="003F261A" w:rsidRPr="00FE5D0C" w:rsidRDefault="003F261A" w:rsidP="00FE5D0C">
            <w:pPr>
              <w:spacing w:line="360" w:lineRule="auto"/>
            </w:pPr>
            <w:r w:rsidRPr="00FE5D0C">
              <w:rPr>
                <w:color w:val="000000"/>
              </w:rPr>
              <w:t xml:space="preserve">temporalpole  </w:t>
            </w:r>
          </w:p>
        </w:tc>
        <w:tc>
          <w:tcPr>
            <w:tcW w:w="873" w:type="dxa"/>
            <w:vAlign w:val="bottom"/>
          </w:tcPr>
          <w:p w14:paraId="5FCA40FA" w14:textId="1E9BABA7"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19</w:t>
            </w:r>
          </w:p>
        </w:tc>
        <w:tc>
          <w:tcPr>
            <w:tcW w:w="1108" w:type="dxa"/>
            <w:vAlign w:val="bottom"/>
          </w:tcPr>
          <w:p w14:paraId="6D2B8FC2" w14:textId="1FEEA32C"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21</w:t>
            </w:r>
          </w:p>
        </w:tc>
        <w:tc>
          <w:tcPr>
            <w:tcW w:w="1110" w:type="dxa"/>
            <w:vAlign w:val="bottom"/>
          </w:tcPr>
          <w:p w14:paraId="3B36F69E" w14:textId="2BEF1AEE"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09</w:t>
            </w:r>
          </w:p>
        </w:tc>
        <w:tc>
          <w:tcPr>
            <w:tcW w:w="1110" w:type="dxa"/>
            <w:vAlign w:val="bottom"/>
          </w:tcPr>
          <w:p w14:paraId="469FF007" w14:textId="1647074D"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35</w:t>
            </w:r>
          </w:p>
        </w:tc>
        <w:tc>
          <w:tcPr>
            <w:tcW w:w="1157" w:type="dxa"/>
            <w:vAlign w:val="bottom"/>
          </w:tcPr>
          <w:p w14:paraId="00C81437" w14:textId="32629B87"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00</w:t>
            </w:r>
          </w:p>
        </w:tc>
        <w:tc>
          <w:tcPr>
            <w:tcW w:w="1157" w:type="dxa"/>
            <w:vAlign w:val="bottom"/>
          </w:tcPr>
          <w:p w14:paraId="16BC2307" w14:textId="603C4451"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00</w:t>
            </w:r>
          </w:p>
        </w:tc>
      </w:tr>
      <w:tr w:rsidR="003F261A" w:rsidRPr="00FE5D0C" w14:paraId="02C2F9A2" w14:textId="77777777" w:rsidTr="003F261A">
        <w:tc>
          <w:tcPr>
            <w:tcW w:w="2547" w:type="dxa"/>
            <w:vAlign w:val="bottom"/>
          </w:tcPr>
          <w:p w14:paraId="56B33122" w14:textId="77777777" w:rsidR="003F261A" w:rsidRPr="00FE5D0C" w:rsidRDefault="003F261A" w:rsidP="00FE5D0C">
            <w:pPr>
              <w:spacing w:line="360" w:lineRule="auto"/>
            </w:pPr>
            <w:proofErr w:type="spellStart"/>
            <w:r w:rsidRPr="00FE5D0C">
              <w:rPr>
                <w:color w:val="000000"/>
              </w:rPr>
              <w:t>lateraloccipital</w:t>
            </w:r>
            <w:proofErr w:type="spellEnd"/>
            <w:r w:rsidRPr="00FE5D0C">
              <w:rPr>
                <w:color w:val="000000"/>
              </w:rPr>
              <w:t xml:space="preserve">  </w:t>
            </w:r>
          </w:p>
        </w:tc>
        <w:tc>
          <w:tcPr>
            <w:tcW w:w="873" w:type="dxa"/>
            <w:vAlign w:val="bottom"/>
          </w:tcPr>
          <w:p w14:paraId="3370D931" w14:textId="71F0B2DD"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17</w:t>
            </w:r>
          </w:p>
        </w:tc>
        <w:tc>
          <w:tcPr>
            <w:tcW w:w="1108" w:type="dxa"/>
            <w:vAlign w:val="bottom"/>
          </w:tcPr>
          <w:p w14:paraId="0B48FF9A" w14:textId="4A167388"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18</w:t>
            </w:r>
          </w:p>
        </w:tc>
        <w:tc>
          <w:tcPr>
            <w:tcW w:w="1110" w:type="dxa"/>
            <w:vAlign w:val="bottom"/>
          </w:tcPr>
          <w:p w14:paraId="0A825F69" w14:textId="70C558CE"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07</w:t>
            </w:r>
          </w:p>
        </w:tc>
        <w:tc>
          <w:tcPr>
            <w:tcW w:w="1110" w:type="dxa"/>
            <w:vAlign w:val="bottom"/>
          </w:tcPr>
          <w:p w14:paraId="4692F5EB" w14:textId="614794DC"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30</w:t>
            </w:r>
          </w:p>
        </w:tc>
        <w:tc>
          <w:tcPr>
            <w:tcW w:w="1157" w:type="dxa"/>
            <w:vAlign w:val="bottom"/>
          </w:tcPr>
          <w:p w14:paraId="0EF109BF" w14:textId="6F37B565"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00</w:t>
            </w:r>
          </w:p>
        </w:tc>
        <w:tc>
          <w:tcPr>
            <w:tcW w:w="1157" w:type="dxa"/>
            <w:vAlign w:val="bottom"/>
          </w:tcPr>
          <w:p w14:paraId="500FA1E7" w14:textId="1DA11316"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00</w:t>
            </w:r>
          </w:p>
        </w:tc>
      </w:tr>
      <w:tr w:rsidR="003F261A" w:rsidRPr="00FE5D0C" w14:paraId="754BDE70" w14:textId="77777777" w:rsidTr="003F261A">
        <w:tc>
          <w:tcPr>
            <w:tcW w:w="2547" w:type="dxa"/>
            <w:vAlign w:val="bottom"/>
          </w:tcPr>
          <w:p w14:paraId="0CEF5FBF" w14:textId="77777777" w:rsidR="003F261A" w:rsidRPr="00FE5D0C" w:rsidRDefault="003F261A" w:rsidP="00FE5D0C">
            <w:pPr>
              <w:spacing w:line="360" w:lineRule="auto"/>
            </w:pPr>
            <w:proofErr w:type="spellStart"/>
            <w:r w:rsidRPr="00FE5D0C">
              <w:rPr>
                <w:color w:val="000000"/>
              </w:rPr>
              <w:t>insula</w:t>
            </w:r>
            <w:proofErr w:type="spellEnd"/>
            <w:r w:rsidRPr="00FE5D0C">
              <w:rPr>
                <w:color w:val="000000"/>
              </w:rPr>
              <w:t xml:space="preserve">  </w:t>
            </w:r>
          </w:p>
        </w:tc>
        <w:tc>
          <w:tcPr>
            <w:tcW w:w="873" w:type="dxa"/>
            <w:vAlign w:val="bottom"/>
          </w:tcPr>
          <w:p w14:paraId="5638D617" w14:textId="2AE87F89"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16</w:t>
            </w:r>
          </w:p>
        </w:tc>
        <w:tc>
          <w:tcPr>
            <w:tcW w:w="1108" w:type="dxa"/>
            <w:vAlign w:val="bottom"/>
          </w:tcPr>
          <w:p w14:paraId="5D7A0790" w14:textId="7F4A2540"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17</w:t>
            </w:r>
          </w:p>
        </w:tc>
        <w:tc>
          <w:tcPr>
            <w:tcW w:w="1110" w:type="dxa"/>
            <w:vAlign w:val="bottom"/>
          </w:tcPr>
          <w:p w14:paraId="2D80FA5A" w14:textId="1453D257"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07</w:t>
            </w:r>
          </w:p>
        </w:tc>
        <w:tc>
          <w:tcPr>
            <w:tcW w:w="1110" w:type="dxa"/>
            <w:vAlign w:val="bottom"/>
          </w:tcPr>
          <w:p w14:paraId="48111CC5" w14:textId="4AF2A691"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28</w:t>
            </w:r>
          </w:p>
        </w:tc>
        <w:tc>
          <w:tcPr>
            <w:tcW w:w="1157" w:type="dxa"/>
            <w:vAlign w:val="bottom"/>
          </w:tcPr>
          <w:p w14:paraId="538995BF" w14:textId="72CE5030"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00</w:t>
            </w:r>
          </w:p>
        </w:tc>
        <w:tc>
          <w:tcPr>
            <w:tcW w:w="1157" w:type="dxa"/>
            <w:vAlign w:val="bottom"/>
          </w:tcPr>
          <w:p w14:paraId="6042949B" w14:textId="133E9FD0"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00</w:t>
            </w:r>
          </w:p>
        </w:tc>
      </w:tr>
      <w:tr w:rsidR="003F261A" w:rsidRPr="00FE5D0C" w14:paraId="2D5EEE8F" w14:textId="77777777" w:rsidTr="003F261A">
        <w:tc>
          <w:tcPr>
            <w:tcW w:w="2547" w:type="dxa"/>
            <w:vAlign w:val="bottom"/>
          </w:tcPr>
          <w:p w14:paraId="7AA1709C" w14:textId="77777777" w:rsidR="003F261A" w:rsidRPr="00FE5D0C" w:rsidRDefault="003F261A" w:rsidP="00FE5D0C">
            <w:pPr>
              <w:spacing w:line="360" w:lineRule="auto"/>
            </w:pPr>
            <w:proofErr w:type="spellStart"/>
            <w:r w:rsidRPr="00FE5D0C">
              <w:rPr>
                <w:color w:val="000000"/>
              </w:rPr>
              <w:t>paracentral</w:t>
            </w:r>
            <w:proofErr w:type="spellEnd"/>
            <w:r w:rsidRPr="00FE5D0C">
              <w:rPr>
                <w:color w:val="000000"/>
              </w:rPr>
              <w:t xml:space="preserve">  </w:t>
            </w:r>
          </w:p>
        </w:tc>
        <w:tc>
          <w:tcPr>
            <w:tcW w:w="873" w:type="dxa"/>
            <w:vAlign w:val="bottom"/>
          </w:tcPr>
          <w:p w14:paraId="1E6A0FAD" w14:textId="79777F55"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18</w:t>
            </w:r>
          </w:p>
        </w:tc>
        <w:tc>
          <w:tcPr>
            <w:tcW w:w="1108" w:type="dxa"/>
            <w:vAlign w:val="bottom"/>
          </w:tcPr>
          <w:p w14:paraId="65E83530" w14:textId="1AF9BAD0"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20</w:t>
            </w:r>
          </w:p>
        </w:tc>
        <w:tc>
          <w:tcPr>
            <w:tcW w:w="1110" w:type="dxa"/>
            <w:vAlign w:val="bottom"/>
          </w:tcPr>
          <w:p w14:paraId="184D6E5F" w14:textId="52F87636"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06</w:t>
            </w:r>
          </w:p>
        </w:tc>
        <w:tc>
          <w:tcPr>
            <w:tcW w:w="1110" w:type="dxa"/>
            <w:vAlign w:val="bottom"/>
          </w:tcPr>
          <w:p w14:paraId="6D8FF69E" w14:textId="2FA65FA8"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35</w:t>
            </w:r>
          </w:p>
        </w:tc>
        <w:tc>
          <w:tcPr>
            <w:tcW w:w="1157" w:type="dxa"/>
            <w:vAlign w:val="bottom"/>
          </w:tcPr>
          <w:p w14:paraId="46F50FDF" w14:textId="36E8F843"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00</w:t>
            </w:r>
          </w:p>
        </w:tc>
        <w:tc>
          <w:tcPr>
            <w:tcW w:w="1157" w:type="dxa"/>
            <w:vAlign w:val="bottom"/>
          </w:tcPr>
          <w:p w14:paraId="426EBD3F" w14:textId="7856EF63"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01</w:t>
            </w:r>
          </w:p>
        </w:tc>
      </w:tr>
      <w:tr w:rsidR="003F261A" w:rsidRPr="00FE5D0C" w14:paraId="45070C6D" w14:textId="77777777" w:rsidTr="003F261A">
        <w:tc>
          <w:tcPr>
            <w:tcW w:w="2547" w:type="dxa"/>
            <w:vAlign w:val="bottom"/>
          </w:tcPr>
          <w:p w14:paraId="2DF2A12B" w14:textId="77777777" w:rsidR="003F261A" w:rsidRPr="00FE5D0C" w:rsidRDefault="003F261A" w:rsidP="00FE5D0C">
            <w:pPr>
              <w:spacing w:line="360" w:lineRule="auto"/>
            </w:pPr>
            <w:r w:rsidRPr="00FE5D0C">
              <w:rPr>
                <w:color w:val="000000"/>
              </w:rPr>
              <w:t xml:space="preserve">superiorfrontal  </w:t>
            </w:r>
          </w:p>
        </w:tc>
        <w:tc>
          <w:tcPr>
            <w:tcW w:w="873" w:type="dxa"/>
            <w:vAlign w:val="bottom"/>
          </w:tcPr>
          <w:p w14:paraId="501DB175" w14:textId="0E0B1204"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14</w:t>
            </w:r>
          </w:p>
        </w:tc>
        <w:tc>
          <w:tcPr>
            <w:tcW w:w="1108" w:type="dxa"/>
            <w:vAlign w:val="bottom"/>
          </w:tcPr>
          <w:p w14:paraId="1E2DB03F" w14:textId="07E6AA0B"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15</w:t>
            </w:r>
          </w:p>
        </w:tc>
        <w:tc>
          <w:tcPr>
            <w:tcW w:w="1110" w:type="dxa"/>
            <w:vAlign w:val="bottom"/>
          </w:tcPr>
          <w:p w14:paraId="59CF1316" w14:textId="6750D54E"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05</w:t>
            </w:r>
          </w:p>
        </w:tc>
        <w:tc>
          <w:tcPr>
            <w:tcW w:w="1110" w:type="dxa"/>
            <w:vAlign w:val="bottom"/>
          </w:tcPr>
          <w:p w14:paraId="781C27A7" w14:textId="538191D9"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25</w:t>
            </w:r>
          </w:p>
        </w:tc>
        <w:tc>
          <w:tcPr>
            <w:tcW w:w="1157" w:type="dxa"/>
            <w:vAlign w:val="bottom"/>
          </w:tcPr>
          <w:p w14:paraId="6B2A2AC0" w14:textId="1F632B64"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00</w:t>
            </w:r>
          </w:p>
        </w:tc>
        <w:tc>
          <w:tcPr>
            <w:tcW w:w="1157" w:type="dxa"/>
            <w:vAlign w:val="bottom"/>
          </w:tcPr>
          <w:p w14:paraId="4BB6F5F8" w14:textId="0209586A"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01</w:t>
            </w:r>
          </w:p>
        </w:tc>
      </w:tr>
      <w:tr w:rsidR="003F261A" w:rsidRPr="00FE5D0C" w14:paraId="6FFF4A83" w14:textId="77777777" w:rsidTr="003F261A">
        <w:tc>
          <w:tcPr>
            <w:tcW w:w="2547" w:type="dxa"/>
            <w:vAlign w:val="bottom"/>
          </w:tcPr>
          <w:p w14:paraId="3A748990" w14:textId="77777777" w:rsidR="003F261A" w:rsidRPr="00FE5D0C" w:rsidRDefault="003F261A" w:rsidP="00FE5D0C">
            <w:pPr>
              <w:spacing w:line="360" w:lineRule="auto"/>
            </w:pPr>
            <w:proofErr w:type="spellStart"/>
            <w:r w:rsidRPr="00FE5D0C">
              <w:rPr>
                <w:color w:val="000000"/>
              </w:rPr>
              <w:t>inferiortemporal</w:t>
            </w:r>
            <w:proofErr w:type="spellEnd"/>
            <w:r w:rsidRPr="00FE5D0C">
              <w:rPr>
                <w:color w:val="000000"/>
              </w:rPr>
              <w:t xml:space="preserve">  </w:t>
            </w:r>
          </w:p>
        </w:tc>
        <w:tc>
          <w:tcPr>
            <w:tcW w:w="873" w:type="dxa"/>
            <w:vAlign w:val="bottom"/>
          </w:tcPr>
          <w:p w14:paraId="23CE3C98" w14:textId="5B9BDBBA"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12</w:t>
            </w:r>
          </w:p>
        </w:tc>
        <w:tc>
          <w:tcPr>
            <w:tcW w:w="1108" w:type="dxa"/>
            <w:vAlign w:val="bottom"/>
          </w:tcPr>
          <w:p w14:paraId="39F7608C" w14:textId="68B926D0"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13</w:t>
            </w:r>
          </w:p>
        </w:tc>
        <w:tc>
          <w:tcPr>
            <w:tcW w:w="1110" w:type="dxa"/>
            <w:vAlign w:val="bottom"/>
          </w:tcPr>
          <w:p w14:paraId="623F9FB7" w14:textId="4A4D052C"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04</w:t>
            </w:r>
          </w:p>
        </w:tc>
        <w:tc>
          <w:tcPr>
            <w:tcW w:w="1110" w:type="dxa"/>
            <w:vAlign w:val="bottom"/>
          </w:tcPr>
          <w:p w14:paraId="3DDF2CE9" w14:textId="42156B5C"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23</w:t>
            </w:r>
          </w:p>
        </w:tc>
        <w:tc>
          <w:tcPr>
            <w:tcW w:w="1157" w:type="dxa"/>
            <w:vAlign w:val="bottom"/>
          </w:tcPr>
          <w:p w14:paraId="35CAC308" w14:textId="6EE5E019"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01</w:t>
            </w:r>
          </w:p>
        </w:tc>
        <w:tc>
          <w:tcPr>
            <w:tcW w:w="1157" w:type="dxa"/>
            <w:vAlign w:val="bottom"/>
          </w:tcPr>
          <w:p w14:paraId="3EA8E252" w14:textId="51C0AF2B"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01</w:t>
            </w:r>
          </w:p>
        </w:tc>
      </w:tr>
      <w:tr w:rsidR="003F261A" w:rsidRPr="00FE5D0C" w14:paraId="0AB102E6" w14:textId="77777777" w:rsidTr="003F261A">
        <w:tc>
          <w:tcPr>
            <w:tcW w:w="2547" w:type="dxa"/>
            <w:vAlign w:val="bottom"/>
          </w:tcPr>
          <w:p w14:paraId="2FDA84EB" w14:textId="77777777" w:rsidR="003F261A" w:rsidRPr="00FE5D0C" w:rsidRDefault="003F261A" w:rsidP="00FE5D0C">
            <w:pPr>
              <w:spacing w:line="360" w:lineRule="auto"/>
            </w:pPr>
            <w:r w:rsidRPr="00FE5D0C">
              <w:rPr>
                <w:color w:val="000000"/>
              </w:rPr>
              <w:t xml:space="preserve">superiortemporal  </w:t>
            </w:r>
          </w:p>
        </w:tc>
        <w:tc>
          <w:tcPr>
            <w:tcW w:w="873" w:type="dxa"/>
            <w:vAlign w:val="bottom"/>
          </w:tcPr>
          <w:p w14:paraId="6D29F2A0" w14:textId="5099C838"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12</w:t>
            </w:r>
          </w:p>
        </w:tc>
        <w:tc>
          <w:tcPr>
            <w:tcW w:w="1108" w:type="dxa"/>
            <w:vAlign w:val="bottom"/>
          </w:tcPr>
          <w:p w14:paraId="7D4DDA5C" w14:textId="249BB145"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13</w:t>
            </w:r>
          </w:p>
        </w:tc>
        <w:tc>
          <w:tcPr>
            <w:tcW w:w="1110" w:type="dxa"/>
            <w:vAlign w:val="bottom"/>
          </w:tcPr>
          <w:p w14:paraId="2EBEED8A" w14:textId="21A72A77"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03</w:t>
            </w:r>
          </w:p>
        </w:tc>
        <w:tc>
          <w:tcPr>
            <w:tcW w:w="1110" w:type="dxa"/>
            <w:vAlign w:val="bottom"/>
          </w:tcPr>
          <w:p w14:paraId="6DAB932F" w14:textId="2CD90F16"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23</w:t>
            </w:r>
          </w:p>
        </w:tc>
        <w:tc>
          <w:tcPr>
            <w:tcW w:w="1157" w:type="dxa"/>
            <w:vAlign w:val="bottom"/>
          </w:tcPr>
          <w:p w14:paraId="6A3A59EC" w14:textId="7BE5A21C"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01</w:t>
            </w:r>
          </w:p>
        </w:tc>
        <w:tc>
          <w:tcPr>
            <w:tcW w:w="1157" w:type="dxa"/>
            <w:vAlign w:val="bottom"/>
          </w:tcPr>
          <w:p w14:paraId="5B98A9A5" w14:textId="2ABDFB48"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01</w:t>
            </w:r>
          </w:p>
        </w:tc>
      </w:tr>
      <w:tr w:rsidR="003F261A" w:rsidRPr="00FE5D0C" w14:paraId="0E5DC952" w14:textId="77777777" w:rsidTr="003F261A">
        <w:tc>
          <w:tcPr>
            <w:tcW w:w="2547" w:type="dxa"/>
            <w:vAlign w:val="bottom"/>
          </w:tcPr>
          <w:p w14:paraId="43C8F0DF" w14:textId="77777777" w:rsidR="003F261A" w:rsidRPr="00FE5D0C" w:rsidRDefault="003F261A" w:rsidP="00FE5D0C">
            <w:pPr>
              <w:spacing w:line="360" w:lineRule="auto"/>
            </w:pPr>
            <w:proofErr w:type="spellStart"/>
            <w:r w:rsidRPr="00FE5D0C">
              <w:rPr>
                <w:color w:val="000000"/>
              </w:rPr>
              <w:t>postcentral</w:t>
            </w:r>
            <w:proofErr w:type="spellEnd"/>
            <w:r w:rsidRPr="00FE5D0C">
              <w:rPr>
                <w:color w:val="000000"/>
              </w:rPr>
              <w:t xml:space="preserve">  </w:t>
            </w:r>
          </w:p>
        </w:tc>
        <w:tc>
          <w:tcPr>
            <w:tcW w:w="873" w:type="dxa"/>
            <w:vAlign w:val="bottom"/>
          </w:tcPr>
          <w:p w14:paraId="0ECD6126" w14:textId="0AE778A6"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14</w:t>
            </w:r>
          </w:p>
        </w:tc>
        <w:tc>
          <w:tcPr>
            <w:tcW w:w="1108" w:type="dxa"/>
            <w:vAlign w:val="bottom"/>
          </w:tcPr>
          <w:p w14:paraId="7814A2E0" w14:textId="086B38A6"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15</w:t>
            </w:r>
          </w:p>
        </w:tc>
        <w:tc>
          <w:tcPr>
            <w:tcW w:w="1110" w:type="dxa"/>
            <w:vAlign w:val="bottom"/>
          </w:tcPr>
          <w:p w14:paraId="4AB974CB" w14:textId="18EDA089"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04</w:t>
            </w:r>
          </w:p>
        </w:tc>
        <w:tc>
          <w:tcPr>
            <w:tcW w:w="1110" w:type="dxa"/>
            <w:vAlign w:val="bottom"/>
          </w:tcPr>
          <w:p w14:paraId="47C26EAE" w14:textId="4A8B644B"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27</w:t>
            </w:r>
          </w:p>
        </w:tc>
        <w:tc>
          <w:tcPr>
            <w:tcW w:w="1157" w:type="dxa"/>
            <w:vAlign w:val="bottom"/>
          </w:tcPr>
          <w:p w14:paraId="091CE860" w14:textId="14BEE2CD"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01</w:t>
            </w:r>
          </w:p>
        </w:tc>
        <w:tc>
          <w:tcPr>
            <w:tcW w:w="1157" w:type="dxa"/>
            <w:vAlign w:val="bottom"/>
          </w:tcPr>
          <w:p w14:paraId="350B5237" w14:textId="43782B95"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02</w:t>
            </w:r>
          </w:p>
        </w:tc>
      </w:tr>
      <w:tr w:rsidR="003F261A" w:rsidRPr="00FE5D0C" w14:paraId="6D40BB5D" w14:textId="77777777" w:rsidTr="003F261A">
        <w:tc>
          <w:tcPr>
            <w:tcW w:w="2547" w:type="dxa"/>
            <w:vAlign w:val="bottom"/>
          </w:tcPr>
          <w:p w14:paraId="3F011140" w14:textId="77777777" w:rsidR="003F261A" w:rsidRPr="00FE5D0C" w:rsidRDefault="003F261A" w:rsidP="00FE5D0C">
            <w:pPr>
              <w:spacing w:line="360" w:lineRule="auto"/>
            </w:pPr>
            <w:proofErr w:type="spellStart"/>
            <w:r w:rsidRPr="00FE5D0C">
              <w:rPr>
                <w:color w:val="000000"/>
              </w:rPr>
              <w:t>parsopercularis</w:t>
            </w:r>
            <w:proofErr w:type="spellEnd"/>
            <w:r w:rsidRPr="00FE5D0C">
              <w:rPr>
                <w:color w:val="000000"/>
              </w:rPr>
              <w:t xml:space="preserve">  </w:t>
            </w:r>
          </w:p>
        </w:tc>
        <w:tc>
          <w:tcPr>
            <w:tcW w:w="873" w:type="dxa"/>
            <w:vAlign w:val="bottom"/>
          </w:tcPr>
          <w:p w14:paraId="26FFA283" w14:textId="775285A8"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12</w:t>
            </w:r>
          </w:p>
        </w:tc>
        <w:tc>
          <w:tcPr>
            <w:tcW w:w="1108" w:type="dxa"/>
            <w:vAlign w:val="bottom"/>
          </w:tcPr>
          <w:p w14:paraId="380A4266" w14:textId="795898A5"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13</w:t>
            </w:r>
          </w:p>
        </w:tc>
        <w:tc>
          <w:tcPr>
            <w:tcW w:w="1110" w:type="dxa"/>
            <w:vAlign w:val="bottom"/>
          </w:tcPr>
          <w:p w14:paraId="7CA20F7A" w14:textId="26B777F3"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03</w:t>
            </w:r>
          </w:p>
        </w:tc>
        <w:tc>
          <w:tcPr>
            <w:tcW w:w="1110" w:type="dxa"/>
            <w:vAlign w:val="bottom"/>
          </w:tcPr>
          <w:p w14:paraId="7038C603" w14:textId="696A47F2"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24</w:t>
            </w:r>
          </w:p>
        </w:tc>
        <w:tc>
          <w:tcPr>
            <w:tcW w:w="1157" w:type="dxa"/>
            <w:vAlign w:val="bottom"/>
          </w:tcPr>
          <w:p w14:paraId="4D114352" w14:textId="7D034510"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01</w:t>
            </w:r>
          </w:p>
        </w:tc>
        <w:tc>
          <w:tcPr>
            <w:tcW w:w="1157" w:type="dxa"/>
            <w:vAlign w:val="bottom"/>
          </w:tcPr>
          <w:p w14:paraId="2A507FBA" w14:textId="4434D2D2"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02</w:t>
            </w:r>
          </w:p>
        </w:tc>
      </w:tr>
      <w:tr w:rsidR="003F261A" w:rsidRPr="00FE5D0C" w14:paraId="385BDDC6" w14:textId="77777777" w:rsidTr="003F261A">
        <w:tc>
          <w:tcPr>
            <w:tcW w:w="2547" w:type="dxa"/>
            <w:vAlign w:val="bottom"/>
          </w:tcPr>
          <w:p w14:paraId="6760D2D9" w14:textId="77777777" w:rsidR="003F261A" w:rsidRPr="00FE5D0C" w:rsidRDefault="003F261A" w:rsidP="00FE5D0C">
            <w:pPr>
              <w:spacing w:line="360" w:lineRule="auto"/>
            </w:pPr>
            <w:proofErr w:type="spellStart"/>
            <w:r w:rsidRPr="00FE5D0C">
              <w:rPr>
                <w:color w:val="000000"/>
              </w:rPr>
              <w:t>parstriangularis</w:t>
            </w:r>
            <w:proofErr w:type="spellEnd"/>
            <w:r w:rsidRPr="00FE5D0C">
              <w:rPr>
                <w:color w:val="000000"/>
              </w:rPr>
              <w:t xml:space="preserve">  </w:t>
            </w:r>
          </w:p>
        </w:tc>
        <w:tc>
          <w:tcPr>
            <w:tcW w:w="873" w:type="dxa"/>
            <w:vAlign w:val="bottom"/>
          </w:tcPr>
          <w:p w14:paraId="0885B69D" w14:textId="478A2A41"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11</w:t>
            </w:r>
          </w:p>
        </w:tc>
        <w:tc>
          <w:tcPr>
            <w:tcW w:w="1108" w:type="dxa"/>
            <w:vAlign w:val="bottom"/>
          </w:tcPr>
          <w:p w14:paraId="0CBB481B" w14:textId="5139B1CB"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12</w:t>
            </w:r>
          </w:p>
        </w:tc>
        <w:tc>
          <w:tcPr>
            <w:tcW w:w="1110" w:type="dxa"/>
            <w:vAlign w:val="bottom"/>
          </w:tcPr>
          <w:p w14:paraId="07C9E796" w14:textId="524EDEF5"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02</w:t>
            </w:r>
          </w:p>
        </w:tc>
        <w:tc>
          <w:tcPr>
            <w:tcW w:w="1110" w:type="dxa"/>
            <w:vAlign w:val="bottom"/>
          </w:tcPr>
          <w:p w14:paraId="67C62CAC" w14:textId="550FFABE"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23</w:t>
            </w:r>
          </w:p>
        </w:tc>
        <w:tc>
          <w:tcPr>
            <w:tcW w:w="1157" w:type="dxa"/>
            <w:vAlign w:val="bottom"/>
          </w:tcPr>
          <w:p w14:paraId="38ACB1C1" w14:textId="35C20C3C"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02</w:t>
            </w:r>
          </w:p>
        </w:tc>
        <w:tc>
          <w:tcPr>
            <w:tcW w:w="1157" w:type="dxa"/>
            <w:vAlign w:val="bottom"/>
          </w:tcPr>
          <w:p w14:paraId="542C08D6" w14:textId="1B6C8EF1"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04</w:t>
            </w:r>
          </w:p>
        </w:tc>
      </w:tr>
      <w:tr w:rsidR="003F261A" w:rsidRPr="00FE5D0C" w14:paraId="6577A1A2" w14:textId="77777777" w:rsidTr="003F261A">
        <w:tc>
          <w:tcPr>
            <w:tcW w:w="2547" w:type="dxa"/>
            <w:vAlign w:val="bottom"/>
          </w:tcPr>
          <w:p w14:paraId="3757BB37" w14:textId="77777777" w:rsidR="003F261A" w:rsidRPr="00FE5D0C" w:rsidRDefault="003F261A" w:rsidP="00FE5D0C">
            <w:pPr>
              <w:spacing w:line="360" w:lineRule="auto"/>
            </w:pPr>
            <w:proofErr w:type="spellStart"/>
            <w:r w:rsidRPr="00FE5D0C">
              <w:rPr>
                <w:color w:val="000000"/>
              </w:rPr>
              <w:t>bankssts</w:t>
            </w:r>
            <w:proofErr w:type="spellEnd"/>
            <w:r w:rsidRPr="00FE5D0C">
              <w:rPr>
                <w:color w:val="000000"/>
              </w:rPr>
              <w:t xml:space="preserve">  </w:t>
            </w:r>
          </w:p>
        </w:tc>
        <w:tc>
          <w:tcPr>
            <w:tcW w:w="873" w:type="dxa"/>
            <w:vAlign w:val="bottom"/>
          </w:tcPr>
          <w:p w14:paraId="3BB5EEFE" w14:textId="5CCCA797"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13</w:t>
            </w:r>
          </w:p>
        </w:tc>
        <w:tc>
          <w:tcPr>
            <w:tcW w:w="1108" w:type="dxa"/>
            <w:vAlign w:val="bottom"/>
          </w:tcPr>
          <w:p w14:paraId="4D9E6116" w14:textId="48772B75"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14</w:t>
            </w:r>
          </w:p>
        </w:tc>
        <w:tc>
          <w:tcPr>
            <w:tcW w:w="1110" w:type="dxa"/>
            <w:vAlign w:val="bottom"/>
          </w:tcPr>
          <w:p w14:paraId="4FFF6886" w14:textId="6BA66E28"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02</w:t>
            </w:r>
          </w:p>
        </w:tc>
        <w:tc>
          <w:tcPr>
            <w:tcW w:w="1110" w:type="dxa"/>
            <w:vAlign w:val="bottom"/>
          </w:tcPr>
          <w:p w14:paraId="1459CD3A" w14:textId="38F36A10"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28</w:t>
            </w:r>
          </w:p>
        </w:tc>
        <w:tc>
          <w:tcPr>
            <w:tcW w:w="1157" w:type="dxa"/>
            <w:vAlign w:val="bottom"/>
          </w:tcPr>
          <w:p w14:paraId="5422D6CD" w14:textId="3472C076"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02</w:t>
            </w:r>
          </w:p>
        </w:tc>
        <w:tc>
          <w:tcPr>
            <w:tcW w:w="1157" w:type="dxa"/>
            <w:vAlign w:val="bottom"/>
          </w:tcPr>
          <w:p w14:paraId="5797612B" w14:textId="24958A6D"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04</w:t>
            </w:r>
          </w:p>
        </w:tc>
      </w:tr>
      <w:tr w:rsidR="003F261A" w:rsidRPr="00FE5D0C" w14:paraId="4E4EC2B5" w14:textId="77777777" w:rsidTr="003F261A">
        <w:tc>
          <w:tcPr>
            <w:tcW w:w="2547" w:type="dxa"/>
            <w:vAlign w:val="bottom"/>
          </w:tcPr>
          <w:p w14:paraId="3980BD16" w14:textId="77777777" w:rsidR="003F261A" w:rsidRPr="00FE5D0C" w:rsidRDefault="003F261A" w:rsidP="00FE5D0C">
            <w:pPr>
              <w:spacing w:line="360" w:lineRule="auto"/>
            </w:pPr>
            <w:r w:rsidRPr="00FE5D0C">
              <w:rPr>
                <w:color w:val="000000"/>
              </w:rPr>
              <w:t xml:space="preserve">transversetemporal  </w:t>
            </w:r>
          </w:p>
        </w:tc>
        <w:tc>
          <w:tcPr>
            <w:tcW w:w="873" w:type="dxa"/>
            <w:vAlign w:val="bottom"/>
          </w:tcPr>
          <w:p w14:paraId="1AE2CACA" w14:textId="5D4566A8"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10</w:t>
            </w:r>
          </w:p>
        </w:tc>
        <w:tc>
          <w:tcPr>
            <w:tcW w:w="1108" w:type="dxa"/>
            <w:vAlign w:val="bottom"/>
          </w:tcPr>
          <w:p w14:paraId="098A5A0A" w14:textId="2E9681B8"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11</w:t>
            </w:r>
          </w:p>
        </w:tc>
        <w:tc>
          <w:tcPr>
            <w:tcW w:w="1110" w:type="dxa"/>
            <w:vAlign w:val="bottom"/>
          </w:tcPr>
          <w:p w14:paraId="1BACDD05" w14:textId="68665A55"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00</w:t>
            </w:r>
          </w:p>
        </w:tc>
        <w:tc>
          <w:tcPr>
            <w:tcW w:w="1110" w:type="dxa"/>
            <w:vAlign w:val="bottom"/>
          </w:tcPr>
          <w:p w14:paraId="51A7C2CF" w14:textId="70A2F433"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23</w:t>
            </w:r>
          </w:p>
        </w:tc>
        <w:tc>
          <w:tcPr>
            <w:tcW w:w="1157" w:type="dxa"/>
            <w:vAlign w:val="bottom"/>
          </w:tcPr>
          <w:p w14:paraId="2BE96FAB" w14:textId="4AE54D63"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06</w:t>
            </w:r>
          </w:p>
        </w:tc>
        <w:tc>
          <w:tcPr>
            <w:tcW w:w="1157" w:type="dxa"/>
            <w:vAlign w:val="bottom"/>
          </w:tcPr>
          <w:p w14:paraId="356DBF40" w14:textId="1E49F3A7"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10</w:t>
            </w:r>
          </w:p>
        </w:tc>
      </w:tr>
      <w:tr w:rsidR="003F261A" w:rsidRPr="00FE5D0C" w14:paraId="7DED2192" w14:textId="77777777" w:rsidTr="003F261A">
        <w:tc>
          <w:tcPr>
            <w:tcW w:w="2547" w:type="dxa"/>
            <w:vAlign w:val="bottom"/>
          </w:tcPr>
          <w:p w14:paraId="3E906608" w14:textId="77777777" w:rsidR="003F261A" w:rsidRPr="00FE5D0C" w:rsidRDefault="003F261A" w:rsidP="00FE5D0C">
            <w:pPr>
              <w:spacing w:line="360" w:lineRule="auto"/>
            </w:pPr>
            <w:proofErr w:type="spellStart"/>
            <w:r w:rsidRPr="00FE5D0C">
              <w:rPr>
                <w:color w:val="000000"/>
              </w:rPr>
              <w:t>posteriorcingulate</w:t>
            </w:r>
            <w:proofErr w:type="spellEnd"/>
            <w:r w:rsidRPr="00FE5D0C">
              <w:rPr>
                <w:color w:val="000000"/>
              </w:rPr>
              <w:t xml:space="preserve">  </w:t>
            </w:r>
          </w:p>
        </w:tc>
        <w:tc>
          <w:tcPr>
            <w:tcW w:w="873" w:type="dxa"/>
            <w:vAlign w:val="bottom"/>
          </w:tcPr>
          <w:p w14:paraId="44A7174C" w14:textId="40FEC16A"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09</w:t>
            </w:r>
          </w:p>
        </w:tc>
        <w:tc>
          <w:tcPr>
            <w:tcW w:w="1108" w:type="dxa"/>
            <w:vAlign w:val="bottom"/>
          </w:tcPr>
          <w:p w14:paraId="5935A902" w14:textId="50EA000D"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10</w:t>
            </w:r>
          </w:p>
        </w:tc>
        <w:tc>
          <w:tcPr>
            <w:tcW w:w="1110" w:type="dxa"/>
            <w:vAlign w:val="bottom"/>
          </w:tcPr>
          <w:p w14:paraId="7AA188DD" w14:textId="6C171B63"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99</w:t>
            </w:r>
          </w:p>
        </w:tc>
        <w:tc>
          <w:tcPr>
            <w:tcW w:w="1110" w:type="dxa"/>
            <w:vAlign w:val="bottom"/>
          </w:tcPr>
          <w:p w14:paraId="220C9001" w14:textId="2535B4C1"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21</w:t>
            </w:r>
          </w:p>
        </w:tc>
        <w:tc>
          <w:tcPr>
            <w:tcW w:w="1157" w:type="dxa"/>
            <w:vAlign w:val="bottom"/>
          </w:tcPr>
          <w:p w14:paraId="56FD4ACE" w14:textId="55626A8B"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08</w:t>
            </w:r>
          </w:p>
        </w:tc>
        <w:tc>
          <w:tcPr>
            <w:tcW w:w="1157" w:type="dxa"/>
            <w:vAlign w:val="bottom"/>
          </w:tcPr>
          <w:p w14:paraId="4E2BB5E0" w14:textId="4290D84C"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11</w:t>
            </w:r>
          </w:p>
        </w:tc>
      </w:tr>
      <w:tr w:rsidR="003F261A" w:rsidRPr="00FE5D0C" w14:paraId="421C6398" w14:textId="77777777" w:rsidTr="003F261A">
        <w:tc>
          <w:tcPr>
            <w:tcW w:w="2547" w:type="dxa"/>
            <w:vAlign w:val="bottom"/>
          </w:tcPr>
          <w:p w14:paraId="0D2DDE05" w14:textId="77777777" w:rsidR="003F261A" w:rsidRPr="00FE5D0C" w:rsidRDefault="003F261A" w:rsidP="00FE5D0C">
            <w:pPr>
              <w:spacing w:line="360" w:lineRule="auto"/>
            </w:pPr>
            <w:proofErr w:type="spellStart"/>
            <w:r w:rsidRPr="00FE5D0C">
              <w:rPr>
                <w:color w:val="000000"/>
              </w:rPr>
              <w:t>fusiform</w:t>
            </w:r>
            <w:proofErr w:type="spellEnd"/>
            <w:r w:rsidRPr="00FE5D0C">
              <w:rPr>
                <w:color w:val="000000"/>
              </w:rPr>
              <w:t xml:space="preserve">  </w:t>
            </w:r>
          </w:p>
        </w:tc>
        <w:tc>
          <w:tcPr>
            <w:tcW w:w="873" w:type="dxa"/>
            <w:vAlign w:val="bottom"/>
          </w:tcPr>
          <w:p w14:paraId="33AB2296" w14:textId="66C1733B"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08</w:t>
            </w:r>
          </w:p>
        </w:tc>
        <w:tc>
          <w:tcPr>
            <w:tcW w:w="1108" w:type="dxa"/>
            <w:vAlign w:val="bottom"/>
          </w:tcPr>
          <w:p w14:paraId="475A93E2" w14:textId="7C920757"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08</w:t>
            </w:r>
          </w:p>
        </w:tc>
        <w:tc>
          <w:tcPr>
            <w:tcW w:w="1110" w:type="dxa"/>
            <w:vAlign w:val="bottom"/>
          </w:tcPr>
          <w:p w14:paraId="78E81233" w14:textId="27F4B915"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99</w:t>
            </w:r>
          </w:p>
        </w:tc>
        <w:tc>
          <w:tcPr>
            <w:tcW w:w="1110" w:type="dxa"/>
            <w:vAlign w:val="bottom"/>
          </w:tcPr>
          <w:p w14:paraId="7A0F2B34" w14:textId="61046277"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18</w:t>
            </w:r>
          </w:p>
        </w:tc>
        <w:tc>
          <w:tcPr>
            <w:tcW w:w="1157" w:type="dxa"/>
            <w:vAlign w:val="bottom"/>
          </w:tcPr>
          <w:p w14:paraId="32F973AF" w14:textId="0B9236DA"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09</w:t>
            </w:r>
          </w:p>
        </w:tc>
        <w:tc>
          <w:tcPr>
            <w:tcW w:w="1157" w:type="dxa"/>
            <w:vAlign w:val="bottom"/>
          </w:tcPr>
          <w:p w14:paraId="26D7DBEA" w14:textId="06B94420"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13</w:t>
            </w:r>
          </w:p>
        </w:tc>
      </w:tr>
      <w:tr w:rsidR="003F261A" w:rsidRPr="00FE5D0C" w14:paraId="6F0DBB4F" w14:textId="77777777" w:rsidTr="003F261A">
        <w:tc>
          <w:tcPr>
            <w:tcW w:w="2547" w:type="dxa"/>
            <w:vAlign w:val="bottom"/>
          </w:tcPr>
          <w:p w14:paraId="562591EA" w14:textId="77777777" w:rsidR="003F261A" w:rsidRPr="00FE5D0C" w:rsidRDefault="003F261A" w:rsidP="00FE5D0C">
            <w:pPr>
              <w:spacing w:line="360" w:lineRule="auto"/>
            </w:pPr>
            <w:proofErr w:type="spellStart"/>
            <w:r w:rsidRPr="00FE5D0C">
              <w:rPr>
                <w:color w:val="000000"/>
              </w:rPr>
              <w:t>rostralmiddlefrontal</w:t>
            </w:r>
            <w:proofErr w:type="spellEnd"/>
            <w:r w:rsidRPr="00FE5D0C">
              <w:rPr>
                <w:color w:val="000000"/>
              </w:rPr>
              <w:t xml:space="preserve">  </w:t>
            </w:r>
          </w:p>
        </w:tc>
        <w:tc>
          <w:tcPr>
            <w:tcW w:w="873" w:type="dxa"/>
            <w:vAlign w:val="bottom"/>
          </w:tcPr>
          <w:p w14:paraId="7A5B93B9" w14:textId="545EA426"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07</w:t>
            </w:r>
          </w:p>
        </w:tc>
        <w:tc>
          <w:tcPr>
            <w:tcW w:w="1108" w:type="dxa"/>
            <w:vAlign w:val="bottom"/>
          </w:tcPr>
          <w:p w14:paraId="263F189E" w14:textId="2A14401B"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07</w:t>
            </w:r>
          </w:p>
        </w:tc>
        <w:tc>
          <w:tcPr>
            <w:tcW w:w="1110" w:type="dxa"/>
            <w:vAlign w:val="bottom"/>
          </w:tcPr>
          <w:p w14:paraId="5DA03B57" w14:textId="2EDD6972"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97</w:t>
            </w:r>
          </w:p>
        </w:tc>
        <w:tc>
          <w:tcPr>
            <w:tcW w:w="1110" w:type="dxa"/>
            <w:vAlign w:val="bottom"/>
          </w:tcPr>
          <w:p w14:paraId="67115F8E" w14:textId="7C1DFDB3"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18</w:t>
            </w:r>
          </w:p>
        </w:tc>
        <w:tc>
          <w:tcPr>
            <w:tcW w:w="1157" w:type="dxa"/>
            <w:vAlign w:val="bottom"/>
          </w:tcPr>
          <w:p w14:paraId="208BBA75" w14:textId="3D81662E"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15</w:t>
            </w:r>
          </w:p>
        </w:tc>
        <w:tc>
          <w:tcPr>
            <w:tcW w:w="1157" w:type="dxa"/>
            <w:vAlign w:val="bottom"/>
          </w:tcPr>
          <w:p w14:paraId="2B7CD540" w14:textId="4ABCC22A"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21</w:t>
            </w:r>
          </w:p>
        </w:tc>
      </w:tr>
      <w:tr w:rsidR="003F261A" w:rsidRPr="00FE5D0C" w14:paraId="18E0E4CF" w14:textId="77777777" w:rsidTr="003F261A">
        <w:tc>
          <w:tcPr>
            <w:tcW w:w="2547" w:type="dxa"/>
            <w:vAlign w:val="bottom"/>
          </w:tcPr>
          <w:p w14:paraId="7CD7B557" w14:textId="77777777" w:rsidR="003F261A" w:rsidRPr="00FE5D0C" w:rsidRDefault="003F261A" w:rsidP="00FE5D0C">
            <w:pPr>
              <w:spacing w:line="360" w:lineRule="auto"/>
            </w:pPr>
            <w:proofErr w:type="spellStart"/>
            <w:r w:rsidRPr="00FE5D0C">
              <w:rPr>
                <w:color w:val="000000"/>
              </w:rPr>
              <w:t>lingual</w:t>
            </w:r>
            <w:proofErr w:type="spellEnd"/>
            <w:r w:rsidRPr="00FE5D0C">
              <w:rPr>
                <w:color w:val="000000"/>
              </w:rPr>
              <w:t xml:space="preserve">  </w:t>
            </w:r>
          </w:p>
        </w:tc>
        <w:tc>
          <w:tcPr>
            <w:tcW w:w="873" w:type="dxa"/>
            <w:vAlign w:val="bottom"/>
          </w:tcPr>
          <w:p w14:paraId="7A54BD51" w14:textId="0FE8B425"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07</w:t>
            </w:r>
          </w:p>
        </w:tc>
        <w:tc>
          <w:tcPr>
            <w:tcW w:w="1108" w:type="dxa"/>
            <w:vAlign w:val="bottom"/>
          </w:tcPr>
          <w:p w14:paraId="1FEFD03A" w14:textId="3E66EE7B"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07</w:t>
            </w:r>
          </w:p>
        </w:tc>
        <w:tc>
          <w:tcPr>
            <w:tcW w:w="1110" w:type="dxa"/>
            <w:vAlign w:val="bottom"/>
          </w:tcPr>
          <w:p w14:paraId="4E140807" w14:textId="2830B24D"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98</w:t>
            </w:r>
          </w:p>
        </w:tc>
        <w:tc>
          <w:tcPr>
            <w:tcW w:w="1110" w:type="dxa"/>
            <w:vAlign w:val="bottom"/>
          </w:tcPr>
          <w:p w14:paraId="7184CEE7" w14:textId="60F83AE3"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17</w:t>
            </w:r>
          </w:p>
        </w:tc>
        <w:tc>
          <w:tcPr>
            <w:tcW w:w="1157" w:type="dxa"/>
            <w:vAlign w:val="bottom"/>
          </w:tcPr>
          <w:p w14:paraId="0F02765F" w14:textId="20BB791B"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15</w:t>
            </w:r>
          </w:p>
        </w:tc>
        <w:tc>
          <w:tcPr>
            <w:tcW w:w="1157" w:type="dxa"/>
            <w:vAlign w:val="bottom"/>
          </w:tcPr>
          <w:p w14:paraId="6C83D720" w14:textId="5335B657"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21</w:t>
            </w:r>
          </w:p>
        </w:tc>
      </w:tr>
      <w:tr w:rsidR="003F261A" w:rsidRPr="00FE5D0C" w14:paraId="30269336" w14:textId="77777777" w:rsidTr="003F261A">
        <w:tc>
          <w:tcPr>
            <w:tcW w:w="2547" w:type="dxa"/>
            <w:vAlign w:val="bottom"/>
          </w:tcPr>
          <w:p w14:paraId="06B6882F" w14:textId="77777777" w:rsidR="003F261A" w:rsidRPr="00FE5D0C" w:rsidRDefault="003F261A" w:rsidP="00FE5D0C">
            <w:pPr>
              <w:spacing w:line="360" w:lineRule="auto"/>
            </w:pPr>
            <w:proofErr w:type="spellStart"/>
            <w:r w:rsidRPr="00FE5D0C">
              <w:rPr>
                <w:color w:val="000000"/>
              </w:rPr>
              <w:t>medialorbitofrontal</w:t>
            </w:r>
            <w:proofErr w:type="spellEnd"/>
            <w:r w:rsidRPr="00FE5D0C">
              <w:rPr>
                <w:color w:val="000000"/>
              </w:rPr>
              <w:t xml:space="preserve">  </w:t>
            </w:r>
          </w:p>
        </w:tc>
        <w:tc>
          <w:tcPr>
            <w:tcW w:w="873" w:type="dxa"/>
            <w:vAlign w:val="bottom"/>
          </w:tcPr>
          <w:p w14:paraId="23932248" w14:textId="1325B40D"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04</w:t>
            </w:r>
          </w:p>
        </w:tc>
        <w:tc>
          <w:tcPr>
            <w:tcW w:w="1108" w:type="dxa"/>
            <w:vAlign w:val="bottom"/>
          </w:tcPr>
          <w:p w14:paraId="5E96E844" w14:textId="4A602BF8"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96</w:t>
            </w:r>
          </w:p>
        </w:tc>
        <w:tc>
          <w:tcPr>
            <w:tcW w:w="1110" w:type="dxa"/>
            <w:vAlign w:val="bottom"/>
          </w:tcPr>
          <w:p w14:paraId="5E5956D0" w14:textId="647E6BF1"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88</w:t>
            </w:r>
          </w:p>
        </w:tc>
        <w:tc>
          <w:tcPr>
            <w:tcW w:w="1110" w:type="dxa"/>
            <w:vAlign w:val="bottom"/>
          </w:tcPr>
          <w:p w14:paraId="246448CC" w14:textId="532F3C39"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05</w:t>
            </w:r>
          </w:p>
        </w:tc>
        <w:tc>
          <w:tcPr>
            <w:tcW w:w="1157" w:type="dxa"/>
            <w:vAlign w:val="bottom"/>
          </w:tcPr>
          <w:p w14:paraId="36498EC7" w14:textId="1174C44B"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36</w:t>
            </w:r>
          </w:p>
        </w:tc>
        <w:tc>
          <w:tcPr>
            <w:tcW w:w="1157" w:type="dxa"/>
            <w:vAlign w:val="bottom"/>
          </w:tcPr>
          <w:p w14:paraId="3EF74BE0" w14:textId="285AC22C"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45</w:t>
            </w:r>
          </w:p>
        </w:tc>
      </w:tr>
      <w:tr w:rsidR="003F261A" w:rsidRPr="00FE5D0C" w14:paraId="74B1A527" w14:textId="77777777" w:rsidTr="003F261A">
        <w:tc>
          <w:tcPr>
            <w:tcW w:w="2547" w:type="dxa"/>
            <w:vAlign w:val="bottom"/>
          </w:tcPr>
          <w:p w14:paraId="52EA595B" w14:textId="77777777" w:rsidR="003F261A" w:rsidRPr="00FE5D0C" w:rsidRDefault="003F261A" w:rsidP="00FE5D0C">
            <w:pPr>
              <w:spacing w:line="360" w:lineRule="auto"/>
            </w:pPr>
            <w:proofErr w:type="spellStart"/>
            <w:r w:rsidRPr="00FE5D0C">
              <w:rPr>
                <w:color w:val="000000"/>
              </w:rPr>
              <w:t>lateralorbitofrontal</w:t>
            </w:r>
            <w:proofErr w:type="spellEnd"/>
            <w:r w:rsidRPr="00FE5D0C">
              <w:rPr>
                <w:color w:val="000000"/>
              </w:rPr>
              <w:t xml:space="preserve">  </w:t>
            </w:r>
          </w:p>
        </w:tc>
        <w:tc>
          <w:tcPr>
            <w:tcW w:w="873" w:type="dxa"/>
            <w:vAlign w:val="bottom"/>
          </w:tcPr>
          <w:p w14:paraId="0372D0A1" w14:textId="3D8E083A"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04</w:t>
            </w:r>
          </w:p>
        </w:tc>
        <w:tc>
          <w:tcPr>
            <w:tcW w:w="1108" w:type="dxa"/>
            <w:vAlign w:val="bottom"/>
          </w:tcPr>
          <w:p w14:paraId="66BA586C" w14:textId="4E60D581"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04</w:t>
            </w:r>
          </w:p>
        </w:tc>
        <w:tc>
          <w:tcPr>
            <w:tcW w:w="1110" w:type="dxa"/>
            <w:vAlign w:val="bottom"/>
          </w:tcPr>
          <w:p w14:paraId="15DF2052" w14:textId="2F173C83"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95</w:t>
            </w:r>
          </w:p>
        </w:tc>
        <w:tc>
          <w:tcPr>
            <w:tcW w:w="1110" w:type="dxa"/>
            <w:vAlign w:val="bottom"/>
          </w:tcPr>
          <w:p w14:paraId="2BE7B1A6" w14:textId="2B012C4B"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13</w:t>
            </w:r>
          </w:p>
        </w:tc>
        <w:tc>
          <w:tcPr>
            <w:tcW w:w="1157" w:type="dxa"/>
            <w:vAlign w:val="bottom"/>
          </w:tcPr>
          <w:p w14:paraId="7296E832" w14:textId="77B3F1ED"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41</w:t>
            </w:r>
          </w:p>
        </w:tc>
        <w:tc>
          <w:tcPr>
            <w:tcW w:w="1157" w:type="dxa"/>
            <w:vAlign w:val="bottom"/>
          </w:tcPr>
          <w:p w14:paraId="2256BD87" w14:textId="51242423"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50</w:t>
            </w:r>
          </w:p>
        </w:tc>
      </w:tr>
      <w:tr w:rsidR="003F261A" w:rsidRPr="00FE5D0C" w14:paraId="43DBA646" w14:textId="77777777" w:rsidTr="003F261A">
        <w:tc>
          <w:tcPr>
            <w:tcW w:w="2547" w:type="dxa"/>
            <w:vAlign w:val="bottom"/>
          </w:tcPr>
          <w:p w14:paraId="5E19C373" w14:textId="77777777" w:rsidR="003F261A" w:rsidRPr="00FE5D0C" w:rsidRDefault="003F261A" w:rsidP="00FE5D0C">
            <w:pPr>
              <w:spacing w:line="360" w:lineRule="auto"/>
            </w:pPr>
            <w:proofErr w:type="spellStart"/>
            <w:r w:rsidRPr="00FE5D0C">
              <w:rPr>
                <w:color w:val="000000"/>
              </w:rPr>
              <w:t>middletemporal</w:t>
            </w:r>
            <w:proofErr w:type="spellEnd"/>
            <w:r w:rsidRPr="00FE5D0C">
              <w:rPr>
                <w:color w:val="000000"/>
              </w:rPr>
              <w:t xml:space="preserve">  </w:t>
            </w:r>
          </w:p>
        </w:tc>
        <w:tc>
          <w:tcPr>
            <w:tcW w:w="873" w:type="dxa"/>
            <w:vAlign w:val="bottom"/>
          </w:tcPr>
          <w:p w14:paraId="1D6BFD67" w14:textId="5FE5B902"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04</w:t>
            </w:r>
          </w:p>
        </w:tc>
        <w:tc>
          <w:tcPr>
            <w:tcW w:w="1108" w:type="dxa"/>
            <w:vAlign w:val="bottom"/>
          </w:tcPr>
          <w:p w14:paraId="52E51E1A" w14:textId="4F1BD45D"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04</w:t>
            </w:r>
          </w:p>
        </w:tc>
        <w:tc>
          <w:tcPr>
            <w:tcW w:w="1110" w:type="dxa"/>
            <w:vAlign w:val="bottom"/>
          </w:tcPr>
          <w:p w14:paraId="3AC0A270" w14:textId="43273862"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95</w:t>
            </w:r>
          </w:p>
        </w:tc>
        <w:tc>
          <w:tcPr>
            <w:tcW w:w="1110" w:type="dxa"/>
            <w:vAlign w:val="bottom"/>
          </w:tcPr>
          <w:p w14:paraId="0B24781C" w14:textId="7EC012EE"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14</w:t>
            </w:r>
          </w:p>
        </w:tc>
        <w:tc>
          <w:tcPr>
            <w:tcW w:w="1157" w:type="dxa"/>
            <w:vAlign w:val="bottom"/>
          </w:tcPr>
          <w:p w14:paraId="11208059" w14:textId="72E389A0"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43</w:t>
            </w:r>
          </w:p>
        </w:tc>
        <w:tc>
          <w:tcPr>
            <w:tcW w:w="1157" w:type="dxa"/>
            <w:vAlign w:val="bottom"/>
          </w:tcPr>
          <w:p w14:paraId="26E89653" w14:textId="5BAF33DA"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51</w:t>
            </w:r>
          </w:p>
        </w:tc>
      </w:tr>
      <w:tr w:rsidR="003F261A" w:rsidRPr="00FE5D0C" w14:paraId="0203EA26" w14:textId="77777777" w:rsidTr="003F261A">
        <w:tc>
          <w:tcPr>
            <w:tcW w:w="2547" w:type="dxa"/>
            <w:vAlign w:val="bottom"/>
          </w:tcPr>
          <w:p w14:paraId="5C86A724" w14:textId="77777777" w:rsidR="003F261A" w:rsidRPr="00FE5D0C" w:rsidRDefault="003F261A" w:rsidP="00FE5D0C">
            <w:pPr>
              <w:spacing w:line="360" w:lineRule="auto"/>
            </w:pPr>
            <w:proofErr w:type="spellStart"/>
            <w:r w:rsidRPr="00FE5D0C">
              <w:rPr>
                <w:color w:val="000000"/>
              </w:rPr>
              <w:t>rostralanteriorcingulate</w:t>
            </w:r>
            <w:proofErr w:type="spellEnd"/>
            <w:r w:rsidRPr="00FE5D0C">
              <w:rPr>
                <w:color w:val="000000"/>
              </w:rPr>
              <w:t xml:space="preserve">  </w:t>
            </w:r>
          </w:p>
        </w:tc>
        <w:tc>
          <w:tcPr>
            <w:tcW w:w="873" w:type="dxa"/>
            <w:vAlign w:val="bottom"/>
          </w:tcPr>
          <w:p w14:paraId="34C6F682" w14:textId="1F9C9AA8"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03</w:t>
            </w:r>
          </w:p>
        </w:tc>
        <w:tc>
          <w:tcPr>
            <w:tcW w:w="1108" w:type="dxa"/>
            <w:vAlign w:val="bottom"/>
          </w:tcPr>
          <w:p w14:paraId="4FEB9851" w14:textId="714D22E8"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03</w:t>
            </w:r>
          </w:p>
        </w:tc>
        <w:tc>
          <w:tcPr>
            <w:tcW w:w="1110" w:type="dxa"/>
            <w:vAlign w:val="bottom"/>
          </w:tcPr>
          <w:p w14:paraId="1C3F3305" w14:textId="571BD9BA"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94</w:t>
            </w:r>
          </w:p>
        </w:tc>
        <w:tc>
          <w:tcPr>
            <w:tcW w:w="1110" w:type="dxa"/>
            <w:vAlign w:val="bottom"/>
          </w:tcPr>
          <w:p w14:paraId="3F950741" w14:textId="5EEEC9A2"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13</w:t>
            </w:r>
          </w:p>
        </w:tc>
        <w:tc>
          <w:tcPr>
            <w:tcW w:w="1157" w:type="dxa"/>
            <w:vAlign w:val="bottom"/>
          </w:tcPr>
          <w:p w14:paraId="53442A8B" w14:textId="49FEF287"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51</w:t>
            </w:r>
          </w:p>
        </w:tc>
        <w:tc>
          <w:tcPr>
            <w:tcW w:w="1157" w:type="dxa"/>
            <w:vAlign w:val="bottom"/>
          </w:tcPr>
          <w:p w14:paraId="7920FFD8" w14:textId="3DA5256C"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59</w:t>
            </w:r>
          </w:p>
        </w:tc>
      </w:tr>
      <w:tr w:rsidR="003F261A" w:rsidRPr="00FE5D0C" w14:paraId="6F31AB13" w14:textId="77777777" w:rsidTr="003F261A">
        <w:tc>
          <w:tcPr>
            <w:tcW w:w="2547" w:type="dxa"/>
            <w:vAlign w:val="bottom"/>
          </w:tcPr>
          <w:p w14:paraId="6B3A5DD6" w14:textId="77777777" w:rsidR="003F261A" w:rsidRPr="00FE5D0C" w:rsidRDefault="003F261A" w:rsidP="00FE5D0C">
            <w:pPr>
              <w:spacing w:line="360" w:lineRule="auto"/>
            </w:pPr>
            <w:r w:rsidRPr="00FE5D0C">
              <w:rPr>
                <w:color w:val="000000"/>
              </w:rPr>
              <w:t xml:space="preserve">frontalpole  </w:t>
            </w:r>
          </w:p>
        </w:tc>
        <w:tc>
          <w:tcPr>
            <w:tcW w:w="873" w:type="dxa"/>
            <w:vAlign w:val="bottom"/>
          </w:tcPr>
          <w:p w14:paraId="392ED720" w14:textId="31D8DD7B"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02</w:t>
            </w:r>
          </w:p>
        </w:tc>
        <w:tc>
          <w:tcPr>
            <w:tcW w:w="1108" w:type="dxa"/>
            <w:vAlign w:val="bottom"/>
          </w:tcPr>
          <w:p w14:paraId="54FFC542" w14:textId="3A1E448D"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98</w:t>
            </w:r>
          </w:p>
        </w:tc>
        <w:tc>
          <w:tcPr>
            <w:tcW w:w="1110" w:type="dxa"/>
            <w:vAlign w:val="bottom"/>
          </w:tcPr>
          <w:p w14:paraId="733F5E9F" w14:textId="39361840"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88</w:t>
            </w:r>
          </w:p>
        </w:tc>
        <w:tc>
          <w:tcPr>
            <w:tcW w:w="1110" w:type="dxa"/>
            <w:vAlign w:val="bottom"/>
          </w:tcPr>
          <w:p w14:paraId="611DFE4F" w14:textId="09455382"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09</w:t>
            </w:r>
          </w:p>
        </w:tc>
        <w:tc>
          <w:tcPr>
            <w:tcW w:w="1157" w:type="dxa"/>
            <w:vAlign w:val="bottom"/>
          </w:tcPr>
          <w:p w14:paraId="56B202FA" w14:textId="1D9B8080"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67</w:t>
            </w:r>
          </w:p>
        </w:tc>
        <w:tc>
          <w:tcPr>
            <w:tcW w:w="1157" w:type="dxa"/>
            <w:vAlign w:val="bottom"/>
          </w:tcPr>
          <w:p w14:paraId="06290857" w14:textId="3D8B0814"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76</w:t>
            </w:r>
          </w:p>
        </w:tc>
      </w:tr>
      <w:tr w:rsidR="003F261A" w:rsidRPr="00FE5D0C" w14:paraId="420E7EA3" w14:textId="77777777" w:rsidTr="003F261A">
        <w:tc>
          <w:tcPr>
            <w:tcW w:w="2547" w:type="dxa"/>
            <w:vAlign w:val="bottom"/>
          </w:tcPr>
          <w:p w14:paraId="5F7CDDF4" w14:textId="77777777" w:rsidR="003F261A" w:rsidRPr="00FE5D0C" w:rsidRDefault="003F261A" w:rsidP="00FE5D0C">
            <w:pPr>
              <w:spacing w:line="360" w:lineRule="auto"/>
            </w:pPr>
            <w:proofErr w:type="spellStart"/>
            <w:r w:rsidRPr="00FE5D0C">
              <w:rPr>
                <w:color w:val="000000"/>
              </w:rPr>
              <w:t>parsorbitalis</w:t>
            </w:r>
            <w:proofErr w:type="spellEnd"/>
            <w:r w:rsidRPr="00FE5D0C">
              <w:rPr>
                <w:color w:val="000000"/>
              </w:rPr>
              <w:t xml:space="preserve">  </w:t>
            </w:r>
          </w:p>
        </w:tc>
        <w:tc>
          <w:tcPr>
            <w:tcW w:w="873" w:type="dxa"/>
            <w:vAlign w:val="bottom"/>
          </w:tcPr>
          <w:p w14:paraId="545BC2C4" w14:textId="39E8F12B"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01</w:t>
            </w:r>
          </w:p>
        </w:tc>
        <w:tc>
          <w:tcPr>
            <w:tcW w:w="1108" w:type="dxa"/>
            <w:vAlign w:val="bottom"/>
          </w:tcPr>
          <w:p w14:paraId="5F4BACF9" w14:textId="108AA7BB"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01</w:t>
            </w:r>
          </w:p>
        </w:tc>
        <w:tc>
          <w:tcPr>
            <w:tcW w:w="1110" w:type="dxa"/>
            <w:vAlign w:val="bottom"/>
          </w:tcPr>
          <w:p w14:paraId="7537A924" w14:textId="77A86043"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92</w:t>
            </w:r>
          </w:p>
        </w:tc>
        <w:tc>
          <w:tcPr>
            <w:tcW w:w="1110" w:type="dxa"/>
            <w:vAlign w:val="bottom"/>
          </w:tcPr>
          <w:p w14:paraId="7360BE5D" w14:textId="3E54FC29"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10</w:t>
            </w:r>
          </w:p>
        </w:tc>
        <w:tc>
          <w:tcPr>
            <w:tcW w:w="1157" w:type="dxa"/>
            <w:vAlign w:val="bottom"/>
          </w:tcPr>
          <w:p w14:paraId="6173F264" w14:textId="73E292FA"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91</w:t>
            </w:r>
          </w:p>
        </w:tc>
        <w:tc>
          <w:tcPr>
            <w:tcW w:w="1157" w:type="dxa"/>
            <w:vAlign w:val="bottom"/>
          </w:tcPr>
          <w:p w14:paraId="3826C2DE" w14:textId="2976C39E"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95</w:t>
            </w:r>
          </w:p>
        </w:tc>
      </w:tr>
      <w:tr w:rsidR="003F261A" w:rsidRPr="00FE5D0C" w14:paraId="1B2572DD" w14:textId="77777777" w:rsidTr="003955BE">
        <w:tc>
          <w:tcPr>
            <w:tcW w:w="2547" w:type="dxa"/>
            <w:vAlign w:val="bottom"/>
          </w:tcPr>
          <w:p w14:paraId="411D11B3" w14:textId="77777777" w:rsidR="003F261A" w:rsidRPr="00FE5D0C" w:rsidRDefault="003F261A" w:rsidP="00FE5D0C">
            <w:pPr>
              <w:spacing w:line="360" w:lineRule="auto"/>
            </w:pPr>
            <w:proofErr w:type="spellStart"/>
            <w:r w:rsidRPr="00FE5D0C">
              <w:rPr>
                <w:color w:val="000000"/>
              </w:rPr>
              <w:t>entorhinal</w:t>
            </w:r>
            <w:proofErr w:type="spellEnd"/>
            <w:r w:rsidRPr="00FE5D0C">
              <w:rPr>
                <w:color w:val="000000"/>
              </w:rPr>
              <w:t xml:space="preserve">  </w:t>
            </w:r>
          </w:p>
        </w:tc>
        <w:tc>
          <w:tcPr>
            <w:tcW w:w="873" w:type="dxa"/>
            <w:vAlign w:val="bottom"/>
          </w:tcPr>
          <w:p w14:paraId="133CDBBE" w14:textId="19ACDD97"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01</w:t>
            </w:r>
          </w:p>
        </w:tc>
        <w:tc>
          <w:tcPr>
            <w:tcW w:w="1108" w:type="dxa"/>
            <w:vAlign w:val="bottom"/>
          </w:tcPr>
          <w:p w14:paraId="20C6C817" w14:textId="606EF5DE"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99</w:t>
            </w:r>
          </w:p>
        </w:tc>
        <w:tc>
          <w:tcPr>
            <w:tcW w:w="1110" w:type="dxa"/>
            <w:vAlign w:val="bottom"/>
          </w:tcPr>
          <w:p w14:paraId="04F6D973" w14:textId="43BAC8E5"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89</w:t>
            </w:r>
          </w:p>
        </w:tc>
        <w:tc>
          <w:tcPr>
            <w:tcW w:w="1110" w:type="dxa"/>
            <w:vAlign w:val="bottom"/>
          </w:tcPr>
          <w:p w14:paraId="0D00C202" w14:textId="49686E7B"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11</w:t>
            </w:r>
          </w:p>
        </w:tc>
        <w:tc>
          <w:tcPr>
            <w:tcW w:w="1157" w:type="dxa"/>
            <w:vAlign w:val="bottom"/>
          </w:tcPr>
          <w:p w14:paraId="711F872A" w14:textId="6759F83F"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92</w:t>
            </w:r>
          </w:p>
        </w:tc>
        <w:tc>
          <w:tcPr>
            <w:tcW w:w="1157" w:type="dxa"/>
            <w:vAlign w:val="bottom"/>
          </w:tcPr>
          <w:p w14:paraId="61913830" w14:textId="5FFB5190"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95</w:t>
            </w:r>
          </w:p>
        </w:tc>
      </w:tr>
      <w:tr w:rsidR="003F261A" w:rsidRPr="00FE5D0C" w14:paraId="5108A5CE" w14:textId="77777777" w:rsidTr="003955BE">
        <w:tc>
          <w:tcPr>
            <w:tcW w:w="2547" w:type="dxa"/>
            <w:tcBorders>
              <w:bottom w:val="single" w:sz="4" w:space="0" w:color="auto"/>
            </w:tcBorders>
            <w:vAlign w:val="bottom"/>
          </w:tcPr>
          <w:p w14:paraId="06B45192" w14:textId="77777777" w:rsidR="003F261A" w:rsidRPr="00FE5D0C" w:rsidRDefault="003F261A" w:rsidP="00FE5D0C">
            <w:pPr>
              <w:spacing w:line="360" w:lineRule="auto"/>
            </w:pPr>
            <w:proofErr w:type="spellStart"/>
            <w:r w:rsidRPr="00FE5D0C">
              <w:rPr>
                <w:color w:val="000000"/>
              </w:rPr>
              <w:t>caudalanteriorcingulate</w:t>
            </w:r>
            <w:proofErr w:type="spellEnd"/>
            <w:r w:rsidRPr="00FE5D0C">
              <w:rPr>
                <w:color w:val="000000"/>
              </w:rPr>
              <w:t xml:space="preserve">  </w:t>
            </w:r>
          </w:p>
        </w:tc>
        <w:tc>
          <w:tcPr>
            <w:tcW w:w="873" w:type="dxa"/>
            <w:tcBorders>
              <w:bottom w:val="single" w:sz="4" w:space="0" w:color="auto"/>
            </w:tcBorders>
            <w:vAlign w:val="bottom"/>
          </w:tcPr>
          <w:p w14:paraId="4EA9F3E1" w14:textId="697B3F21"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00</w:t>
            </w:r>
          </w:p>
        </w:tc>
        <w:tc>
          <w:tcPr>
            <w:tcW w:w="1108" w:type="dxa"/>
            <w:tcBorders>
              <w:bottom w:val="single" w:sz="4" w:space="0" w:color="auto"/>
            </w:tcBorders>
            <w:vAlign w:val="bottom"/>
          </w:tcPr>
          <w:p w14:paraId="68FDCE29" w14:textId="67D2CCBE"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00</w:t>
            </w:r>
          </w:p>
        </w:tc>
        <w:tc>
          <w:tcPr>
            <w:tcW w:w="1110" w:type="dxa"/>
            <w:tcBorders>
              <w:bottom w:val="single" w:sz="4" w:space="0" w:color="auto"/>
            </w:tcBorders>
            <w:vAlign w:val="bottom"/>
          </w:tcPr>
          <w:p w14:paraId="6BDAE969" w14:textId="7718A7D2"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91</w:t>
            </w:r>
          </w:p>
        </w:tc>
        <w:tc>
          <w:tcPr>
            <w:tcW w:w="1110" w:type="dxa"/>
            <w:tcBorders>
              <w:bottom w:val="single" w:sz="4" w:space="0" w:color="auto"/>
            </w:tcBorders>
            <w:vAlign w:val="bottom"/>
          </w:tcPr>
          <w:p w14:paraId="48395E46" w14:textId="62810D4F" w:rsidR="003F261A" w:rsidRPr="00FE5D0C" w:rsidRDefault="003F261A" w:rsidP="00FE5D0C">
            <w:pPr>
              <w:spacing w:line="360" w:lineRule="auto"/>
              <w:jc w:val="right"/>
            </w:pPr>
            <w:r w:rsidRPr="00FE5D0C">
              <w:rPr>
                <w:color w:val="000000"/>
              </w:rPr>
              <w:t>1</w:t>
            </w:r>
            <w:r w:rsidR="00B25685">
              <w:rPr>
                <w:color w:val="000000"/>
              </w:rPr>
              <w:t>.</w:t>
            </w:r>
            <w:r w:rsidRPr="00FE5D0C">
              <w:rPr>
                <w:color w:val="000000"/>
              </w:rPr>
              <w:t>11</w:t>
            </w:r>
          </w:p>
        </w:tc>
        <w:tc>
          <w:tcPr>
            <w:tcW w:w="1157" w:type="dxa"/>
            <w:tcBorders>
              <w:bottom w:val="single" w:sz="4" w:space="0" w:color="auto"/>
            </w:tcBorders>
            <w:vAlign w:val="bottom"/>
          </w:tcPr>
          <w:p w14:paraId="5BE28A74" w14:textId="71A39C95"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95</w:t>
            </w:r>
          </w:p>
        </w:tc>
        <w:tc>
          <w:tcPr>
            <w:tcW w:w="1157" w:type="dxa"/>
            <w:tcBorders>
              <w:bottom w:val="single" w:sz="4" w:space="0" w:color="auto"/>
            </w:tcBorders>
            <w:vAlign w:val="bottom"/>
          </w:tcPr>
          <w:p w14:paraId="1CE67AFB" w14:textId="1A9E8A5C" w:rsidR="003F261A" w:rsidRPr="00FE5D0C" w:rsidRDefault="003F261A" w:rsidP="00FE5D0C">
            <w:pPr>
              <w:spacing w:line="360" w:lineRule="auto"/>
              <w:jc w:val="right"/>
            </w:pPr>
            <w:r w:rsidRPr="00FE5D0C">
              <w:rPr>
                <w:color w:val="000000"/>
              </w:rPr>
              <w:t>0</w:t>
            </w:r>
            <w:r w:rsidR="00B25685">
              <w:rPr>
                <w:color w:val="000000"/>
              </w:rPr>
              <w:t>.</w:t>
            </w:r>
            <w:r w:rsidRPr="00FE5D0C">
              <w:rPr>
                <w:color w:val="000000"/>
              </w:rPr>
              <w:t>95</w:t>
            </w:r>
          </w:p>
        </w:tc>
      </w:tr>
    </w:tbl>
    <w:p w14:paraId="4BB775F6" w14:textId="57CDC0F7" w:rsidR="003F261A" w:rsidRPr="00FE5D0C" w:rsidRDefault="003F261A" w:rsidP="00FE5D0C">
      <w:pPr>
        <w:spacing w:after="0" w:line="360" w:lineRule="auto"/>
        <w:rPr>
          <w:lang w:val="en-US"/>
        </w:rPr>
      </w:pPr>
      <w:r w:rsidRPr="00FE5D0C">
        <w:rPr>
          <w:b/>
          <w:bCs/>
          <w:lang w:val="en-US"/>
        </w:rPr>
        <w:t xml:space="preserve">Supplementary Table </w:t>
      </w:r>
      <w:r w:rsidR="004229AB" w:rsidRPr="00FE5D0C">
        <w:rPr>
          <w:b/>
          <w:bCs/>
          <w:lang w:val="en-US"/>
        </w:rPr>
        <w:t>1</w:t>
      </w:r>
      <w:r w:rsidR="00DC618D" w:rsidRPr="00FE5D0C">
        <w:rPr>
          <w:b/>
          <w:bCs/>
          <w:lang w:val="en-US"/>
        </w:rPr>
        <w:t xml:space="preserve">. </w:t>
      </w:r>
      <w:r w:rsidRPr="00FE5D0C">
        <w:rPr>
          <w:b/>
          <w:bCs/>
          <w:lang w:val="en-US"/>
        </w:rPr>
        <w:t>Exact statistics for volumetric analyses</w:t>
      </w:r>
      <w:r w:rsidR="00441D9A" w:rsidRPr="00FE5D0C">
        <w:rPr>
          <w:b/>
          <w:bCs/>
          <w:lang w:val="en-US"/>
        </w:rPr>
        <w:t xml:space="preserve">. </w:t>
      </w:r>
      <w:r w:rsidRPr="00FE5D0C">
        <w:rPr>
          <w:lang w:val="en-US"/>
        </w:rPr>
        <w:t xml:space="preserve">For each bilateral region of interest, a separate logistic regression model with conservative </w:t>
      </w:r>
      <w:r w:rsidR="006A1562" w:rsidRPr="006A1562">
        <w:rPr>
          <w:lang w:val="en-US"/>
        </w:rPr>
        <w:t xml:space="preserve">stable performers </w:t>
      </w:r>
      <w:r w:rsidRPr="00FE5D0C">
        <w:rPr>
          <w:lang w:val="en-US"/>
        </w:rPr>
        <w:t xml:space="preserve">status as the binary outcome (1 = conservative </w:t>
      </w:r>
      <w:r w:rsidR="006A1562" w:rsidRPr="006A1562">
        <w:rPr>
          <w:lang w:val="en-US"/>
        </w:rPr>
        <w:t>stable performers</w:t>
      </w:r>
      <w:r w:rsidRPr="00FE5D0C">
        <w:rPr>
          <w:lang w:val="en-US"/>
        </w:rPr>
        <w:t>, 0 = lenient non-</w:t>
      </w:r>
      <w:r w:rsidR="006A1562" w:rsidRPr="006A1562">
        <w:rPr>
          <w:lang w:val="en-GB"/>
        </w:rPr>
        <w:t xml:space="preserve"> </w:t>
      </w:r>
      <w:r w:rsidR="006A1562" w:rsidRPr="006A1562">
        <w:rPr>
          <w:lang w:val="en-US"/>
        </w:rPr>
        <w:t>stable performers</w:t>
      </w:r>
      <w:r w:rsidRPr="00FE5D0C">
        <w:rPr>
          <w:lang w:val="en-US"/>
        </w:rPr>
        <w:t xml:space="preserve">) was fitted. The main predictor was the regional annual percent change, and all models were </w:t>
      </w:r>
      <w:r w:rsidRPr="00FE5D0C">
        <w:rPr>
          <w:lang w:val="en-US"/>
        </w:rPr>
        <w:lastRenderedPageBreak/>
        <w:t xml:space="preserve">adjusted for age, sex, and </w:t>
      </w:r>
      <w:proofErr w:type="spellStart"/>
      <w:r w:rsidRPr="00FE5D0C">
        <w:rPr>
          <w:lang w:val="en-US"/>
        </w:rPr>
        <w:t>eTIV</w:t>
      </w:r>
      <w:proofErr w:type="spellEnd"/>
      <w:r w:rsidRPr="00FE5D0C">
        <w:rPr>
          <w:lang w:val="en-US"/>
        </w:rPr>
        <w:t xml:space="preserve"> (all standardized). We used interval weighting, so each participant’s contribution to the likelihood was weighted in proportion to their brain follow-up span, after enforcing a small lower bound so that very short intervals did not receive zero weight. False discovery rate across all regions was controlled using the </w:t>
      </w:r>
      <w:proofErr w:type="spellStart"/>
      <w:r w:rsidRPr="00FE5D0C">
        <w:rPr>
          <w:lang w:val="en-US"/>
        </w:rPr>
        <w:t>Benjamini</w:t>
      </w:r>
      <w:proofErr w:type="spellEnd"/>
      <w:r w:rsidRPr="00FE5D0C">
        <w:rPr>
          <w:lang w:val="en-US"/>
        </w:rPr>
        <w:t xml:space="preserve">–Hochberg procedure with a conventional 5% threshold (q </w:t>
      </w:r>
      <w:proofErr w:type="spellStart"/>
      <w:r w:rsidRPr="00FE5D0C">
        <w:rPr>
          <w:lang w:val="en-US"/>
        </w:rPr>
        <w:t>bh</w:t>
      </w:r>
      <w:proofErr w:type="spellEnd"/>
      <w:r w:rsidRPr="00FE5D0C">
        <w:rPr>
          <w:lang w:val="en-US"/>
        </w:rPr>
        <w:t xml:space="preserve">). </w:t>
      </w:r>
    </w:p>
    <w:p w14:paraId="7FC9BE70" w14:textId="77777777" w:rsidR="00DC618D" w:rsidRPr="00FE5D0C" w:rsidRDefault="00DC618D" w:rsidP="00FE5D0C">
      <w:pPr>
        <w:spacing w:after="0" w:line="360" w:lineRule="auto"/>
        <w:rPr>
          <w:lang w:val="en-US"/>
        </w:rPr>
      </w:pPr>
    </w:p>
    <w:p w14:paraId="28F8BDD9" w14:textId="654605D3" w:rsidR="00DC618D" w:rsidRPr="00FE5D0C" w:rsidRDefault="006B594B" w:rsidP="00FE5D0C">
      <w:pPr>
        <w:spacing w:after="0" w:line="360" w:lineRule="auto"/>
        <w:rPr>
          <w:lang w:val="en-US"/>
        </w:rPr>
      </w:pPr>
      <w:r w:rsidRPr="00FE5D0C">
        <w:rPr>
          <w:noProof/>
          <w:lang w:val="en-US"/>
        </w:rPr>
        <w:drawing>
          <wp:inline distT="0" distB="0" distL="0" distR="0" wp14:anchorId="4A5A4F8F" wp14:editId="7F402573">
            <wp:extent cx="5760720" cy="1646555"/>
            <wp:effectExtent l="0" t="0" r="0" b="0"/>
            <wp:docPr id="370738220"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738220" name=""/>
                    <pic:cNvPicPr/>
                  </pic:nvPicPr>
                  <pic:blipFill>
                    <a:blip r:embed="rId18"/>
                    <a:stretch>
                      <a:fillRect/>
                    </a:stretch>
                  </pic:blipFill>
                  <pic:spPr>
                    <a:xfrm>
                      <a:off x="0" y="0"/>
                      <a:ext cx="5760720" cy="1646555"/>
                    </a:xfrm>
                    <a:prstGeom prst="rect">
                      <a:avLst/>
                    </a:prstGeom>
                  </pic:spPr>
                </pic:pic>
              </a:graphicData>
            </a:graphic>
          </wp:inline>
        </w:drawing>
      </w:r>
    </w:p>
    <w:p w14:paraId="6A540773" w14:textId="3474D3BD" w:rsidR="00DC618D" w:rsidRPr="00FE5D0C" w:rsidRDefault="00DC618D" w:rsidP="00FE5D0C">
      <w:pPr>
        <w:spacing w:after="0" w:line="360" w:lineRule="auto"/>
        <w:rPr>
          <w:lang w:val="en-US"/>
        </w:rPr>
      </w:pPr>
      <w:r w:rsidRPr="00FE5D0C">
        <w:rPr>
          <w:b/>
          <w:bCs/>
          <w:lang w:val="en-US"/>
        </w:rPr>
        <w:t xml:space="preserve">Supplementary Figure </w:t>
      </w:r>
      <w:r w:rsidR="004229AB" w:rsidRPr="00FE5D0C">
        <w:rPr>
          <w:b/>
          <w:bCs/>
          <w:lang w:val="en-US"/>
        </w:rPr>
        <w:t>12</w:t>
      </w:r>
      <w:r w:rsidRPr="00FE5D0C">
        <w:rPr>
          <w:b/>
          <w:bCs/>
          <w:lang w:val="en-US"/>
        </w:rPr>
        <w:t>. Regional distribution of odds ratio results.</w:t>
      </w:r>
      <w:r w:rsidRPr="00FE5D0C">
        <w:rPr>
          <w:lang w:val="en-US"/>
        </w:rPr>
        <w:t xml:space="preserve"> The figure shows the ORs pr region, identical to what is presented in the </w:t>
      </w:r>
      <w:r w:rsidR="006B594B" w:rsidRPr="00FE5D0C">
        <w:rPr>
          <w:lang w:val="en-US"/>
        </w:rPr>
        <w:t>forest</w:t>
      </w:r>
      <w:r w:rsidRPr="00FE5D0C">
        <w:rPr>
          <w:lang w:val="en-US"/>
        </w:rPr>
        <w:t xml:space="preserve"> plot in </w:t>
      </w:r>
      <w:r w:rsidR="001B2735">
        <w:rPr>
          <w:lang w:val="en-US"/>
        </w:rPr>
        <w:t>F</w:t>
      </w:r>
      <w:r w:rsidRPr="00FE5D0C">
        <w:rPr>
          <w:lang w:val="en-US"/>
        </w:rPr>
        <w:t xml:space="preserve">igure </w:t>
      </w:r>
      <w:r w:rsidR="001B2735">
        <w:rPr>
          <w:lang w:val="en-US"/>
        </w:rPr>
        <w:t>4</w:t>
      </w:r>
      <w:r w:rsidRPr="00FE5D0C">
        <w:rPr>
          <w:lang w:val="en-US"/>
        </w:rPr>
        <w:t xml:space="preserve"> in the main manuscript.</w:t>
      </w:r>
      <w:r w:rsidR="002033C7" w:rsidRPr="00FE5D0C">
        <w:rPr>
          <w:lang w:val="en-US"/>
        </w:rPr>
        <w:t xml:space="preserve"> The annual percent volume change was averaged across hemispheres, and the results bare displayed on the right hemisphere for convenience.</w:t>
      </w:r>
      <w:r w:rsidR="000B60E4" w:rsidRPr="000B60E4">
        <w:rPr>
          <w:lang w:val="en-US"/>
        </w:rPr>
        <w:t xml:space="preserve"> Inferior lateral ventricles are not shown.</w:t>
      </w:r>
      <w:r w:rsidR="000B60E4">
        <w:rPr>
          <w:lang w:val="en-US"/>
        </w:rPr>
        <w:t xml:space="preserve"> The figures is created using </w:t>
      </w:r>
      <w:proofErr w:type="spellStart"/>
      <w:r w:rsidR="000B60E4" w:rsidRPr="0073304A">
        <w:rPr>
          <w:i/>
          <w:iCs/>
          <w:lang w:val="en-US"/>
        </w:rPr>
        <w:t>ggseg</w:t>
      </w:r>
      <w:proofErr w:type="spellEnd"/>
      <w:r w:rsidR="000B60E4" w:rsidRPr="0073304A">
        <w:rPr>
          <w:i/>
          <w:iCs/>
          <w:lang w:val="en-US"/>
        </w:rPr>
        <w:t xml:space="preserve"> software</w:t>
      </w:r>
      <w:r w:rsidR="000B60E4">
        <w:rPr>
          <w:i/>
          <w:iCs/>
          <w:lang w:val="en-US"/>
        </w:rPr>
        <w:t xml:space="preserve"> </w:t>
      </w:r>
      <w:r w:rsidR="000B60E4">
        <w:rPr>
          <w:i/>
          <w:iCs/>
          <w:lang w:val="en-US"/>
        </w:rPr>
        <w:fldChar w:fldCharType="begin"/>
      </w:r>
      <w:r w:rsidR="000B60E4">
        <w:rPr>
          <w:i/>
          <w:iCs/>
          <w:lang w:val="en-US"/>
        </w:rPr>
        <w:instrText xml:space="preserve"> ADDIN EN.CITE &lt;EndNote&gt;&lt;Cite&gt;&lt;Author&gt;Mowinckel&lt;/Author&gt;&lt;Year&gt;2020&lt;/Year&gt;&lt;RecNum&gt;66&lt;/RecNum&gt;&lt;DisplayText&gt;(21)&lt;/DisplayText&gt;&lt;record&gt;&lt;rec-number&gt;66&lt;/rec-number&gt;&lt;foreign-keys&gt;&lt;key app="EN" db-id="pr0r25tt50as2tew9t850p2yxv0rrs2zwvd5" timestamp="1764661205"&gt;66&lt;/key&gt;&lt;/foreign-keys&gt;&lt;ref-type name="Journal Article"&gt;17&lt;/ref-type&gt;&lt;contributors&gt;&lt;authors&gt;&lt;author&gt;Mowinckel, A. M.&lt;/author&gt;&lt;author&gt;Vidal-Pineiro, D.&lt;/author&gt;&lt;/authors&gt;&lt;/contributors&gt;&lt;titles&gt;&lt;title&gt;Visualisation of Brain Statistics with R-packages ggseg and ggseg3d&lt;/title&gt;&lt;secondary-title&gt;Advances in Methods and Practices in Psychological Science&lt;/secondary-title&gt;&lt;/titles&gt;&lt;periodical&gt;&lt;full-title&gt;Advances in Methods and Practices in Psychological Science&lt;/full-title&gt;&lt;/periodical&gt;&lt;pages&gt;466-483&lt;/pages&gt;&lt;volume&gt;3&lt;/volume&gt;&lt;number&gt;4&lt;/number&gt;&lt;section&gt;466&lt;/section&gt;&lt;dates&gt;&lt;year&gt;2020&lt;/year&gt;&lt;/dates&gt;&lt;urls&gt;&lt;/urls&gt;&lt;electronic-resource-num&gt;10.1177/2515245920928009&lt;/electronic-resource-num&gt;&lt;/record&gt;&lt;/Cite&gt;&lt;/EndNote&gt;</w:instrText>
      </w:r>
      <w:r w:rsidR="000B60E4">
        <w:rPr>
          <w:i/>
          <w:iCs/>
          <w:lang w:val="en-US"/>
        </w:rPr>
        <w:fldChar w:fldCharType="separate"/>
      </w:r>
      <w:r w:rsidR="000B60E4">
        <w:rPr>
          <w:i/>
          <w:iCs/>
          <w:noProof/>
          <w:lang w:val="en-US"/>
        </w:rPr>
        <w:t>(21)</w:t>
      </w:r>
      <w:r w:rsidR="000B60E4">
        <w:rPr>
          <w:i/>
          <w:iCs/>
          <w:lang w:val="en-US"/>
        </w:rPr>
        <w:fldChar w:fldCharType="end"/>
      </w:r>
      <w:r w:rsidR="000B60E4" w:rsidRPr="0073304A">
        <w:rPr>
          <w:i/>
          <w:iCs/>
          <w:lang w:val="en-US"/>
        </w:rPr>
        <w:t>.</w:t>
      </w:r>
    </w:p>
    <w:p w14:paraId="008C49B0" w14:textId="77777777" w:rsidR="002A3D40" w:rsidRPr="00FE5D0C" w:rsidRDefault="002A3D40" w:rsidP="00FE5D0C">
      <w:pPr>
        <w:spacing w:after="0" w:line="360" w:lineRule="auto"/>
        <w:rPr>
          <w:lang w:val="en-US"/>
        </w:rPr>
      </w:pPr>
    </w:p>
    <w:p w14:paraId="3E80D148" w14:textId="111A6C09" w:rsidR="002A3D40" w:rsidRPr="00FE5D0C" w:rsidRDefault="002A3D40" w:rsidP="00FE5D0C">
      <w:pPr>
        <w:spacing w:after="0" w:line="360" w:lineRule="auto"/>
        <w:rPr>
          <w:b/>
          <w:bCs/>
          <w:lang w:val="en-US"/>
        </w:rPr>
      </w:pPr>
      <w:r w:rsidRPr="00FE5D0C">
        <w:rPr>
          <w:b/>
          <w:bCs/>
          <w:noProof/>
          <w:lang w:val="en-US"/>
        </w:rPr>
        <w:lastRenderedPageBreak/>
        <w:drawing>
          <wp:inline distT="0" distB="0" distL="0" distR="0" wp14:anchorId="3DAF4E24" wp14:editId="383A1038">
            <wp:extent cx="4839150" cy="6775450"/>
            <wp:effectExtent l="0" t="0" r="0" b="6350"/>
            <wp:docPr id="831838272" name="Bilde 9" descr="Et bilde som inneholder tekst, skjermbilde, dokumen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838272" name="Bilde 9" descr="Et bilde som inneholder tekst, skjermbilde, dokument&#10;&#10;KI-generert innhold kan være feil."/>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44170" cy="6782479"/>
                    </a:xfrm>
                    <a:prstGeom prst="rect">
                      <a:avLst/>
                    </a:prstGeom>
                  </pic:spPr>
                </pic:pic>
              </a:graphicData>
            </a:graphic>
          </wp:inline>
        </w:drawing>
      </w:r>
    </w:p>
    <w:p w14:paraId="3B760300" w14:textId="1DB55882" w:rsidR="002A3D40" w:rsidRPr="00FE5D0C" w:rsidRDefault="002A3D40" w:rsidP="00FE5D0C">
      <w:pPr>
        <w:spacing w:after="0" w:line="360" w:lineRule="auto"/>
        <w:rPr>
          <w:lang w:val="en-US"/>
        </w:rPr>
      </w:pPr>
      <w:r w:rsidRPr="00FE5D0C">
        <w:rPr>
          <w:b/>
          <w:bCs/>
          <w:lang w:val="en-US"/>
        </w:rPr>
        <w:t xml:space="preserve">Supplementary Figure </w:t>
      </w:r>
      <w:r w:rsidR="004229AB" w:rsidRPr="00FE5D0C">
        <w:rPr>
          <w:b/>
          <w:bCs/>
          <w:lang w:val="en-US"/>
        </w:rPr>
        <w:t>13</w:t>
      </w:r>
      <w:r w:rsidRPr="00FE5D0C">
        <w:rPr>
          <w:b/>
          <w:bCs/>
          <w:lang w:val="en-US"/>
        </w:rPr>
        <w:t xml:space="preserve">. Brain volume levels in </w:t>
      </w:r>
      <w:r w:rsidR="006A1562" w:rsidRPr="006A1562">
        <w:rPr>
          <w:b/>
          <w:bCs/>
          <w:lang w:val="en-US"/>
        </w:rPr>
        <w:t xml:space="preserve">stable performers </w:t>
      </w:r>
      <w:r w:rsidRPr="00FE5D0C">
        <w:rPr>
          <w:b/>
          <w:bCs/>
          <w:lang w:val="en-US"/>
        </w:rPr>
        <w:t>versus non-</w:t>
      </w:r>
      <w:r w:rsidR="006A1562" w:rsidRPr="006A1562">
        <w:rPr>
          <w:lang w:val="en-GB"/>
        </w:rPr>
        <w:t xml:space="preserve"> </w:t>
      </w:r>
      <w:r w:rsidR="006A1562" w:rsidRPr="006A1562">
        <w:rPr>
          <w:b/>
          <w:bCs/>
          <w:lang w:val="en-US"/>
        </w:rPr>
        <w:t>stable performers</w:t>
      </w:r>
      <w:r w:rsidRPr="00FE5D0C">
        <w:rPr>
          <w:b/>
          <w:bCs/>
          <w:lang w:val="en-US"/>
        </w:rPr>
        <w:t>.</w:t>
      </w:r>
      <w:r w:rsidR="00441D9A" w:rsidRPr="00FE5D0C">
        <w:rPr>
          <w:b/>
          <w:bCs/>
          <w:lang w:val="en-US"/>
        </w:rPr>
        <w:t xml:space="preserve"> </w:t>
      </w:r>
      <w:r w:rsidRPr="00FE5D0C">
        <w:rPr>
          <w:lang w:val="en-US"/>
        </w:rPr>
        <w:t xml:space="preserve">Odds ratios (ORs) with 95% confidence intervals from univariate logistic regression models relating bilateral regional brain volume levels to conservative </w:t>
      </w:r>
      <w:r w:rsidR="006A1562" w:rsidRPr="006A1562">
        <w:rPr>
          <w:lang w:val="en-US"/>
        </w:rPr>
        <w:t xml:space="preserve">stable performers </w:t>
      </w:r>
      <w:r w:rsidRPr="00FE5D0C">
        <w:rPr>
          <w:lang w:val="en-US"/>
        </w:rPr>
        <w:t xml:space="preserve">status. Each point represents the OR associated with a 1 SD higher bilateral volume </w:t>
      </w:r>
      <w:proofErr w:type="gramStart"/>
      <w:r w:rsidRPr="00FE5D0C">
        <w:rPr>
          <w:lang w:val="en-US"/>
        </w:rPr>
        <w:t>in a given</w:t>
      </w:r>
      <w:proofErr w:type="gramEnd"/>
      <w:r w:rsidRPr="00FE5D0C">
        <w:rPr>
          <w:lang w:val="en-US"/>
        </w:rPr>
        <w:t xml:space="preserve"> region, comparing conservative </w:t>
      </w:r>
      <w:r w:rsidR="006A1562" w:rsidRPr="006A1562">
        <w:rPr>
          <w:lang w:val="en-US"/>
        </w:rPr>
        <w:t xml:space="preserve">stable performers </w:t>
      </w:r>
      <w:r w:rsidRPr="00FE5D0C">
        <w:rPr>
          <w:lang w:val="en-US"/>
        </w:rPr>
        <w:t>to lenient non-</w:t>
      </w:r>
      <w:r w:rsidR="006A1562" w:rsidRPr="006A1562">
        <w:rPr>
          <w:lang w:val="en-GB"/>
        </w:rPr>
        <w:t xml:space="preserve"> </w:t>
      </w:r>
      <w:r w:rsidR="006A1562" w:rsidRPr="006A1562">
        <w:rPr>
          <w:lang w:val="en-US"/>
        </w:rPr>
        <w:t>stable performers</w:t>
      </w:r>
      <w:r w:rsidRPr="00FE5D0C">
        <w:rPr>
          <w:lang w:val="en-US"/>
        </w:rPr>
        <w:t xml:space="preserve">. Analyses were restricted to the same participants as in the main brain-change (slope) analysis. For each region, a robust intercept and median-age level were estimated from Theil–Sen regression, and these median-age levels were z-standardized across participants. Logistic models were then fit </w:t>
      </w:r>
      <w:r w:rsidRPr="00FE5D0C">
        <w:rPr>
          <w:lang w:val="en-US"/>
        </w:rPr>
        <w:lastRenderedPageBreak/>
        <w:t xml:space="preserve">separately for each region, with </w:t>
      </w:r>
      <w:r w:rsidR="006A1562" w:rsidRPr="006A1562">
        <w:rPr>
          <w:lang w:val="en-US"/>
        </w:rPr>
        <w:t xml:space="preserve">stable performers </w:t>
      </w:r>
      <w:r w:rsidRPr="00FE5D0C">
        <w:rPr>
          <w:lang w:val="en-US"/>
        </w:rPr>
        <w:t xml:space="preserve">status (1 = conservative </w:t>
      </w:r>
      <w:r w:rsidR="006A1562" w:rsidRPr="006A1562">
        <w:rPr>
          <w:lang w:val="en-US"/>
        </w:rPr>
        <w:t>stable performers</w:t>
      </w:r>
      <w:r w:rsidRPr="00FE5D0C">
        <w:rPr>
          <w:lang w:val="en-US"/>
        </w:rPr>
        <w:t>, 0 = lenient non-</w:t>
      </w:r>
      <w:r w:rsidR="006A1562" w:rsidRPr="006A1562">
        <w:rPr>
          <w:lang w:val="en-GB"/>
        </w:rPr>
        <w:t xml:space="preserve"> </w:t>
      </w:r>
      <w:r w:rsidR="006A1562" w:rsidRPr="006A1562">
        <w:rPr>
          <w:lang w:val="en-US"/>
        </w:rPr>
        <w:t>stable performers</w:t>
      </w:r>
      <w:r w:rsidRPr="00FE5D0C">
        <w:rPr>
          <w:lang w:val="en-US"/>
        </w:rPr>
        <w:t xml:space="preserve">) as the outcome and the regional level (per +1 SD), age at the midpoint of brain follow-up, sex, and estimated total intracranial volume as predictors. Odds ratios &gt; 1 indicate higher odds of being a </w:t>
      </w:r>
      <w:proofErr w:type="gramStart"/>
      <w:r w:rsidRPr="00FE5D0C">
        <w:rPr>
          <w:lang w:val="en-US"/>
        </w:rPr>
        <w:t xml:space="preserve">conservative </w:t>
      </w:r>
      <w:r w:rsidR="006A1562" w:rsidRPr="006A1562">
        <w:rPr>
          <w:lang w:val="en-US"/>
        </w:rPr>
        <w:t>stable performers</w:t>
      </w:r>
      <w:proofErr w:type="gramEnd"/>
      <w:r w:rsidR="006A1562" w:rsidRPr="006A1562">
        <w:rPr>
          <w:lang w:val="en-US"/>
        </w:rPr>
        <w:t xml:space="preserve"> </w:t>
      </w:r>
      <w:r w:rsidRPr="00FE5D0C">
        <w:rPr>
          <w:lang w:val="en-US"/>
        </w:rPr>
        <w:t>with larger regional volume; odds ratios &lt; 1 indicate higher odds of being a non-</w:t>
      </w:r>
      <w:r w:rsidR="006A1562" w:rsidRPr="006A1562">
        <w:rPr>
          <w:lang w:val="en-GB"/>
        </w:rPr>
        <w:t xml:space="preserve"> </w:t>
      </w:r>
      <w:r w:rsidR="006A1562" w:rsidRPr="006A1562">
        <w:rPr>
          <w:lang w:val="en-US"/>
        </w:rPr>
        <w:t xml:space="preserve">stable performers </w:t>
      </w:r>
      <w:r w:rsidRPr="00FE5D0C">
        <w:rPr>
          <w:lang w:val="en-US"/>
        </w:rPr>
        <w:t>with larger volume. The x-axis is on a logarithmic scale from 0.5 to 1.9. No regions survived false discovery rate control at q &lt; .05 (</w:t>
      </w:r>
      <w:proofErr w:type="spellStart"/>
      <w:r w:rsidRPr="00FE5D0C">
        <w:rPr>
          <w:lang w:val="en-US"/>
        </w:rPr>
        <w:t>Benjamini</w:t>
      </w:r>
      <w:proofErr w:type="spellEnd"/>
      <w:r w:rsidRPr="00FE5D0C">
        <w:rPr>
          <w:lang w:val="en-US"/>
        </w:rPr>
        <w:t>–Hochberg) across all 44 bilateral subcortical and cortical regions. This figure complements the main-text slope analysis.</w:t>
      </w:r>
    </w:p>
    <w:p w14:paraId="63F019A5" w14:textId="77777777" w:rsidR="002A3D40" w:rsidRPr="00FE5D0C" w:rsidRDefault="002A3D40" w:rsidP="00FE5D0C">
      <w:pPr>
        <w:spacing w:after="0" w:line="360" w:lineRule="auto"/>
        <w:rPr>
          <w:b/>
          <w:bCs/>
          <w:lang w:val="en-US"/>
        </w:rPr>
      </w:pPr>
    </w:p>
    <w:p w14:paraId="215A6A71" w14:textId="68C65756" w:rsidR="00B07203" w:rsidRPr="00FE5D0C" w:rsidRDefault="002D6791" w:rsidP="00FE5D0C">
      <w:pPr>
        <w:spacing w:after="0" w:line="360" w:lineRule="auto"/>
        <w:rPr>
          <w:b/>
          <w:bCs/>
          <w:lang w:val="en-US"/>
        </w:rPr>
      </w:pPr>
      <w:r w:rsidRPr="00FE5D0C">
        <w:rPr>
          <w:b/>
          <w:bCs/>
          <w:lang w:val="en-US"/>
        </w:rPr>
        <w:t xml:space="preserve">Section 7: </w:t>
      </w:r>
      <w:r w:rsidR="00D055A2" w:rsidRPr="00FE5D0C">
        <w:rPr>
          <w:b/>
          <w:bCs/>
          <w:lang w:val="en-US"/>
        </w:rPr>
        <w:t xml:space="preserve">Robustness checks for analyses of what characterizes </w:t>
      </w:r>
      <w:r w:rsidR="006A1562" w:rsidRPr="006A1562">
        <w:rPr>
          <w:b/>
          <w:bCs/>
          <w:lang w:val="en-US"/>
        </w:rPr>
        <w:t>stable performers</w:t>
      </w:r>
    </w:p>
    <w:p w14:paraId="2D77ED38" w14:textId="7B1D2A3F" w:rsidR="00D055A2" w:rsidRPr="00FE5D0C" w:rsidRDefault="00D055A2" w:rsidP="009D0416">
      <w:pPr>
        <w:spacing w:after="0" w:line="360" w:lineRule="auto"/>
        <w:rPr>
          <w:lang w:val="en-GB"/>
        </w:rPr>
      </w:pPr>
      <w:r w:rsidRPr="00FE5D0C">
        <w:rPr>
          <w:lang w:val="en-GB"/>
        </w:rPr>
        <w:t xml:space="preserve">As a comparability check, we re-ran all univariate models without weights (full results in SI). Effect sizes were essentially identical across approaches (correlation of log-ORs: r = 0.995), and every variable that was significant in the unweighted analysis also remained significant with weighting, while the weighted analysis identified a small number of additional, borderline associations. Thus, weighting improved sensitivity to signals in the minority class without changing the substantive pattern of effects. </w:t>
      </w:r>
    </w:p>
    <w:p w14:paraId="6CD4577B" w14:textId="77777777" w:rsidR="00D055A2" w:rsidRPr="00FE5D0C" w:rsidRDefault="00D055A2" w:rsidP="009D0416">
      <w:pPr>
        <w:spacing w:after="0" w:line="360" w:lineRule="auto"/>
        <w:rPr>
          <w:lang w:val="en-GB"/>
        </w:rPr>
      </w:pPr>
    </w:p>
    <w:p w14:paraId="292CF73B" w14:textId="77777777" w:rsidR="00D055A2" w:rsidRPr="00FE5D0C" w:rsidRDefault="00D055A2" w:rsidP="009D0416">
      <w:pPr>
        <w:spacing w:after="0" w:line="360" w:lineRule="auto"/>
        <w:rPr>
          <w:lang w:val="en-GB"/>
        </w:rPr>
      </w:pPr>
      <w:r w:rsidRPr="00FE5D0C">
        <w:rPr>
          <w:lang w:val="en-GB"/>
        </w:rPr>
        <w:t>To assess whether variable missingness affected conclusions, we re-estimated all age-adjusted univariate models restricting predictors to those with ≤20% missing data. Effect sizes were virtually unchanged (correlation of log-odds ratios with the main analysis: r = 1.000), indicating that missingness did not bias estimates. Further, re-estimating all univariate models after standardizing continuous predictors within sex yielded highly concordant effect sizes (</w:t>
      </w:r>
      <w:r w:rsidRPr="00FE5D0C">
        <w:t>β</w:t>
      </w:r>
      <w:r w:rsidRPr="00FE5D0C">
        <w:rPr>
          <w:lang w:val="en-GB"/>
        </w:rPr>
        <w:t xml:space="preserve"> correlation = 0.985).</w:t>
      </w:r>
    </w:p>
    <w:p w14:paraId="5FCE8607" w14:textId="77777777" w:rsidR="00D055A2" w:rsidRPr="00FE5D0C" w:rsidRDefault="00D055A2" w:rsidP="009D0416">
      <w:pPr>
        <w:spacing w:after="0" w:line="360" w:lineRule="auto"/>
        <w:rPr>
          <w:lang w:val="en-GB"/>
        </w:rPr>
      </w:pPr>
    </w:p>
    <w:p w14:paraId="1D5778BF" w14:textId="5CD49799" w:rsidR="00D055A2" w:rsidRPr="00FE5D0C" w:rsidRDefault="00D055A2" w:rsidP="009D0416">
      <w:pPr>
        <w:spacing w:after="0" w:line="360" w:lineRule="auto"/>
        <w:rPr>
          <w:lang w:val="en-US"/>
        </w:rPr>
      </w:pPr>
      <w:r w:rsidRPr="00FE5D0C">
        <w:rPr>
          <w:lang w:val="en-US"/>
        </w:rPr>
        <w:t xml:space="preserve">The negative association between numeracy (percentage) and being a </w:t>
      </w:r>
      <w:r w:rsidR="006A1562" w:rsidRPr="006A1562">
        <w:rPr>
          <w:lang w:val="en-US"/>
        </w:rPr>
        <w:t>stable performer</w:t>
      </w:r>
      <w:r w:rsidRPr="00FE5D0C">
        <w:rPr>
          <w:lang w:val="en-US"/>
        </w:rPr>
        <w:t xml:space="preserve">, combined with the positive association between numeracy (subtraction) and being a </w:t>
      </w:r>
      <w:r w:rsidR="006A1562" w:rsidRPr="006A1562">
        <w:rPr>
          <w:lang w:val="en-US"/>
        </w:rPr>
        <w:t>stable performer</w:t>
      </w:r>
      <w:r w:rsidR="006A1562">
        <w:rPr>
          <w:lang w:val="en-US"/>
        </w:rPr>
        <w:t xml:space="preserve"> </w:t>
      </w:r>
      <w:r w:rsidRPr="00FE5D0C">
        <w:rPr>
          <w:lang w:val="en-US"/>
        </w:rPr>
        <w:t xml:space="preserve">in the univariate analysis, was puzzling. The subtraction test was introduced in SHARE wave 3 and has limited amount of variation in scores at young ages, with substantial ceiling effects; more than 50% of the sample below age 80 years gets the highest possible score on the test. In a post hoc model including both numeracy measures and age, the percentage numeracy score was negatively related to </w:t>
      </w:r>
      <w:r w:rsidR="003D39FE" w:rsidRPr="003D39FE">
        <w:rPr>
          <w:lang w:val="en-US"/>
        </w:rPr>
        <w:t xml:space="preserve">stable performers </w:t>
      </w:r>
      <w:r w:rsidRPr="00FE5D0C">
        <w:rPr>
          <w:lang w:val="en-US"/>
        </w:rPr>
        <w:t xml:space="preserve">status (β = −0.124 ± 0.016; OR per +1 SD ≈ 0.88, p &lt; 4e−14), whereas the subtraction numeracy was positively related (β = 0.075 ± 0.017; OR ≈ 1.08, p ≈ 1.7e−05). The scores were positively correlated (Pearson’s r </w:t>
      </w:r>
      <w:r w:rsidRPr="00FE5D0C">
        <w:rPr>
          <w:lang w:val="en-GB"/>
        </w:rPr>
        <w:t>≈</w:t>
      </w:r>
      <w:r w:rsidRPr="00FE5D0C">
        <w:rPr>
          <w:lang w:val="en-US"/>
        </w:rPr>
        <w:t xml:space="preserve"> .38, Spearman </w:t>
      </w:r>
      <w:r w:rsidRPr="00FE5D0C">
        <w:rPr>
          <w:lang w:val="en-GB"/>
        </w:rPr>
        <w:t>≈</w:t>
      </w:r>
      <w:r w:rsidRPr="00FE5D0C">
        <w:rPr>
          <w:lang w:val="en-US"/>
        </w:rPr>
        <w:t xml:space="preserve"> 0.35), and both correlated negatively with age (Pearson’s r </w:t>
      </w:r>
      <w:r w:rsidRPr="00FE5D0C">
        <w:rPr>
          <w:lang w:val="en-GB"/>
        </w:rPr>
        <w:t>≈</w:t>
      </w:r>
      <w:r w:rsidRPr="00FE5D0C">
        <w:rPr>
          <w:lang w:val="en-US"/>
        </w:rPr>
        <w:t xml:space="preserve"> -.16 and -.17, respectively) and positively with ISCED education (Pearson’s r </w:t>
      </w:r>
      <w:r w:rsidRPr="00FE5D0C">
        <w:rPr>
          <w:lang w:val="en-GB"/>
        </w:rPr>
        <w:t>≈</w:t>
      </w:r>
      <w:r w:rsidRPr="00FE5D0C">
        <w:rPr>
          <w:lang w:val="en-US"/>
        </w:rPr>
        <w:t xml:space="preserve"> .40 and .34, respectively). The </w:t>
      </w:r>
      <w:r w:rsidRPr="00FE5D0C">
        <w:rPr>
          <w:lang w:val="en-US"/>
        </w:rPr>
        <w:lastRenderedPageBreak/>
        <w:t xml:space="preserve">effects persisted with education in the model (ORs ≈ 0.87 and ≈ 1.07, respectively). The general pattern replicated across different coding and data extraction schemes, within 10-year age-groups, in sex- and education-stratified analyses, and when running a joint model forcing both numeracy variables in, thereby controlling for each other, the opposite directions still existed (percentage OR = 0.88, subtraction OR = 1.08). Hence, although unexpected, the results suggest construct differences between the subtraction and the percentage tests - they share variance (positive correlation), but the unique parts push odds in opposite directions. </w:t>
      </w:r>
    </w:p>
    <w:p w14:paraId="513D8957" w14:textId="77777777" w:rsidR="00E50AAF" w:rsidRPr="00FE5D0C" w:rsidRDefault="00E50AAF" w:rsidP="00FE5D0C">
      <w:pPr>
        <w:spacing w:after="0" w:line="360" w:lineRule="auto"/>
        <w:rPr>
          <w:b/>
          <w:bCs/>
          <w:lang w:val="en-US"/>
        </w:rPr>
      </w:pPr>
    </w:p>
    <w:p w14:paraId="482B0854" w14:textId="7E8A1D10" w:rsidR="00894099" w:rsidRPr="00FE5D0C" w:rsidRDefault="00894099" w:rsidP="00FE5D0C">
      <w:pPr>
        <w:spacing w:after="0" w:line="360" w:lineRule="auto"/>
        <w:rPr>
          <w:b/>
          <w:bCs/>
          <w:lang w:val="en-US"/>
        </w:rPr>
      </w:pPr>
      <w:r w:rsidRPr="00FE5D0C">
        <w:rPr>
          <w:lang w:val="en-GB"/>
        </w:rPr>
        <w:t xml:space="preserve">To assess the joint predictive value of the candidate factors, we fit an age-adjusted elastic-net logistic regression with simple median/mode imputation for missingness, yielding modest but above chance discrimination (AUC = 0.614, CI: 0.606-0.622) (Figure 9). Four variables were retained with significant associations in the maximum likelihood estimation logistic regression refit used for inference: </w:t>
      </w:r>
      <w:r w:rsidR="006A1562" w:rsidRPr="006A1562">
        <w:rPr>
          <w:lang w:val="en-GB"/>
        </w:rPr>
        <w:t xml:space="preserve">stable performers </w:t>
      </w:r>
      <w:r w:rsidRPr="00FE5D0C">
        <w:rPr>
          <w:lang w:val="en-GB"/>
        </w:rPr>
        <w:t>had better orientation performance (OR = 1.08 per +1 SD, 95% CI 1.04–1.12, p = 4.8×10</w:t>
      </w:r>
      <w:r w:rsidRPr="00FE5D0C">
        <w:rPr>
          <w:rFonts w:ascii="Cambria Math" w:hAnsi="Cambria Math" w:cs="Cambria Math"/>
          <w:lang w:val="en-GB"/>
        </w:rPr>
        <w:t>⁻</w:t>
      </w:r>
      <w:r w:rsidRPr="00FE5D0C">
        <w:rPr>
          <w:rFonts w:cs="Aptos"/>
          <w:lang w:val="en-GB"/>
        </w:rPr>
        <w:t>⁵</w:t>
      </w:r>
      <w:r w:rsidRPr="00FE5D0C">
        <w:rPr>
          <w:lang w:val="en-GB"/>
        </w:rPr>
        <w:t>), while non-</w:t>
      </w:r>
      <w:r w:rsidR="003D39FE" w:rsidRPr="003D39FE">
        <w:rPr>
          <w:lang w:val="en-GB"/>
        </w:rPr>
        <w:t xml:space="preserve"> stable performers </w:t>
      </w:r>
      <w:r w:rsidRPr="00FE5D0C">
        <w:rPr>
          <w:lang w:val="en-GB"/>
        </w:rPr>
        <w:t xml:space="preserve">reported worse health (OR = 0.96 per +1 SD toward </w:t>
      </w:r>
      <w:r w:rsidRPr="00FE5D0C">
        <w:rPr>
          <w:rFonts w:cs="Aptos"/>
          <w:lang w:val="en-GB"/>
        </w:rPr>
        <w:t>“</w:t>
      </w:r>
      <w:r w:rsidRPr="00FE5D0C">
        <w:rPr>
          <w:lang w:val="en-GB"/>
        </w:rPr>
        <w:t>more problems</w:t>
      </w:r>
      <w:r w:rsidRPr="00FE5D0C">
        <w:rPr>
          <w:rFonts w:cs="Aptos"/>
          <w:lang w:val="en-GB"/>
        </w:rPr>
        <w:t>”</w:t>
      </w:r>
      <w:r w:rsidRPr="00FE5D0C">
        <w:rPr>
          <w:lang w:val="en-GB"/>
        </w:rPr>
        <w:t>, 95% CI 0.93</w:t>
      </w:r>
      <w:r w:rsidRPr="00FE5D0C">
        <w:rPr>
          <w:rFonts w:cs="Aptos"/>
          <w:lang w:val="en-GB"/>
        </w:rPr>
        <w:t>–</w:t>
      </w:r>
      <w:r w:rsidRPr="00FE5D0C">
        <w:rPr>
          <w:lang w:val="en-GB"/>
        </w:rPr>
        <w:t>0.99, p = 8.2</w:t>
      </w:r>
      <w:r w:rsidRPr="00FE5D0C">
        <w:rPr>
          <w:rFonts w:cs="Aptos"/>
          <w:lang w:val="en-GB"/>
        </w:rPr>
        <w:t>×</w:t>
      </w:r>
      <w:r w:rsidRPr="00FE5D0C">
        <w:rPr>
          <w:lang w:val="en-GB"/>
        </w:rPr>
        <w:t>10</w:t>
      </w:r>
      <w:r w:rsidRPr="00FE5D0C">
        <w:rPr>
          <w:rFonts w:ascii="Cambria Math" w:hAnsi="Cambria Math" w:cs="Cambria Math"/>
          <w:lang w:val="en-GB"/>
        </w:rPr>
        <w:t>⁻</w:t>
      </w:r>
      <w:r w:rsidRPr="00FE5D0C">
        <w:rPr>
          <w:rFonts w:cs="Aptos"/>
          <w:lang w:val="en-GB"/>
        </w:rPr>
        <w:t>³</w:t>
      </w:r>
      <w:r w:rsidRPr="00FE5D0C">
        <w:rPr>
          <w:lang w:val="en-GB"/>
        </w:rPr>
        <w:t>), more depressive symptoms (OR = 0.94 per +1 SD, 95% CI 0.91</w:t>
      </w:r>
      <w:r w:rsidRPr="00FE5D0C">
        <w:rPr>
          <w:rFonts w:cs="Aptos"/>
          <w:lang w:val="en-GB"/>
        </w:rPr>
        <w:t>–</w:t>
      </w:r>
      <w:r w:rsidRPr="00FE5D0C">
        <w:rPr>
          <w:lang w:val="en-GB"/>
        </w:rPr>
        <w:t>0.98, p = 1.2</w:t>
      </w:r>
      <w:r w:rsidRPr="00FE5D0C">
        <w:rPr>
          <w:rFonts w:cs="Aptos"/>
          <w:lang w:val="en-GB"/>
        </w:rPr>
        <w:t>×</w:t>
      </w:r>
      <w:r w:rsidRPr="00FE5D0C">
        <w:rPr>
          <w:lang w:val="en-GB"/>
        </w:rPr>
        <w:t>10</w:t>
      </w:r>
      <w:r w:rsidRPr="00FE5D0C">
        <w:rPr>
          <w:rFonts w:ascii="Cambria Math" w:hAnsi="Cambria Math" w:cs="Cambria Math"/>
          <w:lang w:val="en-GB"/>
        </w:rPr>
        <w:t>⁻</w:t>
      </w:r>
      <w:r w:rsidRPr="00FE5D0C">
        <w:rPr>
          <w:rFonts w:cs="Aptos"/>
          <w:lang w:val="en-GB"/>
        </w:rPr>
        <w:t>³</w:t>
      </w:r>
      <w:r w:rsidRPr="00FE5D0C">
        <w:rPr>
          <w:lang w:val="en-GB"/>
        </w:rPr>
        <w:t>) and higher scores on the percentage math test (OR = 0.88 per +1 SD, 95% CI 0.86</w:t>
      </w:r>
      <w:r w:rsidRPr="00FE5D0C">
        <w:rPr>
          <w:rFonts w:cs="Aptos"/>
          <w:lang w:val="en-GB"/>
        </w:rPr>
        <w:t>–</w:t>
      </w:r>
      <w:r w:rsidRPr="00FE5D0C">
        <w:rPr>
          <w:lang w:val="en-GB"/>
        </w:rPr>
        <w:t>0.91, p = 1.1</w:t>
      </w:r>
      <w:r w:rsidRPr="00FE5D0C">
        <w:rPr>
          <w:rFonts w:cs="Aptos"/>
          <w:lang w:val="en-GB"/>
        </w:rPr>
        <w:t>×</w:t>
      </w:r>
      <w:r w:rsidRPr="00FE5D0C">
        <w:rPr>
          <w:lang w:val="en-GB"/>
        </w:rPr>
        <w:t>10</w:t>
      </w:r>
      <w:r w:rsidRPr="00FE5D0C">
        <w:rPr>
          <w:rFonts w:ascii="Cambria Math" w:hAnsi="Cambria Math" w:cs="Cambria Math"/>
          <w:lang w:val="en-GB"/>
        </w:rPr>
        <w:t>⁻</w:t>
      </w:r>
      <w:r w:rsidRPr="00FE5D0C">
        <w:rPr>
          <w:rFonts w:cs="Aptos"/>
          <w:vertAlign w:val="superscript"/>
          <w:lang w:val="en-GB"/>
        </w:rPr>
        <w:t>14</w:t>
      </w:r>
      <w:r w:rsidRPr="00FE5D0C">
        <w:rPr>
          <w:lang w:val="en-GB"/>
        </w:rPr>
        <w:t xml:space="preserve">). The overall AUC indicates limited out-of-sample discrimination, suggesting that no single domain strongly separates </w:t>
      </w:r>
      <w:r w:rsidR="006A1562" w:rsidRPr="006A1562">
        <w:rPr>
          <w:lang w:val="en-GB"/>
        </w:rPr>
        <w:t xml:space="preserve">stable performers </w:t>
      </w:r>
      <w:r w:rsidRPr="00FE5D0C">
        <w:rPr>
          <w:lang w:val="en-GB"/>
        </w:rPr>
        <w:t>from non-</w:t>
      </w:r>
      <w:r w:rsidR="006A1562" w:rsidRPr="006A1562">
        <w:rPr>
          <w:lang w:val="en-GB"/>
        </w:rPr>
        <w:t xml:space="preserve"> stable performers </w:t>
      </w:r>
      <w:r w:rsidRPr="00FE5D0C">
        <w:rPr>
          <w:lang w:val="en-GB"/>
        </w:rPr>
        <w:t>when considered jointly. An age-only model achieved close to the same performance (AUC = 0.608, 95% CI: 0.600–0.616). Although the difference between the full model and the age-only model was statistically significant (</w:t>
      </w:r>
      <w:r w:rsidRPr="00FE5D0C">
        <w:t>Δ</w:t>
      </w:r>
      <w:r w:rsidRPr="00FE5D0C">
        <w:rPr>
          <w:lang w:val="en-GB"/>
        </w:rPr>
        <w:t>AUC = 0.003, DeLong p = 0.006), the incremental gain was negligible, indicating that age captures nearly all discriminative signal.</w:t>
      </w:r>
    </w:p>
    <w:p w14:paraId="1F3F3D07" w14:textId="77777777" w:rsidR="00894099" w:rsidRPr="00FE5D0C" w:rsidRDefault="00894099" w:rsidP="00FE5D0C">
      <w:pPr>
        <w:spacing w:after="0" w:line="360" w:lineRule="auto"/>
        <w:rPr>
          <w:b/>
          <w:bCs/>
          <w:lang w:val="en-US"/>
        </w:rPr>
      </w:pPr>
    </w:p>
    <w:p w14:paraId="5C68400F" w14:textId="436A58AB" w:rsidR="00E962E2" w:rsidRPr="00FE5D0C" w:rsidRDefault="002D6791" w:rsidP="00FE5D0C">
      <w:pPr>
        <w:spacing w:after="0" w:line="360" w:lineRule="auto"/>
        <w:rPr>
          <w:b/>
          <w:bCs/>
          <w:lang w:val="en-US"/>
        </w:rPr>
      </w:pPr>
      <w:r w:rsidRPr="00FE5D0C">
        <w:rPr>
          <w:b/>
          <w:bCs/>
          <w:lang w:val="en-US"/>
        </w:rPr>
        <w:t>Section 8: Robustness checks for m</w:t>
      </w:r>
      <w:r w:rsidR="00B817E0" w:rsidRPr="00FE5D0C">
        <w:rPr>
          <w:b/>
          <w:bCs/>
          <w:lang w:val="en-US"/>
        </w:rPr>
        <w:t>ortality analyses</w:t>
      </w:r>
    </w:p>
    <w:p w14:paraId="3C379308" w14:textId="75CD5F21" w:rsidR="00B817E0" w:rsidRPr="00FE5D0C" w:rsidRDefault="00B817E0" w:rsidP="00FE5D0C">
      <w:pPr>
        <w:spacing w:after="0" w:line="360" w:lineRule="auto"/>
        <w:rPr>
          <w:rFonts w:eastAsia="Aptos" w:cs="Aptos"/>
          <w:lang w:val="en-GB"/>
        </w:rPr>
      </w:pPr>
      <w:r w:rsidRPr="00FE5D0C">
        <w:rPr>
          <w:rFonts w:eastAsia="Aptos" w:cs="Aptos"/>
          <w:lang w:val="en-GB"/>
        </w:rPr>
        <w:t xml:space="preserve">We asked whether mortality differed between </w:t>
      </w:r>
      <w:r w:rsidR="006A1562" w:rsidRPr="006A1562">
        <w:rPr>
          <w:rFonts w:eastAsia="Aptos" w:cs="Aptos"/>
          <w:lang w:val="en-GB"/>
        </w:rPr>
        <w:t xml:space="preserve">stable performers </w:t>
      </w:r>
      <w:r w:rsidRPr="00FE5D0C">
        <w:rPr>
          <w:rFonts w:eastAsia="Aptos" w:cs="Aptos"/>
          <w:lang w:val="en-GB"/>
        </w:rPr>
        <w:t>and non-</w:t>
      </w:r>
      <w:r w:rsidR="006A1562" w:rsidRPr="006A1562">
        <w:rPr>
          <w:lang w:val="en-GB"/>
        </w:rPr>
        <w:t xml:space="preserve"> </w:t>
      </w:r>
      <w:r w:rsidR="006A1562" w:rsidRPr="006A1562">
        <w:rPr>
          <w:rFonts w:eastAsia="Aptos" w:cs="Aptos"/>
          <w:lang w:val="en-GB"/>
        </w:rPr>
        <w:t>stable performers</w:t>
      </w:r>
      <w:r w:rsidRPr="00FE5D0C">
        <w:rPr>
          <w:rFonts w:eastAsia="Aptos" w:cs="Aptos"/>
          <w:lang w:val="en-GB"/>
        </w:rPr>
        <w:t xml:space="preserve">. Using Cox models with chronological age as the time scale, follow-up began at each person’s classification age (the visit closest to their median age across waves) and ended at death or last observation. The landmark cohort included 48,185 individuals (4,853 deaths), with 5,261 </w:t>
      </w:r>
      <w:r w:rsidR="006A1562" w:rsidRPr="006A1562">
        <w:rPr>
          <w:rFonts w:eastAsia="Aptos" w:cs="Aptos"/>
          <w:lang w:val="en-GB"/>
        </w:rPr>
        <w:t xml:space="preserve">stable performers </w:t>
      </w:r>
      <w:r w:rsidRPr="00FE5D0C">
        <w:rPr>
          <w:rFonts w:eastAsia="Aptos" w:cs="Aptos"/>
          <w:lang w:val="en-GB"/>
        </w:rPr>
        <w:t>(419 deaths; 4,842 censored) and 42,924 non-</w:t>
      </w:r>
      <w:r w:rsidR="006A1562" w:rsidRPr="006A1562">
        <w:rPr>
          <w:rFonts w:eastAsia="Aptos" w:cs="Aptos"/>
          <w:lang w:val="en-GB"/>
        </w:rPr>
        <w:t xml:space="preserve">stable performers </w:t>
      </w:r>
      <w:r w:rsidRPr="00FE5D0C">
        <w:rPr>
          <w:rFonts w:eastAsia="Aptos" w:cs="Aptos"/>
          <w:lang w:val="en-GB"/>
        </w:rPr>
        <w:t xml:space="preserve">(4,434 deaths; 38,490 censored). Because age was the analysis time, risks were compared at the same ages over follow-up (age is controlled by design). In the sex-adjusted landmark model, </w:t>
      </w:r>
      <w:r w:rsidR="006A1562" w:rsidRPr="006A1562">
        <w:rPr>
          <w:rFonts w:eastAsia="Aptos" w:cs="Aptos"/>
          <w:lang w:val="en-GB"/>
        </w:rPr>
        <w:t xml:space="preserve">stable performers </w:t>
      </w:r>
      <w:r w:rsidRPr="00FE5D0C">
        <w:rPr>
          <w:rFonts w:eastAsia="Aptos" w:cs="Aptos"/>
          <w:lang w:val="en-GB"/>
        </w:rPr>
        <w:t xml:space="preserve">(conservative rule) had a higher hazard of death, HR = 1.155 (95% CI 1.045–1.278), p = 0.005, while females had lower hazard, HR = 0.616 (0.582–0.652), p &lt; 0.001. Stratifying </w:t>
      </w:r>
      <w:r w:rsidRPr="00FE5D0C">
        <w:rPr>
          <w:rFonts w:eastAsia="Aptos" w:cs="Aptos"/>
          <w:lang w:val="en-GB"/>
        </w:rPr>
        <w:lastRenderedPageBreak/>
        <w:t>baseline hazards by country, given heterogeneity in mortality and drop-out across SHARE countries, slightly strengthened the contrast, HR = 1.168 (1.056–1.293), p = 0.003.</w:t>
      </w:r>
    </w:p>
    <w:p w14:paraId="3B107D43" w14:textId="77777777" w:rsidR="00B817E0" w:rsidRPr="00FE5D0C" w:rsidRDefault="00B817E0" w:rsidP="00FE5D0C">
      <w:pPr>
        <w:spacing w:after="0" w:line="360" w:lineRule="auto"/>
        <w:rPr>
          <w:rFonts w:eastAsia="Aptos" w:cs="Aptos"/>
          <w:lang w:val="en-GB"/>
        </w:rPr>
      </w:pPr>
    </w:p>
    <w:p w14:paraId="02A247A3" w14:textId="5432CD47" w:rsidR="00B817E0" w:rsidRPr="00FE5D0C" w:rsidRDefault="00B817E0" w:rsidP="00FE5D0C">
      <w:pPr>
        <w:spacing w:after="0" w:line="360" w:lineRule="auto"/>
        <w:rPr>
          <w:rFonts w:eastAsia="Aptos" w:cs="Aptos"/>
          <w:lang w:val="en-GB"/>
        </w:rPr>
      </w:pPr>
      <w:r w:rsidRPr="00FE5D0C">
        <w:rPr>
          <w:rFonts w:eastAsia="Aptos" w:cs="Aptos"/>
          <w:lang w:val="en-GB"/>
        </w:rPr>
        <w:t xml:space="preserve">To probe whether differential drop-out could bias this contrast by </w:t>
      </w:r>
      <w:r w:rsidR="006A1562" w:rsidRPr="006A1562">
        <w:rPr>
          <w:rFonts w:eastAsia="Aptos" w:cs="Aptos"/>
          <w:lang w:val="en-GB"/>
        </w:rPr>
        <w:t xml:space="preserve">stable performers </w:t>
      </w:r>
      <w:r w:rsidRPr="00FE5D0C">
        <w:rPr>
          <w:rFonts w:eastAsia="Aptos" w:cs="Aptos"/>
          <w:lang w:val="en-GB"/>
        </w:rPr>
        <w:t xml:space="preserve">level, we estimated inverse-probability-of-censoring weights (IPCW) from a visit-to-visit “return alive to next wave” model (logistic regression with interval midpoint of age, sex, country, </w:t>
      </w:r>
      <w:r w:rsidR="006A1562" w:rsidRPr="006A1562">
        <w:rPr>
          <w:rFonts w:eastAsia="Aptos" w:cs="Aptos"/>
          <w:lang w:val="en-GB"/>
        </w:rPr>
        <w:t xml:space="preserve">stable performers </w:t>
      </w:r>
      <w:r w:rsidRPr="00FE5D0C">
        <w:rPr>
          <w:rFonts w:eastAsia="Aptos" w:cs="Aptos"/>
          <w:lang w:val="en-GB"/>
        </w:rPr>
        <w:t xml:space="preserve">label; in a sensitivity model also education [ISCED-97], self-rated health, ADL, IADL, and depressive symptoms). We stabilized by the marginal retention probability and truncated extremes. Person-level weights were near 1 (median 1.009; 95th percentile 1.047; 99th percentile 1.174), and the weighted landmark estimate at the classification anchor was essentially unchanged, HR = 1.167 (1.060–1.285), p = 0.002, indicating little evidence that informative censoring drives the primary label contrast (weights near 1; weighted HR ≈ unweighted). We also isolated the most distinct groups by comparing conservative </w:t>
      </w:r>
      <w:r w:rsidR="006A1562" w:rsidRPr="006A1562">
        <w:rPr>
          <w:rFonts w:eastAsia="Aptos" w:cs="Aptos"/>
          <w:lang w:val="en-GB"/>
        </w:rPr>
        <w:t xml:space="preserve">stable performers </w:t>
      </w:r>
      <w:r w:rsidRPr="00FE5D0C">
        <w:rPr>
          <w:rFonts w:eastAsia="Aptos" w:cs="Aptos"/>
          <w:lang w:val="en-GB"/>
        </w:rPr>
        <w:t>to lenient non-</w:t>
      </w:r>
      <w:r w:rsidR="006A1562" w:rsidRPr="006A1562">
        <w:rPr>
          <w:lang w:val="en-GB"/>
        </w:rPr>
        <w:t xml:space="preserve"> </w:t>
      </w:r>
      <w:r w:rsidR="006A1562" w:rsidRPr="006A1562">
        <w:rPr>
          <w:rFonts w:eastAsia="Aptos" w:cs="Aptos"/>
          <w:lang w:val="en-GB"/>
        </w:rPr>
        <w:t xml:space="preserve">stable performers </w:t>
      </w:r>
      <w:r w:rsidRPr="00FE5D0C">
        <w:rPr>
          <w:rFonts w:eastAsia="Aptos" w:cs="Aptos"/>
          <w:lang w:val="en-GB"/>
        </w:rPr>
        <w:t xml:space="preserve">only. In sex-adjusted, country-stratified Cox models, the hazard was higher for </w:t>
      </w:r>
      <w:r w:rsidR="006A1562" w:rsidRPr="006A1562">
        <w:rPr>
          <w:rFonts w:eastAsia="Aptos" w:cs="Aptos"/>
          <w:lang w:val="en-GB"/>
        </w:rPr>
        <w:t xml:space="preserve">stable performers </w:t>
      </w:r>
      <w:r w:rsidRPr="00FE5D0C">
        <w:rPr>
          <w:rFonts w:eastAsia="Aptos" w:cs="Aptos"/>
          <w:lang w:val="en-GB"/>
        </w:rPr>
        <w:t xml:space="preserve">overall, HR = 1.156 (1.042–1.281), p = 0.006. Weighted age-banded analyses suggested this was most apparent from age 70: HRs were 1.156 (0.979–1.366), p = 0.090 for ages 55–70; 1.234 (1.048–1.454), p = 0.014 for 70–80; 1.277 (1.051–1.551), p = 0.009 for 80–90; and 0.496 (0.217–1.134), p = 0.062 for 90–100. Collapsing to ≥70 yielded HR = 1.164 (1.029–1.317), p = 0.013. A </w:t>
      </w:r>
      <w:proofErr w:type="gramStart"/>
      <w:r w:rsidRPr="00FE5D0C">
        <w:rPr>
          <w:rFonts w:eastAsia="Aptos" w:cs="Aptos"/>
          <w:lang w:val="en-GB"/>
        </w:rPr>
        <w:t xml:space="preserve">weighted </w:t>
      </w:r>
      <w:r w:rsidR="006A1562" w:rsidRPr="006A1562">
        <w:rPr>
          <w:lang w:val="en-US"/>
        </w:rPr>
        <w:t>stable performers</w:t>
      </w:r>
      <w:proofErr w:type="gramEnd"/>
      <w:r w:rsidR="006A1562" w:rsidRPr="00FE5D0C">
        <w:rPr>
          <w:rFonts w:eastAsia="Aptos" w:cs="Aptos"/>
          <w:lang w:val="en-GB"/>
        </w:rPr>
        <w:t xml:space="preserve"> </w:t>
      </w:r>
      <w:r w:rsidRPr="00FE5D0C">
        <w:rPr>
          <w:rFonts w:eastAsia="Aptos" w:cs="Aptos"/>
          <w:lang w:val="en-GB"/>
        </w:rPr>
        <w:t>×</w:t>
      </w:r>
      <w:r w:rsidR="006A1562">
        <w:rPr>
          <w:rFonts w:eastAsia="Aptos" w:cs="Aptos"/>
          <w:lang w:val="en-GB"/>
        </w:rPr>
        <w:t xml:space="preserve"> </w:t>
      </w:r>
      <w:r w:rsidRPr="00FE5D0C">
        <w:rPr>
          <w:rFonts w:eastAsia="Aptos" w:cs="Aptos"/>
          <w:lang w:val="en-GB"/>
        </w:rPr>
        <w:t>age interaction did not improve fit (interaction ≈ 0; LR test p ≈ 0.98), consistent with level shifts rather than a smooth interaction.</w:t>
      </w:r>
    </w:p>
    <w:p w14:paraId="26A2F8F4" w14:textId="77777777" w:rsidR="00B817E0" w:rsidRPr="00FE5D0C" w:rsidRDefault="00B817E0" w:rsidP="00FE5D0C">
      <w:pPr>
        <w:spacing w:after="0" w:line="360" w:lineRule="auto"/>
        <w:rPr>
          <w:rFonts w:eastAsia="Aptos" w:cs="Aptos"/>
          <w:lang w:val="en-GB"/>
        </w:rPr>
      </w:pPr>
    </w:p>
    <w:p w14:paraId="55358015" w14:textId="6F0F9669" w:rsidR="00B817E0" w:rsidRPr="00FE5D0C" w:rsidRDefault="00B817E0" w:rsidP="00FE5D0C">
      <w:pPr>
        <w:spacing w:after="0" w:line="360" w:lineRule="auto"/>
        <w:rPr>
          <w:rFonts w:eastAsia="Aptos" w:cs="Aptos"/>
          <w:lang w:val="en-GB"/>
        </w:rPr>
      </w:pPr>
      <w:r w:rsidRPr="00FE5D0C">
        <w:rPr>
          <w:rFonts w:eastAsia="Aptos" w:cs="Aptos"/>
          <w:lang w:val="en-GB"/>
        </w:rPr>
        <w:t xml:space="preserve">Finally, we re-anchored follow-up at each person’s last observed age. Under this specification, the label contrast attenuated to the null—country-stratified HR = 1.048 (0.940–1.169), p = 0.40; without strata HR = 1.050 (0.947–1.164), p = 0.35, suggesting that the initial HR&gt;1 is better explained by selection and timing around when the label is assigned rather than by </w:t>
      </w:r>
      <w:r w:rsidR="006A1562" w:rsidRPr="006A1562">
        <w:rPr>
          <w:rFonts w:eastAsia="Aptos" w:cs="Aptos"/>
          <w:lang w:val="en-GB"/>
        </w:rPr>
        <w:t xml:space="preserve">stable performers </w:t>
      </w:r>
      <w:r w:rsidRPr="00FE5D0C">
        <w:rPr>
          <w:rFonts w:eastAsia="Aptos" w:cs="Aptos"/>
          <w:lang w:val="en-GB"/>
        </w:rPr>
        <w:t>status itself being causally related to higher mortality.</w:t>
      </w:r>
    </w:p>
    <w:p w14:paraId="007F9580" w14:textId="77777777" w:rsidR="00B817E0" w:rsidRPr="00FE5D0C" w:rsidRDefault="00B817E0" w:rsidP="00FE5D0C">
      <w:pPr>
        <w:spacing w:after="0" w:line="360" w:lineRule="auto"/>
        <w:rPr>
          <w:rFonts w:eastAsia="Aptos" w:cs="Aptos"/>
          <w:lang w:val="en-GB"/>
        </w:rPr>
      </w:pPr>
    </w:p>
    <w:p w14:paraId="39970A3F" w14:textId="0347EFB2" w:rsidR="00B817E0" w:rsidRPr="00FE5D0C" w:rsidRDefault="00B817E0" w:rsidP="00FE5D0C">
      <w:pPr>
        <w:spacing w:after="0" w:line="360" w:lineRule="auto"/>
        <w:rPr>
          <w:rFonts w:eastAsia="Aptos" w:cs="Aptos"/>
          <w:lang w:val="en-GB"/>
        </w:rPr>
      </w:pPr>
      <w:r w:rsidRPr="00FE5D0C">
        <w:rPr>
          <w:rFonts w:eastAsia="Aptos" w:cs="Aptos"/>
          <w:lang w:val="en-GB"/>
        </w:rPr>
        <w:t xml:space="preserve">Because a binary label discards information about degree and trajectory, we then tested memory level and slope as continuous features derived from each person’s robust Theil–Sen line. Level was evaluated at the classification age and at a common age 70. Per 1-SD higher level at the classification age, the sex-adjusted, country-stratified hazard ratio was 0.787 (0.760–0.815), attenuating to 0.850 (0.818–0.883) with adjustment for education, self-rated health, chronic conditions, ADL, and IADL. Evaluated at age 70, associations were similarly strong and robust, with sex-adjusted HR = 0.818 (0.796–0.839) and fully adjusted HR = 0.845 </w:t>
      </w:r>
      <w:r w:rsidRPr="00FE5D0C">
        <w:rPr>
          <w:rFonts w:eastAsia="Aptos" w:cs="Aptos"/>
          <w:lang w:val="en-GB"/>
        </w:rPr>
        <w:lastRenderedPageBreak/>
        <w:t xml:space="preserve">(0.823–0.868). Standardizing level within age bands by z-transforming each person’s memory level relative to peers of similar classification age yielded HR = 0.684 (0.663–0.706). In a joint model including both level at the classification age and slope, both contributed, with a larger effect for level (level HR = 0.787; slope HR = 0.904; both p &lt; 0.001). The IPCW weighted model with continuous features only (level and slope) closely matched these results (level HR = 0.799, 0.773–0.827; slope HR = 0.908, 0.882–0.934), and adding the </w:t>
      </w:r>
      <w:r w:rsidR="006A1562" w:rsidRPr="006A1562">
        <w:rPr>
          <w:rFonts w:eastAsia="Aptos" w:cs="Aptos"/>
          <w:lang w:val="en-GB"/>
        </w:rPr>
        <w:t xml:space="preserve">stable performers </w:t>
      </w:r>
      <w:r w:rsidRPr="00FE5D0C">
        <w:rPr>
          <w:rFonts w:eastAsia="Aptos" w:cs="Aptos"/>
          <w:lang w:val="en-GB"/>
        </w:rPr>
        <w:t xml:space="preserve">label on top of level and slope further improved fit (label HR = 1.512, 1.353–1.691; LR test versus features-only: </w:t>
      </w:r>
      <w:r w:rsidRPr="00FE5D0C">
        <w:rPr>
          <w:rFonts w:eastAsia="Aptos" w:cs="Aptos"/>
        </w:rPr>
        <w:t>χ</w:t>
      </w:r>
      <w:r w:rsidRPr="00FE5D0C">
        <w:rPr>
          <w:rFonts w:eastAsia="Aptos" w:cs="Aptos"/>
          <w:lang w:val="en-GB"/>
        </w:rPr>
        <w:t xml:space="preserve">² = 49.26, </w:t>
      </w:r>
      <w:proofErr w:type="spellStart"/>
      <w:r w:rsidRPr="00FE5D0C">
        <w:rPr>
          <w:rFonts w:eastAsia="Aptos" w:cs="Aptos"/>
          <w:lang w:val="en-GB"/>
        </w:rPr>
        <w:t>df</w:t>
      </w:r>
      <w:proofErr w:type="spellEnd"/>
      <w:r w:rsidRPr="00FE5D0C">
        <w:rPr>
          <w:rFonts w:eastAsia="Aptos" w:cs="Aptos"/>
          <w:lang w:val="en-GB"/>
        </w:rPr>
        <w:t xml:space="preserve"> = 1, p = 2.24×10</w:t>
      </w:r>
      <w:r w:rsidRPr="00FE5D0C">
        <w:rPr>
          <w:rFonts w:ascii="Cambria Math" w:eastAsia="Aptos" w:hAnsi="Cambria Math" w:cs="Cambria Math"/>
          <w:lang w:val="en-GB"/>
        </w:rPr>
        <w:t>⁻</w:t>
      </w:r>
      <w:r w:rsidRPr="00FE5D0C">
        <w:rPr>
          <w:rFonts w:eastAsia="Aptos" w:cs="Aptos"/>
          <w:lang w:val="en-GB"/>
        </w:rPr>
        <w:t>¹², AIC reduced from 58,564.9 to 58,517.6), indicating that the label still captures residual information not fully contained in level and slope (Figure 9).</w:t>
      </w:r>
    </w:p>
    <w:p w14:paraId="7270D5F2" w14:textId="77777777" w:rsidR="00B817E0" w:rsidRPr="00FE5D0C" w:rsidRDefault="00B817E0" w:rsidP="00FE5D0C">
      <w:pPr>
        <w:spacing w:after="0" w:line="360" w:lineRule="auto"/>
        <w:rPr>
          <w:rFonts w:eastAsia="Aptos" w:cs="Aptos"/>
          <w:lang w:val="en-GB"/>
        </w:rPr>
      </w:pPr>
    </w:p>
    <w:p w14:paraId="6DCCA005" w14:textId="4D3D7C44" w:rsidR="00B817E0" w:rsidRPr="00FE5D0C" w:rsidRDefault="00B817E0" w:rsidP="00FE5D0C">
      <w:pPr>
        <w:spacing w:after="0" w:line="360" w:lineRule="auto"/>
        <w:rPr>
          <w:lang w:val="en-GB"/>
        </w:rPr>
      </w:pPr>
      <w:r w:rsidRPr="00FE5D0C">
        <w:rPr>
          <w:rFonts w:eastAsia="Aptos" w:cs="Aptos"/>
          <w:lang w:val="en-GB"/>
        </w:rPr>
        <w:t xml:space="preserve">Taken together, the apparent HR &gt; 1 for </w:t>
      </w:r>
      <w:r w:rsidR="006A1562" w:rsidRPr="006A1562">
        <w:rPr>
          <w:rFonts w:eastAsia="Aptos" w:cs="Aptos"/>
          <w:lang w:val="en-GB"/>
        </w:rPr>
        <w:t xml:space="preserve">stable performers </w:t>
      </w:r>
      <w:r w:rsidRPr="00FE5D0C">
        <w:rPr>
          <w:rFonts w:eastAsia="Aptos" w:cs="Aptos"/>
          <w:lang w:val="en-GB"/>
        </w:rPr>
        <w:t xml:space="preserve">in the primary landmark contrast was sensitive to design choices, i.e. how labels are set and where follow-up is anchored, and showed its clearest separation from age 70 onward, but without evidence for a continuous age interaction. In contrast, memory level showed a clear, stable association with mortality, especially on a common age scale or when standardized within age bands, and slope retained a modest independent contribution. Cognition related to survival most cleanly through level, and, to a lesser degree, slope, while the </w:t>
      </w:r>
      <w:r w:rsidR="003D39FE" w:rsidRPr="003D39FE">
        <w:rPr>
          <w:rFonts w:eastAsia="Aptos" w:cs="Aptos"/>
          <w:lang w:val="en-GB"/>
        </w:rPr>
        <w:t xml:space="preserve">stable performers </w:t>
      </w:r>
      <w:r w:rsidRPr="00FE5D0C">
        <w:rPr>
          <w:rFonts w:eastAsia="Aptos" w:cs="Aptos"/>
          <w:lang w:val="en-GB"/>
        </w:rPr>
        <w:t xml:space="preserve">label was a </w:t>
      </w:r>
      <w:proofErr w:type="gramStart"/>
      <w:r w:rsidRPr="00FE5D0C">
        <w:rPr>
          <w:rFonts w:eastAsia="Aptos" w:cs="Aptos"/>
          <w:lang w:val="en-GB"/>
        </w:rPr>
        <w:t>coarser</w:t>
      </w:r>
      <w:proofErr w:type="gramEnd"/>
      <w:r w:rsidRPr="00FE5D0C">
        <w:rPr>
          <w:rFonts w:eastAsia="Aptos" w:cs="Aptos"/>
          <w:lang w:val="en-GB"/>
        </w:rPr>
        <w:t>, timing-sensitive summary that nonetheless added some information beyond the continuous features.</w:t>
      </w:r>
    </w:p>
    <w:p w14:paraId="39E6C712" w14:textId="77777777" w:rsidR="0080792C" w:rsidRPr="00FE5D0C" w:rsidRDefault="0080792C" w:rsidP="00FE5D0C">
      <w:pPr>
        <w:spacing w:after="0" w:line="360" w:lineRule="auto"/>
        <w:rPr>
          <w:lang w:val="en-US"/>
        </w:rPr>
      </w:pPr>
    </w:p>
    <w:p w14:paraId="36B8DB5B" w14:textId="02DD9EA5" w:rsidR="00863BBC" w:rsidRPr="00FE5D0C" w:rsidRDefault="005E026B" w:rsidP="00FE5D0C">
      <w:pPr>
        <w:spacing w:after="0" w:line="360" w:lineRule="auto"/>
        <w:rPr>
          <w:b/>
          <w:bCs/>
          <w:lang w:val="en-US"/>
        </w:rPr>
      </w:pPr>
      <w:r w:rsidRPr="00FE5D0C">
        <w:rPr>
          <w:b/>
          <w:bCs/>
          <w:lang w:val="en-US"/>
        </w:rPr>
        <w:t xml:space="preserve">Section 9: </w:t>
      </w:r>
      <w:r w:rsidR="007858C5" w:rsidRPr="00FE5D0C">
        <w:rPr>
          <w:b/>
          <w:bCs/>
          <w:lang w:val="en-US"/>
        </w:rPr>
        <w:t>Identification of burst-decline in individual SHARE participants</w:t>
      </w:r>
    </w:p>
    <w:p w14:paraId="1F295B60" w14:textId="77777777" w:rsidR="009F361F" w:rsidRPr="00FE5D0C" w:rsidRDefault="009F361F" w:rsidP="00FE5D0C">
      <w:pPr>
        <w:spacing w:after="0" w:line="360" w:lineRule="auto"/>
        <w:rPr>
          <w:lang w:val="en-GB"/>
        </w:rPr>
      </w:pPr>
      <w:r w:rsidRPr="00FE5D0C">
        <w:rPr>
          <w:lang w:val="en-GB"/>
        </w:rPr>
        <w:t>Having shown that a burst-decline process can reproduce the group trend, we next asked whether intervals where memory drops quickly and stabilizes at a lower level can be detected in individual SHARE participants. We removed each person’s gradual age trend by subtracting their Theil–Sen line from the practice-adjusted scores and flagged an interval as a burst if it was (</w:t>
      </w:r>
      <w:proofErr w:type="spellStart"/>
      <w:r w:rsidRPr="00FE5D0C">
        <w:rPr>
          <w:lang w:val="en-GB"/>
        </w:rPr>
        <w:t>i</w:t>
      </w:r>
      <w:proofErr w:type="spellEnd"/>
      <w:r w:rsidRPr="00FE5D0C">
        <w:rPr>
          <w:lang w:val="en-GB"/>
        </w:rPr>
        <w:t xml:space="preserve">) fast (≤ −0.50 points/year), (ii) substantial (drop ≥ 1.5 points), and (iii) short (≤ 3 years). Recovery was evaluated ≥2 years after onset: if the best future residual regained ≥50% of the drop, the burst was </w:t>
      </w:r>
      <w:proofErr w:type="spellStart"/>
      <w:r w:rsidRPr="00FE5D0C">
        <w:rPr>
          <w:lang w:val="en-GB"/>
        </w:rPr>
        <w:t>labeled</w:t>
      </w:r>
      <w:proofErr w:type="spellEnd"/>
      <w:r w:rsidRPr="00FE5D0C">
        <w:rPr>
          <w:lang w:val="en-GB"/>
        </w:rPr>
        <w:t xml:space="preserve"> “recovered”. </w:t>
      </w:r>
    </w:p>
    <w:p w14:paraId="10A33324" w14:textId="77777777" w:rsidR="009F361F" w:rsidRPr="00FE5D0C" w:rsidRDefault="009F361F" w:rsidP="00FE5D0C">
      <w:pPr>
        <w:spacing w:after="0" w:line="360" w:lineRule="auto"/>
        <w:rPr>
          <w:lang w:val="en-GB"/>
        </w:rPr>
      </w:pPr>
    </w:p>
    <w:p w14:paraId="5FEDA792" w14:textId="6653C1CA" w:rsidR="009F361F" w:rsidRPr="00FE5D0C" w:rsidRDefault="009F361F" w:rsidP="00FE5D0C">
      <w:pPr>
        <w:spacing w:after="0" w:line="360" w:lineRule="auto"/>
        <w:rPr>
          <w:lang w:val="en-GB"/>
        </w:rPr>
      </w:pPr>
      <w:r w:rsidRPr="00FE5D0C">
        <w:rPr>
          <w:lang w:val="en-GB"/>
        </w:rPr>
        <w:t xml:space="preserve">We found that bursts were common and sizeable. Typical drops were ~3.4 points (IQR ≈2.3) over ~2 years (IQR 2–3), and most did not recover (≈80–94% across recovery thresholds and time-windows). Varying drop size, speed, and duration produced similar or higher rates, indicating that the phenomenon is not sensitive to specific thresholds. Bursts were meaningfully related to </w:t>
      </w:r>
      <w:r w:rsidR="003D39FE" w:rsidRPr="003D39FE">
        <w:rPr>
          <w:lang w:val="en-GB"/>
        </w:rPr>
        <w:t xml:space="preserve">stable performers </w:t>
      </w:r>
      <w:r w:rsidRPr="00FE5D0C">
        <w:rPr>
          <w:lang w:val="en-GB"/>
        </w:rPr>
        <w:t xml:space="preserve">status: </w:t>
      </w:r>
      <w:r w:rsidR="003D39FE" w:rsidRPr="003D39FE">
        <w:rPr>
          <w:lang w:val="en-GB"/>
        </w:rPr>
        <w:t xml:space="preserve">stable performers </w:t>
      </w:r>
      <w:r w:rsidRPr="00FE5D0C">
        <w:rPr>
          <w:lang w:val="en-GB"/>
        </w:rPr>
        <w:t xml:space="preserve">(conservative rule) showed fewer bursts overall and fewer unresolved bursts (any burst 0.51 vs 0.85; any non-recovered 0.39 vs 0.47; RR 0.60 and 0.83). After adjusting for number of intervals exposure, </w:t>
      </w:r>
      <w:r w:rsidR="006A1562" w:rsidRPr="006A1562">
        <w:rPr>
          <w:lang w:val="en-GB"/>
        </w:rPr>
        <w:t xml:space="preserve">stable performers </w:t>
      </w:r>
      <w:r w:rsidRPr="00FE5D0C">
        <w:rPr>
          <w:lang w:val="en-GB"/>
        </w:rPr>
        <w:t xml:space="preserve">still had lower odds of </w:t>
      </w:r>
      <w:r w:rsidRPr="00FE5D0C">
        <w:rPr>
          <w:lang w:val="en-GB"/>
        </w:rPr>
        <w:lastRenderedPageBreak/>
        <w:t xml:space="preserve">a non-recovered burst (OR ≈0.70, 95% CI 0.66–0.74). Using a stricter definition to find “big bursts”, defined as drops ≥2× each person’s residual SD, </w:t>
      </w:r>
      <w:r w:rsidR="006A1562" w:rsidRPr="006A1562">
        <w:rPr>
          <w:lang w:val="en-GB"/>
        </w:rPr>
        <w:t xml:space="preserve">stable performers </w:t>
      </w:r>
      <w:r w:rsidRPr="00FE5D0C">
        <w:rPr>
          <w:lang w:val="en-GB"/>
        </w:rPr>
        <w:t xml:space="preserve">remained much less likely to exhibit any non-recovered event (adjusted OR ≈0.16, 95% CI 0.151–0.174). </w:t>
      </w:r>
    </w:p>
    <w:p w14:paraId="3B426E6C" w14:textId="77777777" w:rsidR="009F361F" w:rsidRPr="00FE5D0C" w:rsidRDefault="009F361F" w:rsidP="00FE5D0C">
      <w:pPr>
        <w:spacing w:after="0" w:line="360" w:lineRule="auto"/>
        <w:rPr>
          <w:lang w:val="en-GB"/>
        </w:rPr>
      </w:pPr>
    </w:p>
    <w:p w14:paraId="7E92EBAA" w14:textId="72FA53B8" w:rsidR="009F361F" w:rsidRPr="00FE5D0C" w:rsidRDefault="009F361F" w:rsidP="00FE5D0C">
      <w:pPr>
        <w:spacing w:after="0" w:line="360" w:lineRule="auto"/>
        <w:rPr>
          <w:lang w:val="en-US"/>
        </w:rPr>
      </w:pPr>
      <w:r w:rsidRPr="00FE5D0C">
        <w:rPr>
          <w:lang w:val="en-GB"/>
        </w:rPr>
        <w:t xml:space="preserve">To test whether such patterns could arise from noise alone, we permuted residuals within person, preserving spacing and variability, and reapplied the burst rules. In the observed data, 54.1% of participants had ≥1 non-recovered big burst (0.55 events per 10 person-years). Under the permutation null, medians were 45.1% and 0.463. Observed rates exceeded permutation medians in all age bands (50–80+, p ≈ 0). </w:t>
      </w:r>
      <w:r w:rsidRPr="00FE5D0C">
        <w:rPr>
          <w:lang w:val="en-US"/>
        </w:rPr>
        <w:t xml:space="preserve">Together, these analyses indicate that bursts are real, time-structured phenomena rather than artifacts of noise or regression to the mean. </w:t>
      </w:r>
      <w:r w:rsidR="00393B14">
        <w:rPr>
          <w:lang w:val="en-US"/>
        </w:rPr>
        <w:t>S</w:t>
      </w:r>
      <w:r w:rsidR="00393B14" w:rsidRPr="00393B14">
        <w:rPr>
          <w:lang w:val="en-US"/>
        </w:rPr>
        <w:t xml:space="preserve">table performers </w:t>
      </w:r>
      <w:r w:rsidRPr="00FE5D0C">
        <w:rPr>
          <w:lang w:val="en-US"/>
        </w:rPr>
        <w:t>have fewer bursts overall, and especially fewer unresolved big bursts, which can help explain how some individuals remain stable for a decade while still performing at relatively low levels.</w:t>
      </w:r>
    </w:p>
    <w:p w14:paraId="73195568" w14:textId="77777777" w:rsidR="00E962E2" w:rsidRPr="00FE5D0C" w:rsidRDefault="00E962E2" w:rsidP="00FE5D0C">
      <w:pPr>
        <w:spacing w:after="0" w:line="360" w:lineRule="auto"/>
        <w:rPr>
          <w:lang w:val="en-US"/>
        </w:rPr>
      </w:pPr>
      <w:r w:rsidRPr="00FE5D0C">
        <w:rPr>
          <w:noProof/>
          <w:lang w:val="en-US"/>
        </w:rPr>
        <w:drawing>
          <wp:inline distT="0" distB="0" distL="0" distR="0" wp14:anchorId="1E7D5206" wp14:editId="48C080CD">
            <wp:extent cx="5760720" cy="4608830"/>
            <wp:effectExtent l="0" t="0" r="0" b="1270"/>
            <wp:docPr id="1740716094" name="Bilde 1" descr="Et bilde som inneholder tekst, numme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716094" name="Bilde 1" descr="Et bilde som inneholder tekst, nummer&#10;&#10;KI-generert innhold kan være feil."/>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4608830"/>
                    </a:xfrm>
                    <a:prstGeom prst="rect">
                      <a:avLst/>
                    </a:prstGeom>
                  </pic:spPr>
                </pic:pic>
              </a:graphicData>
            </a:graphic>
          </wp:inline>
        </w:drawing>
      </w:r>
    </w:p>
    <w:p w14:paraId="2BDC86D2" w14:textId="68CABB54" w:rsidR="00E962E2" w:rsidRPr="00FE5D0C" w:rsidRDefault="00E962E2" w:rsidP="00FE5D0C">
      <w:pPr>
        <w:spacing w:after="0" w:line="360" w:lineRule="auto"/>
        <w:rPr>
          <w:lang w:val="en-US"/>
        </w:rPr>
      </w:pPr>
      <w:r w:rsidRPr="00FE5D0C">
        <w:rPr>
          <w:b/>
          <w:bCs/>
          <w:lang w:val="en-US"/>
        </w:rPr>
        <w:t xml:space="preserve">Supplementary Figure </w:t>
      </w:r>
      <w:r w:rsidR="007858C5" w:rsidRPr="00FE5D0C">
        <w:rPr>
          <w:b/>
          <w:bCs/>
          <w:lang w:val="en-US"/>
        </w:rPr>
        <w:t>14.</w:t>
      </w:r>
      <w:r w:rsidRPr="00FE5D0C">
        <w:rPr>
          <w:b/>
          <w:bCs/>
          <w:lang w:val="en-US"/>
        </w:rPr>
        <w:t xml:space="preserve"> Non-recovered “big burst” events are more frequent than expected under a noise-only timing model.</w:t>
      </w:r>
      <w:r w:rsidR="00441D9A" w:rsidRPr="00FE5D0C">
        <w:rPr>
          <w:b/>
          <w:bCs/>
          <w:lang w:val="en-US"/>
        </w:rPr>
        <w:t xml:space="preserve"> </w:t>
      </w:r>
      <w:r w:rsidRPr="00FE5D0C">
        <w:rPr>
          <w:lang w:val="en-US"/>
        </w:rPr>
        <w:t xml:space="preserve">The figure compares observed rates of non-recovered big drops (“bursts”) in episodic-memory scores with permutation-based null </w:t>
      </w:r>
      <w:r w:rsidRPr="00FE5D0C">
        <w:rPr>
          <w:lang w:val="en-US"/>
        </w:rPr>
        <w:lastRenderedPageBreak/>
        <w:t>expectations that preserve each person’s variability but randomize the timing of fluctuations. Results are shown across age bands (50–59, 60–69, 70–79, 80+, and All ages) and across analysis settings that vary the drop size threshold and the recovery rule. Points show observed values; bands/bars show the permutation distribution (median and interquartile range, IQR). Right-tailed permutation p-values (as or more extreme than observed) are annotated; all tested configurations yielded p</w:t>
      </w:r>
      <w:r w:rsidRPr="00FE5D0C">
        <w:rPr>
          <w:rFonts w:ascii="Arial" w:hAnsi="Arial" w:cs="Arial"/>
          <w:lang w:val="en-US"/>
        </w:rPr>
        <w:t> </w:t>
      </w:r>
      <w:r w:rsidRPr="00FE5D0C">
        <w:rPr>
          <w:lang w:val="en-US"/>
        </w:rPr>
        <w:t>&lt;</w:t>
      </w:r>
      <w:r w:rsidRPr="00FE5D0C">
        <w:rPr>
          <w:rFonts w:ascii="Arial" w:hAnsi="Arial" w:cs="Arial"/>
          <w:lang w:val="en-US"/>
        </w:rPr>
        <w:t> </w:t>
      </w:r>
      <w:r w:rsidRPr="00FE5D0C">
        <w:rPr>
          <w:lang w:val="en-US"/>
        </w:rPr>
        <w:t xml:space="preserve">.001. Solid symbols = observed outcome; hollow symbols/lines or shaded bands = permutation null (median with IQR). Error bars depict IQR. </w:t>
      </w:r>
    </w:p>
    <w:p w14:paraId="72096513" w14:textId="77777777" w:rsidR="00242E12" w:rsidRPr="00FE5D0C" w:rsidRDefault="00242E12" w:rsidP="00FE5D0C">
      <w:pPr>
        <w:spacing w:after="0" w:line="360" w:lineRule="auto"/>
        <w:rPr>
          <w:lang w:val="en-US"/>
        </w:rPr>
      </w:pPr>
    </w:p>
    <w:p w14:paraId="117381B6" w14:textId="01D3E364" w:rsidR="009660F7" w:rsidRPr="00FE5D0C" w:rsidRDefault="009660F7" w:rsidP="00FE5D0C">
      <w:pPr>
        <w:spacing w:after="0" w:line="360" w:lineRule="auto"/>
        <w:rPr>
          <w:b/>
          <w:bCs/>
          <w:lang w:val="en-US"/>
        </w:rPr>
      </w:pPr>
      <w:r w:rsidRPr="00FE5D0C">
        <w:rPr>
          <w:b/>
          <w:bCs/>
          <w:lang w:val="en-US"/>
        </w:rPr>
        <w:t>Section 10: Offset-slope analyses</w:t>
      </w:r>
    </w:p>
    <w:p w14:paraId="07520B4C" w14:textId="77777777" w:rsidR="006868F8" w:rsidRPr="00FE5D0C" w:rsidRDefault="006868F8" w:rsidP="00FE5D0C">
      <w:pPr>
        <w:spacing w:after="0" w:line="360" w:lineRule="auto"/>
        <w:rPr>
          <w:lang w:val="en-US"/>
        </w:rPr>
      </w:pPr>
    </w:p>
    <w:p w14:paraId="3DE372B7" w14:textId="77777777" w:rsidR="004773AE" w:rsidRPr="00FE5D0C" w:rsidRDefault="006868F8" w:rsidP="00FE5D0C">
      <w:pPr>
        <w:spacing w:after="0" w:line="360" w:lineRule="auto"/>
        <w:rPr>
          <w:b/>
          <w:bCs/>
          <w:lang w:val="en-US"/>
        </w:rPr>
      </w:pPr>
      <w:r w:rsidRPr="00FE5D0C">
        <w:rPr>
          <w:noProof/>
          <w:lang w:val="en-US"/>
        </w:rPr>
        <w:drawing>
          <wp:inline distT="0" distB="0" distL="0" distR="0" wp14:anchorId="4A664F08" wp14:editId="60BC7952">
            <wp:extent cx="3264674" cy="2286000"/>
            <wp:effectExtent l="0" t="0" r="0" b="0"/>
            <wp:docPr id="95836763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367631" name="Bilde 95836763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69240" cy="2289197"/>
                    </a:xfrm>
                    <a:prstGeom prst="rect">
                      <a:avLst/>
                    </a:prstGeom>
                  </pic:spPr>
                </pic:pic>
              </a:graphicData>
            </a:graphic>
          </wp:inline>
        </w:drawing>
      </w:r>
    </w:p>
    <w:p w14:paraId="71881F99" w14:textId="6A78F888" w:rsidR="006868F8" w:rsidRDefault="009660F7" w:rsidP="00FE5D0C">
      <w:pPr>
        <w:spacing w:after="0" w:line="360" w:lineRule="auto"/>
        <w:rPr>
          <w:b/>
          <w:bCs/>
          <w:lang w:val="en-US"/>
        </w:rPr>
      </w:pPr>
      <w:r w:rsidRPr="00FE5D0C">
        <w:rPr>
          <w:b/>
          <w:bCs/>
          <w:lang w:val="en-US"/>
        </w:rPr>
        <w:t>Supplementary Figure 15</w:t>
      </w:r>
      <w:r w:rsidR="006868F8" w:rsidRPr="00FE5D0C">
        <w:rPr>
          <w:b/>
          <w:bCs/>
          <w:lang w:val="en-US"/>
        </w:rPr>
        <w:t xml:space="preserve">. </w:t>
      </w:r>
      <w:r w:rsidRPr="00FE5D0C">
        <w:rPr>
          <w:b/>
          <w:bCs/>
          <w:lang w:val="en-US"/>
        </w:rPr>
        <w:t>Thiel-Sen s</w:t>
      </w:r>
      <w:r w:rsidR="006868F8" w:rsidRPr="00FE5D0C">
        <w:rPr>
          <w:b/>
          <w:bCs/>
          <w:lang w:val="en-US"/>
        </w:rPr>
        <w:t xml:space="preserve">lope vs </w:t>
      </w:r>
      <w:r w:rsidRPr="00FE5D0C">
        <w:rPr>
          <w:b/>
          <w:bCs/>
          <w:lang w:val="en-US"/>
        </w:rPr>
        <w:t xml:space="preserve">Thiel-Sen estimated </w:t>
      </w:r>
      <w:r w:rsidR="006868F8" w:rsidRPr="00FE5D0C">
        <w:rPr>
          <w:b/>
          <w:bCs/>
          <w:lang w:val="en-US"/>
        </w:rPr>
        <w:t>recall</w:t>
      </w:r>
      <w:r w:rsidR="004773AE" w:rsidRPr="00FE5D0C">
        <w:rPr>
          <w:b/>
          <w:bCs/>
          <w:lang w:val="en-US"/>
        </w:rPr>
        <w:t>.</w:t>
      </w:r>
    </w:p>
    <w:p w14:paraId="3C54F5C8" w14:textId="77777777" w:rsidR="00292A68" w:rsidRDefault="00292A68" w:rsidP="00FE5D0C">
      <w:pPr>
        <w:spacing w:after="0" w:line="360" w:lineRule="auto"/>
        <w:rPr>
          <w:b/>
          <w:bCs/>
          <w:lang w:val="en-US"/>
        </w:rPr>
      </w:pPr>
    </w:p>
    <w:p w14:paraId="38AE9274" w14:textId="77777777" w:rsidR="00292A68" w:rsidRPr="00FE5D0C" w:rsidRDefault="00292A68" w:rsidP="00FE5D0C">
      <w:pPr>
        <w:spacing w:after="0" w:line="360" w:lineRule="auto"/>
        <w:rPr>
          <w:b/>
          <w:bCs/>
          <w:lang w:val="en-US"/>
        </w:rPr>
      </w:pPr>
    </w:p>
    <w:p w14:paraId="2FD2094A" w14:textId="77777777" w:rsidR="004773AE" w:rsidRPr="00FE5D0C" w:rsidRDefault="004773AE" w:rsidP="00FE5D0C">
      <w:pPr>
        <w:spacing w:after="0" w:line="360" w:lineRule="auto"/>
        <w:rPr>
          <w:b/>
          <w:bCs/>
          <w:i/>
          <w:iCs/>
          <w:lang w:val="en-US"/>
        </w:rPr>
      </w:pPr>
      <w:r w:rsidRPr="00FE5D0C">
        <w:rPr>
          <w:noProof/>
          <w:lang w:val="en-US"/>
        </w:rPr>
        <w:drawing>
          <wp:inline distT="0" distB="0" distL="0" distR="0" wp14:anchorId="627A0077" wp14:editId="6CA89A06">
            <wp:extent cx="3663950" cy="2831254"/>
            <wp:effectExtent l="0" t="0" r="0" b="7620"/>
            <wp:docPr id="786418135" name="Bilde 1" descr="Et bilde som inneholder tekst, skjermbild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418135" name="Bilde 1" descr="Et bilde som inneholder tekst, skjermbilde&#10;&#10;KI-generert innhold kan være feil."/>
                    <pic:cNvPicPr/>
                  </pic:nvPicPr>
                  <pic:blipFill rotWithShape="1">
                    <a:blip r:embed="rId22" cstate="print">
                      <a:extLst>
                        <a:ext uri="{28A0092B-C50C-407E-A947-70E740481C1C}">
                          <a14:useLocalDpi xmlns:a14="http://schemas.microsoft.com/office/drawing/2010/main" val="0"/>
                        </a:ext>
                      </a:extLst>
                    </a:blip>
                    <a:srcRect t="14498" r="26231"/>
                    <a:stretch/>
                  </pic:blipFill>
                  <pic:spPr bwMode="auto">
                    <a:xfrm>
                      <a:off x="0" y="0"/>
                      <a:ext cx="3690951" cy="2852119"/>
                    </a:xfrm>
                    <a:prstGeom prst="rect">
                      <a:avLst/>
                    </a:prstGeom>
                    <a:ln>
                      <a:noFill/>
                    </a:ln>
                    <a:extLst>
                      <a:ext uri="{53640926-AAD7-44D8-BBD7-CCE9431645EC}">
                        <a14:shadowObscured xmlns:a14="http://schemas.microsoft.com/office/drawing/2010/main"/>
                      </a:ext>
                    </a:extLst>
                  </pic:spPr>
                </pic:pic>
              </a:graphicData>
            </a:graphic>
          </wp:inline>
        </w:drawing>
      </w:r>
    </w:p>
    <w:p w14:paraId="17AE904C" w14:textId="65DA0E09" w:rsidR="004773AE" w:rsidRPr="00FE5D0C" w:rsidRDefault="004773AE" w:rsidP="00FE5D0C">
      <w:pPr>
        <w:spacing w:after="0" w:line="360" w:lineRule="auto"/>
        <w:rPr>
          <w:lang w:val="en-US"/>
        </w:rPr>
      </w:pPr>
      <w:r w:rsidRPr="00FE5D0C">
        <w:rPr>
          <w:b/>
          <w:bCs/>
          <w:lang w:val="en-US"/>
        </w:rPr>
        <w:lastRenderedPageBreak/>
        <w:t xml:space="preserve">Supplementary Figure 16. Thiel-Sen-estimated memory in all BETULA participants and </w:t>
      </w:r>
      <w:r w:rsidR="00393B14" w:rsidRPr="00393B14">
        <w:rPr>
          <w:b/>
          <w:bCs/>
          <w:lang w:val="en-US"/>
        </w:rPr>
        <w:t>stable performers</w:t>
      </w:r>
      <w:r w:rsidRPr="00FE5D0C">
        <w:rPr>
          <w:lang w:val="en-US"/>
        </w:rPr>
        <w:t xml:space="preserve">. Left: Slopes for all </w:t>
      </w:r>
      <w:r w:rsidR="00393B14" w:rsidRPr="00393B14">
        <w:rPr>
          <w:lang w:val="en-US"/>
        </w:rPr>
        <w:t xml:space="preserve">stable performers </w:t>
      </w:r>
      <w:r w:rsidRPr="00FE5D0C">
        <w:rPr>
          <w:lang w:val="en-US"/>
        </w:rPr>
        <w:t>(red) and non-</w:t>
      </w:r>
      <w:r w:rsidR="00393B14" w:rsidRPr="00393B14">
        <w:rPr>
          <w:lang w:val="en-GB"/>
        </w:rPr>
        <w:t xml:space="preserve"> </w:t>
      </w:r>
      <w:r w:rsidR="00393B14" w:rsidRPr="00393B14">
        <w:rPr>
          <w:lang w:val="en-US"/>
        </w:rPr>
        <w:t xml:space="preserve">stable performers </w:t>
      </w:r>
      <w:r w:rsidRPr="00FE5D0C">
        <w:rPr>
          <w:lang w:val="en-US"/>
        </w:rPr>
        <w:t xml:space="preserve">(grey) in Betula. Right: Memory level for each </w:t>
      </w:r>
      <w:r w:rsidR="00393B14" w:rsidRPr="00393B14">
        <w:rPr>
          <w:lang w:val="en-US"/>
        </w:rPr>
        <w:t>stable performer</w:t>
      </w:r>
      <w:r w:rsidR="00393B14">
        <w:rPr>
          <w:lang w:val="en-US"/>
        </w:rPr>
        <w:t xml:space="preserve"> </w:t>
      </w:r>
      <w:r w:rsidRPr="00FE5D0C">
        <w:rPr>
          <w:lang w:val="en-US"/>
        </w:rPr>
        <w:t>(red) and non-</w:t>
      </w:r>
      <w:r w:rsidR="00393B14" w:rsidRPr="00393B14">
        <w:rPr>
          <w:lang w:val="en-GB"/>
        </w:rPr>
        <w:t xml:space="preserve"> </w:t>
      </w:r>
      <w:r w:rsidR="00393B14" w:rsidRPr="00393B14">
        <w:rPr>
          <w:lang w:val="en-US"/>
        </w:rPr>
        <w:t>stable performer</w:t>
      </w:r>
      <w:r w:rsidR="00393B14">
        <w:rPr>
          <w:lang w:val="en-US"/>
        </w:rPr>
        <w:t xml:space="preserve"> </w:t>
      </w:r>
      <w:r w:rsidRPr="00FE5D0C">
        <w:rPr>
          <w:lang w:val="en-US"/>
        </w:rPr>
        <w:t>(grey) and the GAM-derived age-trajectories. Shaded area denotes 95% CI.</w:t>
      </w:r>
    </w:p>
    <w:p w14:paraId="19E3AEA2" w14:textId="57F60570" w:rsidR="00242E12" w:rsidRPr="00FE5D0C" w:rsidRDefault="00242E12" w:rsidP="00FE5D0C">
      <w:pPr>
        <w:spacing w:after="0" w:line="360" w:lineRule="auto"/>
        <w:rPr>
          <w:lang w:val="en-US"/>
        </w:rPr>
      </w:pPr>
    </w:p>
    <w:p w14:paraId="4496CC32" w14:textId="7F97A973" w:rsidR="004773AE" w:rsidRPr="00FE5D0C" w:rsidRDefault="004773AE" w:rsidP="00FE5D0C">
      <w:pPr>
        <w:spacing w:after="0" w:line="360" w:lineRule="auto"/>
        <w:rPr>
          <w:lang w:val="en-US"/>
        </w:rPr>
      </w:pPr>
      <w:r w:rsidRPr="00FE5D0C">
        <w:rPr>
          <w:b/>
          <w:bCs/>
          <w:noProof/>
          <w:lang w:val="en-US"/>
        </w:rPr>
        <w:drawing>
          <wp:inline distT="0" distB="0" distL="0" distR="0" wp14:anchorId="784CB01D" wp14:editId="7D05633E">
            <wp:extent cx="5760720" cy="1382395"/>
            <wp:effectExtent l="0" t="0" r="0" b="8255"/>
            <wp:docPr id="1749603964" name="Bilde 5" descr="Et bilde som inneholder diagram, Plottdiagram, lin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603964" name="Bilde 5" descr="Et bilde som inneholder diagram, Plottdiagram, line&#10;&#10;KI-generert innhold kan være feil."/>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1382395"/>
                    </a:xfrm>
                    <a:prstGeom prst="rect">
                      <a:avLst/>
                    </a:prstGeom>
                  </pic:spPr>
                </pic:pic>
              </a:graphicData>
            </a:graphic>
          </wp:inline>
        </w:drawing>
      </w:r>
    </w:p>
    <w:p w14:paraId="23871254" w14:textId="3B23B635" w:rsidR="004773AE" w:rsidRPr="00FE5D0C" w:rsidRDefault="004773AE" w:rsidP="00FE5D0C">
      <w:pPr>
        <w:spacing w:after="0" w:line="360" w:lineRule="auto"/>
        <w:rPr>
          <w:lang w:val="en-US"/>
        </w:rPr>
      </w:pPr>
      <w:r w:rsidRPr="00FE5D0C">
        <w:rPr>
          <w:b/>
          <w:bCs/>
          <w:lang w:val="en-US"/>
        </w:rPr>
        <w:t xml:space="preserve">Supplementary Figure 17. The back-projection paradox in HRS under a transient </w:t>
      </w:r>
      <w:r w:rsidR="00393B14" w:rsidRPr="00393B14">
        <w:rPr>
          <w:b/>
          <w:bCs/>
          <w:lang w:val="en-US"/>
        </w:rPr>
        <w:t xml:space="preserve">stable performers </w:t>
      </w:r>
      <w:r w:rsidRPr="00FE5D0C">
        <w:rPr>
          <w:b/>
          <w:bCs/>
          <w:lang w:val="en-US"/>
        </w:rPr>
        <w:t>(bout) framework</w:t>
      </w:r>
      <w:r w:rsidRPr="00FE5D0C">
        <w:rPr>
          <w:lang w:val="en-US"/>
        </w:rPr>
        <w:t>. Left panel: Theil–Sen (TS)–estimated episodic memory level (practice-corrected recall total) as a function of age. Each participant contributes one TS-defined level at their median observed age; the black curve shows the smoothed mean across all eligible HRS participants (≥4 observations), and the dashed curve shows the corresponding mean for participants who exhibited at least one contiguous “</w:t>
      </w:r>
      <w:r w:rsidR="00393B14">
        <w:rPr>
          <w:lang w:val="en-US"/>
        </w:rPr>
        <w:t>stable</w:t>
      </w:r>
      <w:r w:rsidRPr="00FE5D0C">
        <w:rPr>
          <w:lang w:val="en-US"/>
        </w:rPr>
        <w:t xml:space="preserve">” bout meeting the conservative criterion (leave-one-out TS lower 95% bound ≥ 0). The shaded band denotes the central 75% of the distribution of TS-estimated levels at each age (moving window), and faint individual lines show the TS-implied trajectories for bout </w:t>
      </w:r>
      <w:r w:rsidR="00393B14" w:rsidRPr="00393B14">
        <w:rPr>
          <w:lang w:val="en-US"/>
        </w:rPr>
        <w:t xml:space="preserve">stable performers </w:t>
      </w:r>
      <w:r w:rsidRPr="00FE5D0C">
        <w:rPr>
          <w:lang w:val="en-US"/>
        </w:rPr>
        <w:t xml:space="preserve">across their observed age ranges. Middle panel: Same background band as in (A), with points showing TS-estimated levels at the median age for bout </w:t>
      </w:r>
      <w:r w:rsidR="00393B14" w:rsidRPr="00393B14">
        <w:rPr>
          <w:lang w:val="en-US"/>
        </w:rPr>
        <w:t xml:space="preserve">stable performers </w:t>
      </w:r>
      <w:r w:rsidRPr="00FE5D0C">
        <w:rPr>
          <w:lang w:val="en-US"/>
        </w:rPr>
        <w:t xml:space="preserve">only; the solid curve is the smoothed mean for bout </w:t>
      </w:r>
      <w:r w:rsidR="00393B14" w:rsidRPr="00393B14">
        <w:rPr>
          <w:lang w:val="en-US"/>
        </w:rPr>
        <w:t>stable performers</w:t>
      </w:r>
      <w:r w:rsidRPr="00FE5D0C">
        <w:rPr>
          <w:lang w:val="en-US"/>
        </w:rPr>
        <w:t xml:space="preserve">. Right panel: Distribution of cohort-standardized back-projected performance at age 55 among older participants (defined as having a maximum observed age ≥75). For each participant, a linear TS model was used to back-project to age 55: bout </w:t>
      </w:r>
      <w:r w:rsidR="00393B14" w:rsidRPr="00393B14">
        <w:rPr>
          <w:lang w:val="en-US"/>
        </w:rPr>
        <w:t xml:space="preserve">stable performers </w:t>
      </w:r>
      <w:r w:rsidRPr="00FE5D0C">
        <w:rPr>
          <w:lang w:val="en-US"/>
        </w:rPr>
        <w:t xml:space="preserve">were projected using the slope and intercept estimated within their identified </w:t>
      </w:r>
      <w:r w:rsidR="003D39FE">
        <w:rPr>
          <w:lang w:val="en-US"/>
        </w:rPr>
        <w:t>stable</w:t>
      </w:r>
      <w:r w:rsidRPr="00FE5D0C">
        <w:rPr>
          <w:lang w:val="en-US"/>
        </w:rPr>
        <w:t xml:space="preserve"> bout (anchored to the bout), whereas non-</w:t>
      </w:r>
      <w:r w:rsidR="00393B14" w:rsidRPr="00393B14">
        <w:rPr>
          <w:lang w:val="en-GB"/>
        </w:rPr>
        <w:t xml:space="preserve"> </w:t>
      </w:r>
      <w:r w:rsidR="00393B14" w:rsidRPr="00393B14">
        <w:rPr>
          <w:lang w:val="en-US"/>
        </w:rPr>
        <w:t xml:space="preserve">stable performers </w:t>
      </w:r>
      <w:r w:rsidRPr="00FE5D0C">
        <w:rPr>
          <w:lang w:val="en-US"/>
        </w:rPr>
        <w:t xml:space="preserve">were projected using their TS line fit across all observations. Back-projected values were z-standardized within birth cohort using cohort norms at age 55 derived from participants observed in midlife (ages 50–60). The vertical line marks the cohort mean (z = 0). The pronounced left-shift among bout </w:t>
      </w:r>
      <w:r w:rsidR="00393B14" w:rsidRPr="00393B14">
        <w:rPr>
          <w:lang w:val="en-US"/>
        </w:rPr>
        <w:t xml:space="preserve">stable performers </w:t>
      </w:r>
      <w:r w:rsidRPr="00FE5D0C">
        <w:rPr>
          <w:lang w:val="en-US"/>
        </w:rPr>
        <w:t xml:space="preserve">indicates that extrapolating the stable-period dynamics backward implies implausibly low midlife performance for many individuals, consistent with </w:t>
      </w:r>
      <w:r w:rsidR="00393B14">
        <w:rPr>
          <w:lang w:val="en-US"/>
        </w:rPr>
        <w:t>stability</w:t>
      </w:r>
      <w:r w:rsidRPr="00FE5D0C">
        <w:rPr>
          <w:lang w:val="en-US"/>
        </w:rPr>
        <w:t xml:space="preserve"> being predominantly a time-limited plateau embedded within a broader decline trajectory rather than a lifelong trait.</w:t>
      </w:r>
    </w:p>
    <w:p w14:paraId="7BF6C0C3" w14:textId="77777777" w:rsidR="004773AE" w:rsidRPr="00FE5D0C" w:rsidRDefault="004773AE" w:rsidP="00FE5D0C">
      <w:pPr>
        <w:spacing w:after="0" w:line="360" w:lineRule="auto"/>
        <w:rPr>
          <w:lang w:val="en-US"/>
        </w:rPr>
      </w:pPr>
    </w:p>
    <w:p w14:paraId="210DDE75" w14:textId="77777777" w:rsidR="009D0416" w:rsidRDefault="009D0416" w:rsidP="00FE5D0C">
      <w:pPr>
        <w:spacing w:after="0" w:line="360" w:lineRule="auto"/>
        <w:rPr>
          <w:b/>
          <w:bCs/>
          <w:lang w:val="en-GB"/>
        </w:rPr>
      </w:pPr>
    </w:p>
    <w:p w14:paraId="48F1FB3B" w14:textId="77777777" w:rsidR="009D0416" w:rsidRDefault="009D0416" w:rsidP="00FE5D0C">
      <w:pPr>
        <w:spacing w:after="0" w:line="360" w:lineRule="auto"/>
        <w:rPr>
          <w:b/>
          <w:bCs/>
          <w:lang w:val="en-GB"/>
        </w:rPr>
      </w:pPr>
    </w:p>
    <w:p w14:paraId="593B89BE" w14:textId="77777777" w:rsidR="009D0416" w:rsidRDefault="009D0416" w:rsidP="00FE5D0C">
      <w:pPr>
        <w:spacing w:after="0" w:line="360" w:lineRule="auto"/>
        <w:rPr>
          <w:b/>
          <w:bCs/>
          <w:lang w:val="en-GB"/>
        </w:rPr>
      </w:pPr>
    </w:p>
    <w:p w14:paraId="56ECC332" w14:textId="77777777" w:rsidR="009D0416" w:rsidRDefault="009D0416" w:rsidP="00FE5D0C">
      <w:pPr>
        <w:spacing w:after="0" w:line="360" w:lineRule="auto"/>
        <w:rPr>
          <w:b/>
          <w:bCs/>
          <w:lang w:val="en-GB"/>
        </w:rPr>
      </w:pPr>
    </w:p>
    <w:p w14:paraId="027C2716" w14:textId="77777777" w:rsidR="009D0416" w:rsidRDefault="009D0416" w:rsidP="00FE5D0C">
      <w:pPr>
        <w:spacing w:after="0" w:line="360" w:lineRule="auto"/>
        <w:rPr>
          <w:b/>
          <w:bCs/>
          <w:lang w:val="en-GB"/>
        </w:rPr>
      </w:pPr>
    </w:p>
    <w:p w14:paraId="5F075690" w14:textId="678D3F4A" w:rsidR="004773AE" w:rsidRPr="00FE5D0C" w:rsidRDefault="004773AE" w:rsidP="00FE5D0C">
      <w:pPr>
        <w:spacing w:after="0" w:line="360" w:lineRule="auto"/>
        <w:rPr>
          <w:b/>
          <w:bCs/>
          <w:lang w:val="en-GB"/>
        </w:rPr>
      </w:pPr>
      <w:r w:rsidRPr="00FE5D0C">
        <w:rPr>
          <w:b/>
          <w:bCs/>
          <w:lang w:val="en-GB"/>
        </w:rPr>
        <w:t xml:space="preserve">Section 11: </w:t>
      </w:r>
      <w:r w:rsidR="00292A68">
        <w:rPr>
          <w:b/>
          <w:bCs/>
          <w:lang w:val="en-GB"/>
        </w:rPr>
        <w:t>Stable</w:t>
      </w:r>
      <w:r w:rsidRPr="00FE5D0C">
        <w:rPr>
          <w:b/>
          <w:bCs/>
          <w:lang w:val="en-GB"/>
        </w:rPr>
        <w:t xml:space="preserve"> bout analyses – </w:t>
      </w:r>
      <w:r w:rsidR="00292A68">
        <w:rPr>
          <w:b/>
          <w:bCs/>
          <w:lang w:val="en-GB"/>
        </w:rPr>
        <w:t>stability</w:t>
      </w:r>
      <w:r w:rsidRPr="00FE5D0C">
        <w:rPr>
          <w:b/>
          <w:bCs/>
          <w:lang w:val="en-GB"/>
        </w:rPr>
        <w:t xml:space="preserve"> as a state</w:t>
      </w:r>
    </w:p>
    <w:p w14:paraId="7D66779A" w14:textId="33E1B1A9" w:rsidR="004773AE" w:rsidRPr="00FE5D0C" w:rsidRDefault="004773AE" w:rsidP="00FE5D0C">
      <w:pPr>
        <w:spacing w:after="0" w:line="360" w:lineRule="auto"/>
        <w:rPr>
          <w:lang w:val="en-GB"/>
        </w:rPr>
      </w:pPr>
      <w:r w:rsidRPr="00FE5D0C">
        <w:rPr>
          <w:noProof/>
          <w:lang w:val="en-GB"/>
        </w:rPr>
        <w:drawing>
          <wp:inline distT="0" distB="0" distL="0" distR="0" wp14:anchorId="7469780F" wp14:editId="4E2D41DF">
            <wp:extent cx="5760720" cy="3168015"/>
            <wp:effectExtent l="0" t="0" r="0" b="0"/>
            <wp:docPr id="1819239172" name="Bilde 4" descr="Et bilde som inneholder tekst, diagram, line, Plottdiagram&#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239172" name="Bilde 4" descr="Et bilde som inneholder tekst, diagram, line, Plottdiagram&#10;&#10;KI-generert innhold kan være feil."/>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3168015"/>
                    </a:xfrm>
                    <a:prstGeom prst="rect">
                      <a:avLst/>
                    </a:prstGeom>
                  </pic:spPr>
                </pic:pic>
              </a:graphicData>
            </a:graphic>
          </wp:inline>
        </w:drawing>
      </w:r>
    </w:p>
    <w:p w14:paraId="74EF6476" w14:textId="13919709" w:rsidR="004773AE" w:rsidRPr="00FE5D0C" w:rsidRDefault="004773AE" w:rsidP="00FE5D0C">
      <w:pPr>
        <w:spacing w:after="0" w:line="360" w:lineRule="auto"/>
        <w:rPr>
          <w:lang w:val="en-US"/>
        </w:rPr>
      </w:pPr>
      <w:r w:rsidRPr="00FE5D0C">
        <w:rPr>
          <w:b/>
          <w:bCs/>
          <w:lang w:val="en-US"/>
        </w:rPr>
        <w:t xml:space="preserve">Supplementary Figure 18. True prevalence of </w:t>
      </w:r>
      <w:r w:rsidR="00393B14">
        <w:rPr>
          <w:b/>
          <w:bCs/>
          <w:lang w:val="en-US"/>
        </w:rPr>
        <w:t>stable</w:t>
      </w:r>
      <w:r w:rsidRPr="00FE5D0C">
        <w:rPr>
          <w:b/>
          <w:bCs/>
          <w:lang w:val="en-US"/>
        </w:rPr>
        <w:t xml:space="preserve"> periods across the full follow-up (any age) in HRS and SHARE.</w:t>
      </w:r>
      <w:r w:rsidRPr="00FE5D0C">
        <w:rPr>
          <w:b/>
          <w:bCs/>
          <w:i/>
          <w:iCs/>
          <w:lang w:val="en-US"/>
        </w:rPr>
        <w:t xml:space="preserve"> </w:t>
      </w:r>
      <w:r w:rsidRPr="00FE5D0C">
        <w:rPr>
          <w:lang w:val="en-US"/>
        </w:rPr>
        <w:t xml:space="preserve">Panels show the estimated true prevalence of having at least one contiguous </w:t>
      </w:r>
      <w:r w:rsidR="00393B14">
        <w:rPr>
          <w:lang w:val="en-US"/>
        </w:rPr>
        <w:t>stable</w:t>
      </w:r>
      <w:r w:rsidRPr="00FE5D0C">
        <w:rPr>
          <w:lang w:val="en-US"/>
        </w:rPr>
        <w:t xml:space="preserve"> period of length ≥W waves (W = 4–13) for the HRS (left) and SHARE (right). The x-axis gives the mean duration (years) of </w:t>
      </w:r>
      <w:r w:rsidR="00393B14">
        <w:rPr>
          <w:lang w:val="en-US"/>
        </w:rPr>
        <w:t>stable</w:t>
      </w:r>
      <w:r w:rsidRPr="00FE5D0C">
        <w:rPr>
          <w:lang w:val="en-US"/>
        </w:rPr>
        <w:t xml:space="preserve"> periods among participants meeting the corresponding threshold, and the y-axis gives the PPV/Se-corrected true prevalence (Se = 0.80). </w:t>
      </w:r>
      <w:r w:rsidR="00393B14">
        <w:rPr>
          <w:lang w:val="en-US"/>
        </w:rPr>
        <w:t>Stable</w:t>
      </w:r>
      <w:r w:rsidRPr="00FE5D0C">
        <w:rPr>
          <w:lang w:val="en-US"/>
        </w:rPr>
        <w:t xml:space="preserve"> periods were defined using the conservative criterion of a leave-one-out Theil–Sen 5th-percentile (95% lower bound) ≥ 0 within the candidate window. Shaded ribbons show uncertainty from the simulation-derived null (constructed from the 5th and 95th percentiles of null prevalence and propagated through the correction). Numbers next to points indicate the wave threshold W. Axes are identical across panels to facilitate direct comparison of prevalence and duration between cohorts.</w:t>
      </w:r>
    </w:p>
    <w:p w14:paraId="5B66064F" w14:textId="77777777" w:rsidR="004773AE" w:rsidRPr="00FE5D0C" w:rsidRDefault="004773AE" w:rsidP="00FE5D0C">
      <w:pPr>
        <w:spacing w:after="0" w:line="360" w:lineRule="auto"/>
        <w:rPr>
          <w:lang w:val="en-US"/>
        </w:rPr>
      </w:pPr>
    </w:p>
    <w:p w14:paraId="2C6BE9B0" w14:textId="77777777" w:rsidR="004773AE" w:rsidRPr="00FE5D0C" w:rsidRDefault="004773AE" w:rsidP="00FE5D0C">
      <w:pPr>
        <w:spacing w:after="0" w:line="360" w:lineRule="auto"/>
        <w:rPr>
          <w:lang w:val="en-US"/>
        </w:rPr>
      </w:pPr>
    </w:p>
    <w:p w14:paraId="33704615" w14:textId="5052A9A1" w:rsidR="00242E12" w:rsidRPr="00FE5D0C" w:rsidRDefault="00242E12" w:rsidP="00FE5D0C">
      <w:pPr>
        <w:spacing w:after="0" w:line="360" w:lineRule="auto"/>
        <w:rPr>
          <w:lang w:val="en-US"/>
        </w:rPr>
      </w:pPr>
      <w:r w:rsidRPr="00FE5D0C">
        <w:rPr>
          <w:noProof/>
          <w:lang w:val="en-US"/>
        </w:rPr>
        <w:lastRenderedPageBreak/>
        <w:drawing>
          <wp:inline distT="0" distB="0" distL="0" distR="0" wp14:anchorId="0E4256F0" wp14:editId="48017529">
            <wp:extent cx="5507181" cy="3365500"/>
            <wp:effectExtent l="0" t="0" r="0" b="6350"/>
            <wp:docPr id="1193813838" name="Bilde 6" descr="Et bilde som inneholder tekst, skjermbilde, line, diagram&#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813838" name="Bilde 6" descr="Et bilde som inneholder tekst, skjermbilde, line, diagram&#10;&#10;KI-generert innhold kan være feil."/>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23978" cy="3375765"/>
                    </a:xfrm>
                    <a:prstGeom prst="rect">
                      <a:avLst/>
                    </a:prstGeom>
                  </pic:spPr>
                </pic:pic>
              </a:graphicData>
            </a:graphic>
          </wp:inline>
        </w:drawing>
      </w:r>
    </w:p>
    <w:p w14:paraId="04B64DE5" w14:textId="2DF90BB8" w:rsidR="00242E12" w:rsidRDefault="004773AE" w:rsidP="00FE5D0C">
      <w:pPr>
        <w:spacing w:after="0" w:line="360" w:lineRule="auto"/>
        <w:rPr>
          <w:lang w:val="en-GB"/>
        </w:rPr>
      </w:pPr>
      <w:r w:rsidRPr="00FE5D0C">
        <w:rPr>
          <w:b/>
          <w:bCs/>
          <w:lang w:val="en-GB"/>
        </w:rPr>
        <w:t>Supplementary Figure 19</w:t>
      </w:r>
      <w:r w:rsidR="00242E12" w:rsidRPr="00242E12">
        <w:rPr>
          <w:b/>
          <w:bCs/>
          <w:lang w:val="en-GB"/>
        </w:rPr>
        <w:t xml:space="preserve">. Timing of stable windows within follow-up in HRS supports </w:t>
      </w:r>
      <w:r w:rsidR="00393B14">
        <w:rPr>
          <w:b/>
          <w:bCs/>
          <w:lang w:val="en-GB"/>
        </w:rPr>
        <w:t>stability</w:t>
      </w:r>
      <w:r w:rsidR="00242E12" w:rsidRPr="00242E12">
        <w:rPr>
          <w:b/>
          <w:bCs/>
          <w:lang w:val="en-GB"/>
        </w:rPr>
        <w:t xml:space="preserve"> as a time-limited state.</w:t>
      </w:r>
      <w:r w:rsidRPr="00FE5D0C">
        <w:rPr>
          <w:b/>
          <w:bCs/>
          <w:lang w:val="en-GB"/>
        </w:rPr>
        <w:t xml:space="preserve"> </w:t>
      </w:r>
      <w:r w:rsidR="00242E12" w:rsidRPr="00242E12">
        <w:rPr>
          <w:lang w:val="en-GB"/>
        </w:rPr>
        <w:t>This figure compares the prevalence of qualifying stable windows when stability is required to occur (</w:t>
      </w:r>
      <w:proofErr w:type="spellStart"/>
      <w:r w:rsidR="00242E12" w:rsidRPr="00242E12">
        <w:rPr>
          <w:lang w:val="en-GB"/>
        </w:rPr>
        <w:t>i</w:t>
      </w:r>
      <w:proofErr w:type="spellEnd"/>
      <w:r w:rsidR="00242E12" w:rsidRPr="00242E12">
        <w:rPr>
          <w:lang w:val="en-GB"/>
        </w:rPr>
        <w:t xml:space="preserve">) in the first possible contiguous window of length </w:t>
      </w:r>
      <w:r w:rsidR="00242E12" w:rsidRPr="00242E12">
        <w:rPr>
          <w:i/>
          <w:iCs/>
          <w:lang w:val="en-GB"/>
        </w:rPr>
        <w:t>W</w:t>
      </w:r>
      <w:r w:rsidR="00242E12" w:rsidRPr="00242E12">
        <w:rPr>
          <w:lang w:val="en-GB"/>
        </w:rPr>
        <w:t xml:space="preserve"> (“First </w:t>
      </w:r>
      <w:r w:rsidR="00242E12" w:rsidRPr="00242E12">
        <w:rPr>
          <w:i/>
          <w:iCs/>
          <w:lang w:val="en-GB"/>
        </w:rPr>
        <w:t>W</w:t>
      </w:r>
      <w:r w:rsidR="00242E12" w:rsidRPr="00242E12">
        <w:rPr>
          <w:lang w:val="en-GB"/>
        </w:rPr>
        <w:t xml:space="preserve"> waves”), (ii) in the last possible contiguous window of length </w:t>
      </w:r>
      <w:r w:rsidR="00242E12" w:rsidRPr="00242E12">
        <w:rPr>
          <w:i/>
          <w:iCs/>
          <w:lang w:val="en-GB"/>
        </w:rPr>
        <w:t>W</w:t>
      </w:r>
      <w:r w:rsidR="00242E12" w:rsidRPr="00242E12">
        <w:rPr>
          <w:lang w:val="en-GB"/>
        </w:rPr>
        <w:t xml:space="preserve"> (“Last </w:t>
      </w:r>
      <w:r w:rsidR="00242E12" w:rsidRPr="00242E12">
        <w:rPr>
          <w:i/>
          <w:iCs/>
          <w:lang w:val="en-GB"/>
        </w:rPr>
        <w:t>W</w:t>
      </w:r>
      <w:r w:rsidR="00242E12" w:rsidRPr="00242E12">
        <w:rPr>
          <w:lang w:val="en-GB"/>
        </w:rPr>
        <w:t xml:space="preserve"> waves”), or (iii) anywhere within the observation series (“Any window”). Analyses were conducted in HRS using practice-corrected episodic memory scores and the conservative </w:t>
      </w:r>
      <w:r w:rsidR="00393B14" w:rsidRPr="00393B14">
        <w:rPr>
          <w:lang w:val="en-GB"/>
        </w:rPr>
        <w:t xml:space="preserve">stable performers </w:t>
      </w:r>
      <w:r w:rsidR="00242E12" w:rsidRPr="00242E12">
        <w:rPr>
          <w:lang w:val="en-GB"/>
        </w:rPr>
        <w:t xml:space="preserve">criterion: a contiguous window qualifies as stable if the 5th percentile lower bound of leave-one-out Theil–Sen slopes within the window is non-negative (LOO TS 95% lower bound ≥ 0). For each threshold </w:t>
      </w:r>
      <w:r w:rsidR="00242E12" w:rsidRPr="00242E12">
        <w:rPr>
          <w:i/>
          <w:iCs/>
          <w:lang w:val="en-GB"/>
        </w:rPr>
        <w:t>W</w:t>
      </w:r>
      <w:r w:rsidR="00242E12" w:rsidRPr="00242E12">
        <w:rPr>
          <w:lang w:val="en-GB"/>
        </w:rPr>
        <w:t xml:space="preserve"> (4–13 waves), participants were included if they had at least </w:t>
      </w:r>
      <w:r w:rsidR="00242E12" w:rsidRPr="00242E12">
        <w:rPr>
          <w:i/>
          <w:iCs/>
          <w:lang w:val="en-GB"/>
        </w:rPr>
        <w:t>W</w:t>
      </w:r>
      <w:r w:rsidR="00242E12" w:rsidRPr="00242E12">
        <w:rPr>
          <w:lang w:val="en-GB"/>
        </w:rPr>
        <w:t xml:space="preserve"> assessments (</w:t>
      </w:r>
      <w:proofErr w:type="spellStart"/>
      <w:r w:rsidR="00242E12" w:rsidRPr="00242E12">
        <w:rPr>
          <w:lang w:val="en-GB"/>
        </w:rPr>
        <w:t>N_eligible</w:t>
      </w:r>
      <w:proofErr w:type="spellEnd"/>
      <w:r w:rsidR="00242E12" w:rsidRPr="00242E12">
        <w:rPr>
          <w:lang w:val="en-GB"/>
        </w:rPr>
        <w:t xml:space="preserve"> shown in the accompanying table output), and prevalence was computed as the proportion of eligible participants meeting the stability criterion under each timing constraint.</w:t>
      </w:r>
      <w:r w:rsidR="00FE5D0C">
        <w:rPr>
          <w:lang w:val="en-GB"/>
        </w:rPr>
        <w:t xml:space="preserve"> </w:t>
      </w:r>
      <w:r w:rsidR="00242E12" w:rsidRPr="00242E12">
        <w:rPr>
          <w:lang w:val="en-GB"/>
        </w:rPr>
        <w:t xml:space="preserve">The “Any window” definition yields substantially higher prevalence because it allows the stable window to occur at any point in the series (multiple opportunities), whereas the “First” and “Last” definitions are each restricted to a single fixed segment. Importantly, prevalence in the first and last windows is similar across thresholds (e.g., </w:t>
      </w:r>
      <w:r w:rsidR="00242E12" w:rsidRPr="00242E12">
        <w:rPr>
          <w:i/>
          <w:iCs/>
          <w:lang w:val="en-GB"/>
        </w:rPr>
        <w:t>W</w:t>
      </w:r>
      <w:r w:rsidR="00242E12" w:rsidRPr="00242E12">
        <w:rPr>
          <w:lang w:val="en-GB"/>
        </w:rPr>
        <w:t xml:space="preserve">=4: 12.9% vs 14.5%; </w:t>
      </w:r>
      <w:r w:rsidR="00242E12" w:rsidRPr="00242E12">
        <w:rPr>
          <w:i/>
          <w:iCs/>
          <w:lang w:val="en-GB"/>
        </w:rPr>
        <w:t>W</w:t>
      </w:r>
      <w:r w:rsidR="00242E12" w:rsidRPr="00242E12">
        <w:rPr>
          <w:lang w:val="en-GB"/>
        </w:rPr>
        <w:t>=10: 4.2% vs 4.9%), indicating that stable periods are not preferentially concentrated at either end of follow-up. This pattern is consistent with decline occurring both before and after stable periods, rather than stability reflecting a baseline trait or an end-stage plateau. Mean duration (years) of qualifying windows is shown in the accompanying summary table (computed as end age minus start age for windows meeting the criterion).</w:t>
      </w:r>
    </w:p>
    <w:p w14:paraId="50218D08" w14:textId="77777777" w:rsidR="00FE5D0C" w:rsidRPr="00242E12" w:rsidRDefault="00FE5D0C" w:rsidP="00FE5D0C">
      <w:pPr>
        <w:spacing w:after="0" w:line="360" w:lineRule="auto"/>
        <w:rPr>
          <w:lang w:val="en-GB"/>
        </w:rPr>
      </w:pPr>
    </w:p>
    <w:p w14:paraId="32A2CBC8" w14:textId="669F54CF" w:rsidR="00B75F05" w:rsidRPr="00FE5D0C" w:rsidRDefault="009235FF" w:rsidP="00FE5D0C">
      <w:pPr>
        <w:spacing w:after="0" w:line="360" w:lineRule="auto"/>
        <w:rPr>
          <w:b/>
          <w:bCs/>
          <w:lang w:val="en-GB"/>
        </w:rPr>
      </w:pPr>
      <w:r w:rsidRPr="00FE5D0C">
        <w:rPr>
          <w:b/>
          <w:bCs/>
          <w:lang w:val="en-GB"/>
        </w:rPr>
        <w:lastRenderedPageBreak/>
        <w:t xml:space="preserve">Section 12: </w:t>
      </w:r>
      <w:r w:rsidRPr="00FE5D0C">
        <w:rPr>
          <w:b/>
          <w:bCs/>
          <w:lang w:val="en-US"/>
        </w:rPr>
        <w:t>Additional information on MRI subsample and Betula datasets</w:t>
      </w:r>
    </w:p>
    <w:tbl>
      <w:tblPr>
        <w:tblStyle w:val="Vanligtabell5"/>
        <w:tblW w:w="8931" w:type="dxa"/>
        <w:jc w:val="center"/>
        <w:shd w:val="clear" w:color="auto" w:fill="FFFFFF" w:themeFill="background1"/>
        <w:tblLayout w:type="fixed"/>
        <w:tblLook w:val="04A0" w:firstRow="1" w:lastRow="0" w:firstColumn="1" w:lastColumn="0" w:noHBand="0" w:noVBand="1"/>
      </w:tblPr>
      <w:tblGrid>
        <w:gridCol w:w="2410"/>
        <w:gridCol w:w="1701"/>
        <w:gridCol w:w="2835"/>
        <w:gridCol w:w="1985"/>
      </w:tblGrid>
      <w:tr w:rsidR="006B3898" w:rsidRPr="00FE5D0C" w14:paraId="6DC0E1C3" w14:textId="77777777" w:rsidTr="006B3898">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410" w:type="dxa"/>
            <w:tcBorders>
              <w:top w:val="single" w:sz="4" w:space="0" w:color="auto"/>
              <w:bottom w:val="single" w:sz="4" w:space="0" w:color="auto"/>
              <w:right w:val="none" w:sz="0" w:space="0" w:color="auto"/>
            </w:tcBorders>
          </w:tcPr>
          <w:p w14:paraId="3B8363A2" w14:textId="77777777" w:rsidR="006B3898" w:rsidRPr="00FE5D0C" w:rsidRDefault="006B3898" w:rsidP="00FE5D0C">
            <w:pPr>
              <w:spacing w:line="360" w:lineRule="auto"/>
              <w:jc w:val="left"/>
              <w:rPr>
                <w:rFonts w:asciiTheme="minorHAnsi" w:hAnsiTheme="minorHAnsi" w:cstheme="minorHAnsi"/>
                <w:b/>
                <w:bCs/>
                <w:i w:val="0"/>
                <w:iCs w:val="0"/>
                <w:sz w:val="22"/>
                <w:lang w:val="en-US"/>
              </w:rPr>
            </w:pPr>
            <w:r w:rsidRPr="00FE5D0C">
              <w:rPr>
                <w:rFonts w:asciiTheme="minorHAnsi" w:hAnsiTheme="minorHAnsi" w:cstheme="minorHAnsi"/>
                <w:b/>
                <w:bCs/>
                <w:i w:val="0"/>
                <w:iCs w:val="0"/>
                <w:sz w:val="22"/>
                <w:lang w:val="en-US"/>
              </w:rPr>
              <w:t>Sample</w:t>
            </w:r>
          </w:p>
        </w:tc>
        <w:tc>
          <w:tcPr>
            <w:tcW w:w="1701" w:type="dxa"/>
            <w:tcBorders>
              <w:top w:val="single" w:sz="4" w:space="0" w:color="auto"/>
              <w:bottom w:val="single" w:sz="4" w:space="0" w:color="auto"/>
            </w:tcBorders>
            <w:noWrap/>
          </w:tcPr>
          <w:p w14:paraId="3A921A8A" w14:textId="77777777" w:rsidR="006B3898" w:rsidRPr="00FE5D0C" w:rsidRDefault="006B3898" w:rsidP="00FE5D0C">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i w:val="0"/>
                <w:iCs w:val="0"/>
                <w:sz w:val="22"/>
                <w:lang w:val="en-US"/>
              </w:rPr>
            </w:pPr>
            <w:r w:rsidRPr="00FE5D0C">
              <w:rPr>
                <w:rFonts w:asciiTheme="minorHAnsi" w:hAnsiTheme="minorHAnsi" w:cstheme="minorHAnsi"/>
                <w:b/>
                <w:bCs/>
                <w:i w:val="0"/>
                <w:iCs w:val="0"/>
                <w:sz w:val="22"/>
                <w:lang w:val="en-US"/>
              </w:rPr>
              <w:t>Link</w:t>
            </w:r>
          </w:p>
        </w:tc>
        <w:tc>
          <w:tcPr>
            <w:tcW w:w="2835" w:type="dxa"/>
            <w:tcBorders>
              <w:top w:val="single" w:sz="4" w:space="0" w:color="auto"/>
              <w:bottom w:val="single" w:sz="4" w:space="0" w:color="auto"/>
            </w:tcBorders>
          </w:tcPr>
          <w:p w14:paraId="1210EE10" w14:textId="77777777" w:rsidR="006B3898" w:rsidRPr="00FE5D0C" w:rsidRDefault="006B3898" w:rsidP="00FE5D0C">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i w:val="0"/>
                <w:iCs w:val="0"/>
                <w:sz w:val="22"/>
                <w:lang w:val="en-US"/>
              </w:rPr>
            </w:pPr>
            <w:r w:rsidRPr="00FE5D0C">
              <w:rPr>
                <w:rFonts w:asciiTheme="minorHAnsi" w:hAnsiTheme="minorHAnsi" w:cstheme="minorHAnsi"/>
                <w:b/>
                <w:bCs/>
                <w:i w:val="0"/>
                <w:iCs w:val="0"/>
                <w:sz w:val="22"/>
                <w:lang w:val="en-US"/>
              </w:rPr>
              <w:t>PI and/or Admin Contact</w:t>
            </w:r>
          </w:p>
        </w:tc>
        <w:tc>
          <w:tcPr>
            <w:tcW w:w="1985" w:type="dxa"/>
            <w:tcBorders>
              <w:top w:val="single" w:sz="4" w:space="0" w:color="auto"/>
              <w:bottom w:val="single" w:sz="4" w:space="0" w:color="auto"/>
            </w:tcBorders>
          </w:tcPr>
          <w:p w14:paraId="2E898BB1" w14:textId="77777777" w:rsidR="006B3898" w:rsidRPr="00FE5D0C" w:rsidRDefault="006B3898" w:rsidP="00FE5D0C">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i w:val="0"/>
                <w:iCs w:val="0"/>
                <w:sz w:val="22"/>
                <w:lang w:val="en-US"/>
              </w:rPr>
            </w:pPr>
            <w:r w:rsidRPr="00FE5D0C">
              <w:rPr>
                <w:rFonts w:asciiTheme="minorHAnsi" w:hAnsiTheme="minorHAnsi" w:cstheme="minorHAnsi"/>
                <w:b/>
                <w:bCs/>
                <w:i w:val="0"/>
                <w:iCs w:val="0"/>
                <w:sz w:val="22"/>
                <w:lang w:val="en-US"/>
              </w:rPr>
              <w:t>IRB</w:t>
            </w:r>
          </w:p>
        </w:tc>
      </w:tr>
      <w:tr w:rsidR="006B3898" w:rsidRPr="00FE5D0C" w14:paraId="37638E46" w14:textId="77777777" w:rsidTr="006B38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auto"/>
              <w:right w:val="none" w:sz="0" w:space="0" w:color="auto"/>
            </w:tcBorders>
          </w:tcPr>
          <w:p w14:paraId="1BA1D53A" w14:textId="77777777" w:rsidR="006B3898" w:rsidRPr="00FE5D0C" w:rsidRDefault="006B3898" w:rsidP="00FE5D0C">
            <w:pPr>
              <w:spacing w:line="360" w:lineRule="auto"/>
              <w:rPr>
                <w:rFonts w:asciiTheme="minorHAnsi" w:hAnsiTheme="minorHAnsi" w:cstheme="minorHAnsi"/>
                <w:color w:val="0A2F40" w:themeColor="accent1" w:themeShade="7F"/>
                <w:sz w:val="22"/>
                <w:lang w:val="en-US"/>
              </w:rPr>
            </w:pPr>
          </w:p>
        </w:tc>
        <w:tc>
          <w:tcPr>
            <w:tcW w:w="6521" w:type="dxa"/>
            <w:gridSpan w:val="3"/>
            <w:tcBorders>
              <w:top w:val="single" w:sz="4" w:space="0" w:color="auto"/>
            </w:tcBorders>
            <w:shd w:val="clear" w:color="auto" w:fill="FFFFFF" w:themeFill="background1"/>
            <w:noWrap/>
          </w:tcPr>
          <w:p w14:paraId="2A7DCE64" w14:textId="1460AF0B" w:rsidR="006B3898" w:rsidRPr="00FE5D0C" w:rsidRDefault="006B3898" w:rsidP="00FE5D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cstheme="minorHAnsi"/>
                <w:i/>
                <w:iCs/>
                <w:lang w:val="en-US"/>
              </w:rPr>
            </w:pPr>
          </w:p>
        </w:tc>
      </w:tr>
      <w:tr w:rsidR="006B3898" w:rsidRPr="001D1785" w14:paraId="59869416" w14:textId="77777777" w:rsidTr="006B3898">
        <w:trPr>
          <w:jc w:val="center"/>
        </w:trPr>
        <w:tc>
          <w:tcPr>
            <w:cnfStyle w:val="001000000000" w:firstRow="0" w:lastRow="0" w:firstColumn="1" w:lastColumn="0" w:oddVBand="0" w:evenVBand="0" w:oddHBand="0" w:evenHBand="0" w:firstRowFirstColumn="0" w:firstRowLastColumn="0" w:lastRowFirstColumn="0" w:lastRowLastColumn="0"/>
            <w:tcW w:w="2410" w:type="dxa"/>
            <w:tcBorders>
              <w:bottom w:val="single" w:sz="4" w:space="0" w:color="auto"/>
              <w:right w:val="none" w:sz="0" w:space="0" w:color="auto"/>
            </w:tcBorders>
          </w:tcPr>
          <w:p w14:paraId="0155D2E6" w14:textId="77777777" w:rsidR="006B3898" w:rsidRPr="00FE5D0C" w:rsidRDefault="006B3898" w:rsidP="00FE5D0C">
            <w:pPr>
              <w:spacing w:line="360" w:lineRule="auto"/>
              <w:jc w:val="left"/>
              <w:rPr>
                <w:rFonts w:asciiTheme="minorHAnsi" w:hAnsiTheme="minorHAnsi" w:cstheme="minorHAnsi"/>
                <w:i w:val="0"/>
                <w:iCs w:val="0"/>
                <w:sz w:val="22"/>
                <w:lang w:val="en-US"/>
              </w:rPr>
            </w:pPr>
            <w:r w:rsidRPr="00FE5D0C">
              <w:rPr>
                <w:rFonts w:asciiTheme="minorHAnsi" w:hAnsiTheme="minorHAnsi" w:cstheme="minorHAnsi"/>
                <w:i w:val="0"/>
                <w:iCs w:val="0"/>
                <w:sz w:val="22"/>
                <w:lang w:val="en-US"/>
              </w:rPr>
              <w:t>ADNI</w:t>
            </w:r>
          </w:p>
        </w:tc>
        <w:tc>
          <w:tcPr>
            <w:tcW w:w="1701" w:type="dxa"/>
            <w:tcBorders>
              <w:bottom w:val="single" w:sz="4" w:space="0" w:color="auto"/>
            </w:tcBorders>
            <w:shd w:val="clear" w:color="auto" w:fill="FFFFFF" w:themeFill="background1"/>
            <w:noWrap/>
          </w:tcPr>
          <w:p w14:paraId="54886F43" w14:textId="77777777" w:rsidR="006B3898" w:rsidRPr="00FE5D0C" w:rsidRDefault="001D1785" w:rsidP="00FE5D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ajorEastAsia" w:hAnsiTheme="minorHAnsi" w:cstheme="minorHAnsi"/>
                <w:lang w:val="en-US"/>
              </w:rPr>
            </w:pPr>
            <w:hyperlink r:id="rId26" w:history="1">
              <w:r w:rsidR="006B3898" w:rsidRPr="00FE5D0C">
                <w:rPr>
                  <w:rStyle w:val="Hyperkobling"/>
                  <w:rFonts w:asciiTheme="minorHAnsi" w:eastAsiaTheme="majorEastAsia" w:hAnsiTheme="minorHAnsi" w:cstheme="minorHAnsi"/>
                  <w:lang w:val="en-US"/>
                </w:rPr>
                <w:t>https://adni.loni.usc.edu/</w:t>
              </w:r>
            </w:hyperlink>
            <w:r w:rsidR="006B3898" w:rsidRPr="00FE5D0C">
              <w:rPr>
                <w:rFonts w:asciiTheme="minorHAnsi" w:eastAsiaTheme="majorEastAsia" w:hAnsiTheme="minorHAnsi" w:cstheme="minorHAnsi"/>
                <w:lang w:val="en-US"/>
              </w:rPr>
              <w:t xml:space="preserve"> (O)</w:t>
            </w:r>
          </w:p>
        </w:tc>
        <w:tc>
          <w:tcPr>
            <w:tcW w:w="2835" w:type="dxa"/>
            <w:tcBorders>
              <w:bottom w:val="single" w:sz="4" w:space="0" w:color="auto"/>
            </w:tcBorders>
            <w:shd w:val="clear" w:color="auto" w:fill="FFFFFF" w:themeFill="background1"/>
          </w:tcPr>
          <w:p w14:paraId="11212F8A" w14:textId="77777777" w:rsidR="006B3898" w:rsidRPr="00FE5D0C" w:rsidRDefault="006B3898" w:rsidP="00FE5D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ajorEastAsia" w:hAnsiTheme="minorHAnsi" w:cstheme="minorHAnsi"/>
              </w:rPr>
            </w:pPr>
            <w:proofErr w:type="spellStart"/>
            <w:r w:rsidRPr="00FE5D0C">
              <w:rPr>
                <w:rFonts w:asciiTheme="minorHAnsi" w:eastAsiaTheme="majorEastAsia" w:hAnsiTheme="minorHAnsi" w:cstheme="minorHAnsi"/>
              </w:rPr>
              <w:t>Weiner</w:t>
            </w:r>
            <w:proofErr w:type="spellEnd"/>
            <w:r w:rsidRPr="00FE5D0C">
              <w:rPr>
                <w:rFonts w:asciiTheme="minorHAnsi" w:eastAsiaTheme="majorEastAsia" w:hAnsiTheme="minorHAnsi" w:cstheme="minorHAnsi"/>
              </w:rPr>
              <w:t xml:space="preserve"> MW; </w:t>
            </w:r>
            <w:r w:rsidRPr="00FE5D0C">
              <w:rPr>
                <w:rFonts w:asciiTheme="minorHAnsi" w:hAnsiTheme="minorHAnsi" w:cstheme="minorHAnsi"/>
              </w:rPr>
              <w:t xml:space="preserve"> </w:t>
            </w:r>
            <w:hyperlink r:id="rId27" w:history="1">
              <w:r w:rsidRPr="00FE5D0C">
                <w:rPr>
                  <w:rStyle w:val="Hyperkobling"/>
                  <w:rFonts w:asciiTheme="minorHAnsi" w:eastAsiaTheme="majorEastAsia" w:hAnsiTheme="minorHAnsi" w:cstheme="minorHAnsi"/>
                </w:rPr>
                <w:t>michael.weiner@ucsf.edu</w:t>
              </w:r>
            </w:hyperlink>
            <w:r w:rsidRPr="00FE5D0C">
              <w:rPr>
                <w:rFonts w:asciiTheme="minorHAnsi" w:eastAsiaTheme="majorEastAsia" w:hAnsiTheme="minorHAnsi" w:cstheme="minorHAnsi"/>
              </w:rPr>
              <w:t xml:space="preserve"> (PI)</w:t>
            </w:r>
          </w:p>
          <w:p w14:paraId="41298A0A" w14:textId="77777777" w:rsidR="006B3898" w:rsidRPr="00FE5D0C" w:rsidRDefault="001D1785" w:rsidP="00FE5D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ajorEastAsia" w:hAnsiTheme="minorHAnsi" w:cstheme="minorHAnsi"/>
                <w:lang w:val="en-US"/>
              </w:rPr>
            </w:pPr>
            <w:hyperlink r:id="rId28" w:history="1">
              <w:r w:rsidR="006B3898" w:rsidRPr="00FE5D0C">
                <w:rPr>
                  <w:rStyle w:val="Hyperkobling"/>
                  <w:rFonts w:asciiTheme="minorHAnsi" w:eastAsiaTheme="majorEastAsia" w:hAnsiTheme="minorHAnsi" w:cstheme="minorHAnsi"/>
                  <w:lang w:val="en-US"/>
                </w:rPr>
                <w:t>ida@loni.usc.edu</w:t>
              </w:r>
            </w:hyperlink>
            <w:r w:rsidR="006B3898" w:rsidRPr="00FE5D0C">
              <w:rPr>
                <w:rFonts w:asciiTheme="minorHAnsi" w:eastAsiaTheme="majorEastAsia" w:hAnsiTheme="minorHAnsi" w:cstheme="minorHAnsi"/>
                <w:lang w:val="en-US"/>
              </w:rPr>
              <w:t xml:space="preserve"> (AC)</w:t>
            </w:r>
          </w:p>
        </w:tc>
        <w:tc>
          <w:tcPr>
            <w:tcW w:w="1985" w:type="dxa"/>
            <w:tcBorders>
              <w:bottom w:val="single" w:sz="4" w:space="0" w:color="auto"/>
            </w:tcBorders>
            <w:shd w:val="clear" w:color="auto" w:fill="FFFFFF" w:themeFill="background1"/>
          </w:tcPr>
          <w:p w14:paraId="71A1715B" w14:textId="77777777" w:rsidR="006B3898" w:rsidRPr="00FE5D0C" w:rsidRDefault="006B3898" w:rsidP="00FE5D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ajorEastAsia" w:hAnsiTheme="minorHAnsi" w:cstheme="minorHAnsi"/>
                <w:lang w:val="en-US"/>
              </w:rPr>
            </w:pPr>
            <w:r w:rsidRPr="00FE5D0C">
              <w:rPr>
                <w:rFonts w:asciiTheme="minorHAnsi" w:hAnsiTheme="minorHAnsi" w:cstheme="minorHAnsi"/>
                <w:lang w:val="en-US"/>
              </w:rPr>
              <w:t xml:space="preserve">Approved by the Institutional Review Boards of </w:t>
            </w:r>
            <w:proofErr w:type="gramStart"/>
            <w:r w:rsidRPr="00FE5D0C">
              <w:rPr>
                <w:rFonts w:asciiTheme="minorHAnsi" w:hAnsiTheme="minorHAnsi" w:cstheme="minorHAnsi"/>
                <w:lang w:val="en-US"/>
              </w:rPr>
              <w:t>all of</w:t>
            </w:r>
            <w:proofErr w:type="gramEnd"/>
            <w:r w:rsidRPr="00FE5D0C">
              <w:rPr>
                <w:rFonts w:asciiTheme="minorHAnsi" w:hAnsiTheme="minorHAnsi" w:cstheme="minorHAnsi"/>
                <w:lang w:val="en-US"/>
              </w:rPr>
              <w:t xml:space="preserve"> the participating institutions</w:t>
            </w:r>
          </w:p>
        </w:tc>
      </w:tr>
      <w:tr w:rsidR="006B3898" w:rsidRPr="001D1785" w14:paraId="2976E995" w14:textId="77777777" w:rsidTr="006B38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auto"/>
              <w:bottom w:val="single" w:sz="4" w:space="0" w:color="auto"/>
              <w:right w:val="none" w:sz="0" w:space="0" w:color="auto"/>
            </w:tcBorders>
          </w:tcPr>
          <w:p w14:paraId="1AEBFCB7" w14:textId="77777777" w:rsidR="006B3898" w:rsidRPr="00FE5D0C" w:rsidRDefault="006B3898" w:rsidP="00FE5D0C">
            <w:pPr>
              <w:spacing w:line="360" w:lineRule="auto"/>
              <w:jc w:val="left"/>
              <w:rPr>
                <w:rFonts w:asciiTheme="minorHAnsi" w:hAnsiTheme="minorHAnsi" w:cstheme="minorHAnsi"/>
                <w:i w:val="0"/>
                <w:iCs w:val="0"/>
                <w:sz w:val="22"/>
                <w:lang w:val="en-US"/>
              </w:rPr>
            </w:pPr>
            <w:r w:rsidRPr="00FE5D0C">
              <w:rPr>
                <w:rFonts w:asciiTheme="minorHAnsi" w:hAnsiTheme="minorHAnsi" w:cstheme="minorHAnsi"/>
                <w:i w:val="0"/>
                <w:iCs w:val="0"/>
                <w:sz w:val="22"/>
                <w:lang w:val="en-US"/>
              </w:rPr>
              <w:t>BETULA</w:t>
            </w:r>
          </w:p>
        </w:tc>
        <w:tc>
          <w:tcPr>
            <w:tcW w:w="1701" w:type="dxa"/>
            <w:tcBorders>
              <w:top w:val="single" w:sz="4" w:space="0" w:color="auto"/>
              <w:bottom w:val="single" w:sz="4" w:space="0" w:color="auto"/>
            </w:tcBorders>
            <w:shd w:val="clear" w:color="auto" w:fill="FFFFFF" w:themeFill="background1"/>
            <w:noWrap/>
          </w:tcPr>
          <w:p w14:paraId="6A4AC175" w14:textId="77777777" w:rsidR="006B3898" w:rsidRPr="00FE5D0C" w:rsidRDefault="001D1785" w:rsidP="00FE5D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hyperlink r:id="rId29">
              <w:r w:rsidR="006B3898" w:rsidRPr="00FE5D0C">
                <w:rPr>
                  <w:rFonts w:asciiTheme="minorHAnsi" w:hAnsiTheme="minorHAnsi" w:cstheme="minorHAnsi"/>
                  <w:u w:val="single"/>
                  <w:lang w:val="en-US"/>
                </w:rPr>
                <w:t>http://www.ufbi.umu.se/english</w:t>
              </w:r>
            </w:hyperlink>
            <w:r w:rsidR="006B3898" w:rsidRPr="00FE5D0C">
              <w:rPr>
                <w:rFonts w:asciiTheme="minorHAnsi" w:hAnsiTheme="minorHAnsi" w:cstheme="minorHAnsi"/>
                <w:lang w:val="en-US"/>
              </w:rPr>
              <w:t xml:space="preserve"> (R)</w:t>
            </w:r>
          </w:p>
        </w:tc>
        <w:tc>
          <w:tcPr>
            <w:tcW w:w="2835" w:type="dxa"/>
            <w:tcBorders>
              <w:top w:val="single" w:sz="4" w:space="0" w:color="auto"/>
              <w:bottom w:val="single" w:sz="4" w:space="0" w:color="auto"/>
            </w:tcBorders>
            <w:shd w:val="clear" w:color="auto" w:fill="FFFFFF" w:themeFill="background1"/>
          </w:tcPr>
          <w:p w14:paraId="50ECA28F" w14:textId="77777777" w:rsidR="006B3898" w:rsidRPr="00FE5D0C" w:rsidRDefault="006B3898" w:rsidP="00FE5D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cstheme="minorHAnsi"/>
                <w:lang w:val="sv-SE"/>
              </w:rPr>
            </w:pPr>
            <w:r w:rsidRPr="00FE5D0C">
              <w:rPr>
                <w:rFonts w:asciiTheme="minorHAnsi" w:hAnsiTheme="minorHAnsi" w:cstheme="minorHAnsi"/>
                <w:lang w:val="sv-SE"/>
              </w:rPr>
              <w:t xml:space="preserve">Lars Nyberg; </w:t>
            </w:r>
            <w:hyperlink r:id="rId30" w:history="1">
              <w:r w:rsidRPr="00FE5D0C">
                <w:rPr>
                  <w:rStyle w:val="Hyperkobling"/>
                  <w:rFonts w:asciiTheme="minorHAnsi" w:hAnsiTheme="minorHAnsi" w:cstheme="minorHAnsi"/>
                  <w:lang w:val="sv-SE"/>
                </w:rPr>
                <w:t>lars.nyberg@umu.se</w:t>
              </w:r>
            </w:hyperlink>
            <w:r w:rsidRPr="00FE5D0C">
              <w:rPr>
                <w:rFonts w:asciiTheme="minorHAnsi" w:hAnsiTheme="minorHAnsi" w:cstheme="minorHAnsi"/>
                <w:u w:val="single"/>
                <w:lang w:val="sv-SE"/>
              </w:rPr>
              <w:t xml:space="preserve"> </w:t>
            </w:r>
            <w:r w:rsidRPr="00FE5D0C">
              <w:rPr>
                <w:rFonts w:asciiTheme="minorHAnsi" w:hAnsiTheme="minorHAnsi" w:cstheme="minorHAnsi"/>
                <w:lang w:val="sv-SE"/>
              </w:rPr>
              <w:t>(PI)</w:t>
            </w:r>
          </w:p>
        </w:tc>
        <w:tc>
          <w:tcPr>
            <w:tcW w:w="1985" w:type="dxa"/>
            <w:tcBorders>
              <w:top w:val="single" w:sz="4" w:space="0" w:color="auto"/>
              <w:bottom w:val="single" w:sz="4" w:space="0" w:color="auto"/>
            </w:tcBorders>
            <w:shd w:val="clear" w:color="auto" w:fill="FFFFFF" w:themeFill="background1"/>
          </w:tcPr>
          <w:p w14:paraId="212527DC" w14:textId="77777777" w:rsidR="006B3898" w:rsidRPr="00FE5D0C" w:rsidRDefault="006B3898" w:rsidP="00FE5D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cstheme="minorHAnsi"/>
                <w:lang w:val="en-US"/>
              </w:rPr>
            </w:pPr>
            <w:r w:rsidRPr="00FE5D0C">
              <w:rPr>
                <w:rFonts w:asciiTheme="minorHAnsi" w:hAnsiTheme="minorHAnsi" w:cstheme="minorHAnsi"/>
                <w:lang w:val="en-US"/>
              </w:rPr>
              <w:t xml:space="preserve">Regional Ethical Vetting Board at </w:t>
            </w:r>
            <w:proofErr w:type="spellStart"/>
            <w:r w:rsidRPr="00FE5D0C">
              <w:rPr>
                <w:rFonts w:asciiTheme="minorHAnsi" w:hAnsiTheme="minorHAnsi" w:cstheme="minorHAnsi"/>
                <w:lang w:val="en-US"/>
              </w:rPr>
              <w:t>Umeå</w:t>
            </w:r>
            <w:proofErr w:type="spellEnd"/>
            <w:r w:rsidRPr="00FE5D0C">
              <w:rPr>
                <w:rFonts w:asciiTheme="minorHAnsi" w:hAnsiTheme="minorHAnsi" w:cstheme="minorHAnsi"/>
                <w:lang w:val="en-US"/>
              </w:rPr>
              <w:t xml:space="preserve"> University</w:t>
            </w:r>
          </w:p>
        </w:tc>
      </w:tr>
      <w:tr w:rsidR="006B3898" w:rsidRPr="001D1785" w14:paraId="0B6A417D" w14:textId="77777777" w:rsidTr="006B3898">
        <w:trPr>
          <w:jc w:val="center"/>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auto"/>
              <w:bottom w:val="single" w:sz="4" w:space="0" w:color="auto"/>
              <w:right w:val="none" w:sz="0" w:space="0" w:color="auto"/>
            </w:tcBorders>
          </w:tcPr>
          <w:p w14:paraId="51EBB79E" w14:textId="77777777" w:rsidR="006B3898" w:rsidRPr="00FE5D0C" w:rsidRDefault="006B3898" w:rsidP="00FE5D0C">
            <w:pPr>
              <w:spacing w:line="360" w:lineRule="auto"/>
              <w:jc w:val="left"/>
              <w:rPr>
                <w:rFonts w:asciiTheme="minorHAnsi" w:hAnsiTheme="minorHAnsi" w:cstheme="minorBidi"/>
                <w:i w:val="0"/>
                <w:iCs w:val="0"/>
                <w:sz w:val="22"/>
                <w:lang w:val="en-US"/>
              </w:rPr>
            </w:pPr>
            <w:r w:rsidRPr="00FE5D0C">
              <w:rPr>
                <w:rFonts w:asciiTheme="minorHAnsi" w:hAnsiTheme="minorHAnsi" w:cstheme="minorBidi"/>
                <w:i w:val="0"/>
                <w:iCs w:val="0"/>
                <w:sz w:val="22"/>
                <w:lang w:val="en-US"/>
              </w:rPr>
              <w:t>OUS/COGNORM</w:t>
            </w:r>
          </w:p>
        </w:tc>
        <w:tc>
          <w:tcPr>
            <w:tcW w:w="1701" w:type="dxa"/>
            <w:tcBorders>
              <w:top w:val="single" w:sz="4" w:space="0" w:color="auto"/>
              <w:bottom w:val="single" w:sz="4" w:space="0" w:color="auto"/>
            </w:tcBorders>
            <w:shd w:val="clear" w:color="auto" w:fill="FFFFFF" w:themeFill="background1"/>
            <w:noWrap/>
          </w:tcPr>
          <w:p w14:paraId="5AF014F8" w14:textId="77777777" w:rsidR="006B3898" w:rsidRPr="00FE5D0C" w:rsidRDefault="001D1785" w:rsidP="00FE5D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ajorEastAsia" w:hAnsiTheme="minorHAnsi" w:cstheme="minorHAnsi"/>
                <w:lang w:val="en-US"/>
              </w:rPr>
            </w:pPr>
            <w:hyperlink r:id="rId31" w:history="1">
              <w:r w:rsidR="006B3898" w:rsidRPr="00FE5D0C">
                <w:rPr>
                  <w:rStyle w:val="Hyperkobling"/>
                  <w:rFonts w:asciiTheme="minorHAnsi" w:eastAsiaTheme="majorEastAsia" w:hAnsiTheme="minorHAnsi" w:cstheme="minorHAnsi"/>
                  <w:lang w:val="en-US"/>
                </w:rPr>
                <w:t>https://www.med.uio.no/klinmed/english/research/groups/delirium/index.html</w:t>
              </w:r>
            </w:hyperlink>
          </w:p>
        </w:tc>
        <w:tc>
          <w:tcPr>
            <w:tcW w:w="2835" w:type="dxa"/>
            <w:tcBorders>
              <w:top w:val="single" w:sz="4" w:space="0" w:color="auto"/>
              <w:bottom w:val="single" w:sz="4" w:space="0" w:color="auto"/>
            </w:tcBorders>
            <w:shd w:val="clear" w:color="auto" w:fill="FFFFFF" w:themeFill="background1"/>
          </w:tcPr>
          <w:p w14:paraId="47614F80" w14:textId="77777777" w:rsidR="006B3898" w:rsidRPr="00FE5D0C" w:rsidRDefault="006B3898" w:rsidP="00FE5D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ajorEastAsia" w:hAnsiTheme="minorHAnsi" w:cstheme="minorHAnsi"/>
              </w:rPr>
            </w:pPr>
            <w:r w:rsidRPr="00FE5D0C">
              <w:rPr>
                <w:rFonts w:asciiTheme="minorHAnsi" w:hAnsiTheme="minorHAnsi" w:cstheme="minorHAnsi"/>
              </w:rPr>
              <w:t>Leiv Otto Watne (l.o.watne@medisin.uio.no) (PI); Anders Martin Fjell;</w:t>
            </w:r>
            <w:r w:rsidRPr="00FE5D0C">
              <w:rPr>
                <w:rFonts w:asciiTheme="minorHAnsi" w:eastAsiaTheme="majorEastAsia" w:hAnsiTheme="minorHAnsi" w:cstheme="minorHAnsi"/>
              </w:rPr>
              <w:t xml:space="preserve"> </w:t>
            </w:r>
            <w:hyperlink r:id="rId32" w:history="1">
              <w:r w:rsidRPr="00FE5D0C">
                <w:rPr>
                  <w:rStyle w:val="Hyperkobling"/>
                  <w:rFonts w:asciiTheme="minorHAnsi" w:hAnsiTheme="minorHAnsi" w:cstheme="minorHAnsi"/>
                </w:rPr>
                <w:t>a.m.fjell@psykologi.uio.no</w:t>
              </w:r>
            </w:hyperlink>
            <w:r w:rsidRPr="00FE5D0C">
              <w:rPr>
                <w:rFonts w:asciiTheme="minorHAnsi" w:hAnsiTheme="minorHAnsi" w:cstheme="minorHAnsi"/>
              </w:rPr>
              <w:t xml:space="preserve"> (PI)</w:t>
            </w:r>
          </w:p>
        </w:tc>
        <w:tc>
          <w:tcPr>
            <w:tcW w:w="1985" w:type="dxa"/>
            <w:tcBorders>
              <w:top w:val="single" w:sz="4" w:space="0" w:color="auto"/>
              <w:bottom w:val="single" w:sz="4" w:space="0" w:color="auto"/>
            </w:tcBorders>
            <w:shd w:val="clear" w:color="auto" w:fill="FFFFFF" w:themeFill="background1"/>
          </w:tcPr>
          <w:p w14:paraId="7B33C06E" w14:textId="77777777" w:rsidR="006B3898" w:rsidRPr="00FE5D0C" w:rsidRDefault="006B3898" w:rsidP="00FE5D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ajorEastAsia" w:hAnsiTheme="minorHAnsi" w:cstheme="minorHAnsi"/>
                <w:lang w:val="en-US"/>
              </w:rPr>
            </w:pPr>
            <w:r w:rsidRPr="00FE5D0C">
              <w:rPr>
                <w:rFonts w:asciiTheme="minorHAnsi" w:hAnsiTheme="minorHAnsi" w:cstheme="minorHAnsi"/>
                <w:lang w:val="en-US"/>
              </w:rPr>
              <w:t>Norwegian Regional Committees for Medical and Health Research Ethics and the Data Protector Officer at Oslo University Hospital</w:t>
            </w:r>
          </w:p>
        </w:tc>
      </w:tr>
      <w:tr w:rsidR="006B3898" w:rsidRPr="001D1785" w14:paraId="230EBCFC" w14:textId="77777777" w:rsidTr="006B38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auto"/>
              <w:bottom w:val="single" w:sz="4" w:space="0" w:color="auto"/>
              <w:right w:val="none" w:sz="0" w:space="0" w:color="auto"/>
            </w:tcBorders>
          </w:tcPr>
          <w:p w14:paraId="065EFFE7" w14:textId="77777777" w:rsidR="006B3898" w:rsidRPr="00FE5D0C" w:rsidRDefault="006B3898" w:rsidP="00FE5D0C">
            <w:pPr>
              <w:spacing w:line="360" w:lineRule="auto"/>
              <w:jc w:val="left"/>
              <w:rPr>
                <w:rFonts w:asciiTheme="minorHAnsi" w:hAnsiTheme="minorHAnsi" w:cstheme="minorHAnsi"/>
                <w:i w:val="0"/>
                <w:iCs w:val="0"/>
                <w:sz w:val="22"/>
                <w:lang w:val="en-US"/>
              </w:rPr>
            </w:pPr>
            <w:r w:rsidRPr="00FE5D0C">
              <w:rPr>
                <w:rFonts w:asciiTheme="minorHAnsi" w:hAnsiTheme="minorHAnsi" w:cstheme="minorHAnsi"/>
                <w:i w:val="0"/>
                <w:iCs w:val="0"/>
                <w:sz w:val="22"/>
                <w:lang w:val="en-US"/>
              </w:rPr>
              <w:t>HABS</w:t>
            </w:r>
          </w:p>
        </w:tc>
        <w:tc>
          <w:tcPr>
            <w:tcW w:w="1701" w:type="dxa"/>
            <w:tcBorders>
              <w:top w:val="single" w:sz="4" w:space="0" w:color="auto"/>
              <w:bottom w:val="single" w:sz="4" w:space="0" w:color="auto"/>
            </w:tcBorders>
            <w:shd w:val="clear" w:color="auto" w:fill="FFFFFF" w:themeFill="background1"/>
            <w:noWrap/>
          </w:tcPr>
          <w:p w14:paraId="058BE9D5" w14:textId="77777777" w:rsidR="006B3898" w:rsidRPr="00FE5D0C" w:rsidRDefault="001D1785" w:rsidP="00FE5D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cstheme="minorHAnsi"/>
                <w:lang w:val="en-US"/>
              </w:rPr>
            </w:pPr>
            <w:hyperlink r:id="rId33" w:history="1">
              <w:r w:rsidR="006B3898" w:rsidRPr="00FE5D0C">
                <w:rPr>
                  <w:rStyle w:val="Hyperkobling"/>
                  <w:rFonts w:asciiTheme="minorHAnsi" w:eastAsiaTheme="majorEastAsia" w:hAnsiTheme="minorHAnsi" w:cstheme="minorHAnsi"/>
                  <w:lang w:val="en-US"/>
                </w:rPr>
                <w:t>https://habs.mgh.harvard.edu</w:t>
              </w:r>
            </w:hyperlink>
            <w:r w:rsidR="006B3898" w:rsidRPr="00FE5D0C">
              <w:rPr>
                <w:rStyle w:val="Hyperkobling"/>
                <w:rFonts w:asciiTheme="minorHAnsi" w:eastAsiaTheme="majorEastAsia" w:hAnsiTheme="minorHAnsi" w:cstheme="minorHAnsi"/>
                <w:lang w:val="en-US"/>
              </w:rPr>
              <w:t xml:space="preserve"> (O)</w:t>
            </w:r>
          </w:p>
        </w:tc>
        <w:tc>
          <w:tcPr>
            <w:tcW w:w="2835" w:type="dxa"/>
            <w:tcBorders>
              <w:top w:val="single" w:sz="4" w:space="0" w:color="auto"/>
              <w:bottom w:val="single" w:sz="4" w:space="0" w:color="auto"/>
            </w:tcBorders>
            <w:shd w:val="clear" w:color="auto" w:fill="FFFFFF" w:themeFill="background1"/>
          </w:tcPr>
          <w:p w14:paraId="63964A99" w14:textId="77777777" w:rsidR="006B3898" w:rsidRPr="00FE5D0C" w:rsidRDefault="006B3898" w:rsidP="00FE5D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cstheme="minorHAnsi"/>
                <w:lang w:val="en-US"/>
              </w:rPr>
            </w:pPr>
            <w:proofErr w:type="spellStart"/>
            <w:r w:rsidRPr="00FE5D0C">
              <w:rPr>
                <w:rFonts w:asciiTheme="minorHAnsi" w:hAnsiTheme="minorHAnsi" w:cstheme="minorHAnsi"/>
                <w:lang w:val="en-US"/>
              </w:rPr>
              <w:t>Reisa</w:t>
            </w:r>
            <w:proofErr w:type="spellEnd"/>
            <w:r w:rsidRPr="00FE5D0C">
              <w:rPr>
                <w:rFonts w:asciiTheme="minorHAnsi" w:hAnsiTheme="minorHAnsi" w:cstheme="minorHAnsi"/>
                <w:lang w:val="en-US"/>
              </w:rPr>
              <w:t xml:space="preserve"> Sperling; </w:t>
            </w:r>
            <w:hyperlink r:id="rId34" w:history="1">
              <w:r w:rsidRPr="00FE5D0C">
                <w:rPr>
                  <w:rStyle w:val="Hyperkobling"/>
                  <w:rFonts w:asciiTheme="minorHAnsi" w:hAnsiTheme="minorHAnsi" w:cstheme="minorHAnsi"/>
                  <w:lang w:val="en-US"/>
                </w:rPr>
                <w:t>reisa@rics.bwh.harvard.edu</w:t>
              </w:r>
            </w:hyperlink>
            <w:r w:rsidRPr="00FE5D0C">
              <w:rPr>
                <w:rFonts w:asciiTheme="minorHAnsi" w:hAnsiTheme="minorHAnsi" w:cstheme="minorHAnsi"/>
                <w:lang w:val="en-US"/>
              </w:rPr>
              <w:t xml:space="preserve"> (PI); </w:t>
            </w:r>
            <w:hyperlink r:id="rId35" w:history="1">
              <w:r w:rsidRPr="00FE5D0C">
                <w:rPr>
                  <w:rStyle w:val="Hyperkobling"/>
                  <w:rFonts w:asciiTheme="minorHAnsi" w:hAnsiTheme="minorHAnsi" w:cstheme="minorHAnsi"/>
                  <w:lang w:val="en-US"/>
                </w:rPr>
                <w:t>habs@mgh.harvard.edu</w:t>
              </w:r>
            </w:hyperlink>
            <w:r w:rsidRPr="00FE5D0C">
              <w:rPr>
                <w:rFonts w:asciiTheme="minorHAnsi" w:hAnsiTheme="minorHAnsi" w:cstheme="minorHAnsi"/>
                <w:lang w:val="en-US"/>
              </w:rPr>
              <w:t xml:space="preserve"> (AC)</w:t>
            </w:r>
          </w:p>
        </w:tc>
        <w:tc>
          <w:tcPr>
            <w:tcW w:w="1985" w:type="dxa"/>
            <w:tcBorders>
              <w:top w:val="single" w:sz="4" w:space="0" w:color="auto"/>
              <w:bottom w:val="single" w:sz="4" w:space="0" w:color="auto"/>
            </w:tcBorders>
            <w:shd w:val="clear" w:color="auto" w:fill="FFFFFF" w:themeFill="background1"/>
          </w:tcPr>
          <w:p w14:paraId="17B8AE98" w14:textId="77777777" w:rsidR="006B3898" w:rsidRPr="00FE5D0C" w:rsidRDefault="006B3898" w:rsidP="00FE5D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cstheme="minorHAnsi"/>
                <w:lang w:val="en-US"/>
              </w:rPr>
            </w:pPr>
            <w:r w:rsidRPr="00FE5D0C">
              <w:rPr>
                <w:rFonts w:asciiTheme="minorHAnsi" w:eastAsiaTheme="majorEastAsia" w:hAnsiTheme="minorHAnsi" w:cstheme="minorHAnsi"/>
                <w:lang w:val="en-US"/>
              </w:rPr>
              <w:t>Partners Healthcare Human Research Committee</w:t>
            </w:r>
          </w:p>
        </w:tc>
      </w:tr>
      <w:tr w:rsidR="006B3898" w:rsidRPr="001D1785" w14:paraId="48371E73" w14:textId="77777777" w:rsidTr="006B3898">
        <w:trPr>
          <w:jc w:val="center"/>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auto"/>
              <w:bottom w:val="single" w:sz="4" w:space="0" w:color="auto"/>
              <w:right w:val="none" w:sz="0" w:space="0" w:color="auto"/>
            </w:tcBorders>
          </w:tcPr>
          <w:p w14:paraId="0774D921" w14:textId="77777777" w:rsidR="006B3898" w:rsidRPr="00FE5D0C" w:rsidRDefault="006B3898" w:rsidP="00FE5D0C">
            <w:pPr>
              <w:spacing w:line="360" w:lineRule="auto"/>
              <w:jc w:val="left"/>
              <w:rPr>
                <w:rFonts w:asciiTheme="minorHAnsi" w:hAnsiTheme="minorHAnsi" w:cstheme="minorHAnsi"/>
                <w:i w:val="0"/>
                <w:iCs w:val="0"/>
                <w:sz w:val="22"/>
                <w:lang w:val="en-US"/>
              </w:rPr>
            </w:pPr>
            <w:r w:rsidRPr="00FE5D0C">
              <w:rPr>
                <w:rFonts w:asciiTheme="minorHAnsi" w:hAnsiTheme="minorHAnsi" w:cstheme="minorHAnsi"/>
                <w:i w:val="0"/>
                <w:iCs w:val="0"/>
                <w:sz w:val="22"/>
                <w:lang w:val="en-US"/>
              </w:rPr>
              <w:t>LCBC</w:t>
            </w:r>
          </w:p>
        </w:tc>
        <w:tc>
          <w:tcPr>
            <w:tcW w:w="1701" w:type="dxa"/>
            <w:tcBorders>
              <w:top w:val="single" w:sz="4" w:space="0" w:color="auto"/>
              <w:bottom w:val="single" w:sz="4" w:space="0" w:color="auto"/>
            </w:tcBorders>
            <w:shd w:val="clear" w:color="auto" w:fill="FFFFFF" w:themeFill="background1"/>
            <w:noWrap/>
          </w:tcPr>
          <w:p w14:paraId="28BA88B4" w14:textId="77777777" w:rsidR="006B3898" w:rsidRPr="00FE5D0C" w:rsidRDefault="001D1785" w:rsidP="00FE5D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ajorEastAsia" w:hAnsiTheme="minorHAnsi" w:cstheme="minorHAnsi"/>
                <w:lang w:val="en-US"/>
              </w:rPr>
            </w:pPr>
            <w:hyperlink r:id="rId36" w:history="1">
              <w:r w:rsidR="006B3898" w:rsidRPr="00FE5D0C">
                <w:rPr>
                  <w:rStyle w:val="Hyperkobling"/>
                  <w:rFonts w:asciiTheme="minorHAnsi" w:hAnsiTheme="minorHAnsi" w:cstheme="minorHAnsi"/>
                  <w:lang w:val="en-US"/>
                </w:rPr>
                <w:t>http://lcbc.uio.no</w:t>
              </w:r>
            </w:hyperlink>
            <w:r w:rsidR="006B3898" w:rsidRPr="00FE5D0C">
              <w:rPr>
                <w:rFonts w:asciiTheme="minorHAnsi" w:hAnsiTheme="minorHAnsi" w:cstheme="minorHAnsi"/>
                <w:lang w:val="en-US"/>
              </w:rPr>
              <w:t xml:space="preserve"> (R)</w:t>
            </w:r>
          </w:p>
        </w:tc>
        <w:tc>
          <w:tcPr>
            <w:tcW w:w="2835" w:type="dxa"/>
            <w:tcBorders>
              <w:top w:val="single" w:sz="4" w:space="0" w:color="auto"/>
              <w:bottom w:val="single" w:sz="4" w:space="0" w:color="auto"/>
            </w:tcBorders>
            <w:shd w:val="clear" w:color="auto" w:fill="FFFFFF" w:themeFill="background1"/>
          </w:tcPr>
          <w:p w14:paraId="171B2055" w14:textId="77777777" w:rsidR="006B3898" w:rsidRPr="00FE5D0C" w:rsidRDefault="006B3898" w:rsidP="00FE5D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ajorEastAsia" w:hAnsiTheme="minorHAnsi" w:cstheme="minorHAnsi"/>
              </w:rPr>
            </w:pPr>
            <w:r w:rsidRPr="00FE5D0C">
              <w:rPr>
                <w:rFonts w:asciiTheme="minorHAnsi" w:hAnsiTheme="minorHAnsi" w:cstheme="minorHAnsi"/>
              </w:rPr>
              <w:t xml:space="preserve">Anders M Fjell; </w:t>
            </w:r>
            <w:hyperlink r:id="rId37" w:history="1">
              <w:r w:rsidRPr="00FE5D0C">
                <w:rPr>
                  <w:rStyle w:val="Hyperkobling"/>
                  <w:rFonts w:asciiTheme="minorHAnsi" w:hAnsiTheme="minorHAnsi" w:cstheme="minorHAnsi"/>
                </w:rPr>
                <w:t>andersmf@psykologi.uio.no</w:t>
              </w:r>
            </w:hyperlink>
            <w:r w:rsidRPr="00FE5D0C">
              <w:rPr>
                <w:rFonts w:asciiTheme="minorHAnsi" w:hAnsiTheme="minorHAnsi" w:cstheme="minorHAnsi"/>
              </w:rPr>
              <w:t xml:space="preserve"> / Kristine B. </w:t>
            </w:r>
            <w:proofErr w:type="spellStart"/>
            <w:r w:rsidRPr="00FE5D0C">
              <w:rPr>
                <w:rFonts w:asciiTheme="minorHAnsi" w:hAnsiTheme="minorHAnsi" w:cstheme="minorHAnsi"/>
              </w:rPr>
              <w:t>Walhovd</w:t>
            </w:r>
            <w:proofErr w:type="spellEnd"/>
            <w:r w:rsidRPr="00FE5D0C">
              <w:rPr>
                <w:rFonts w:asciiTheme="minorHAnsi" w:hAnsiTheme="minorHAnsi" w:cstheme="minorHAnsi"/>
              </w:rPr>
              <w:t xml:space="preserve">; </w:t>
            </w:r>
            <w:hyperlink r:id="rId38" w:history="1">
              <w:r w:rsidRPr="00FE5D0C">
                <w:rPr>
                  <w:rStyle w:val="Hyperkobling"/>
                  <w:rFonts w:asciiTheme="minorHAnsi" w:hAnsiTheme="minorHAnsi" w:cstheme="minorHAnsi"/>
                </w:rPr>
                <w:t>k.b.walhovd@psykologi.uio.no</w:t>
              </w:r>
            </w:hyperlink>
            <w:r w:rsidRPr="00FE5D0C">
              <w:rPr>
                <w:rFonts w:asciiTheme="minorHAnsi" w:hAnsiTheme="minorHAnsi" w:cstheme="minorHAnsi"/>
                <w:u w:val="single"/>
              </w:rPr>
              <w:t xml:space="preserve"> </w:t>
            </w:r>
            <w:r w:rsidRPr="00FE5D0C">
              <w:rPr>
                <w:rFonts w:asciiTheme="minorHAnsi" w:hAnsiTheme="minorHAnsi" w:cstheme="minorHAnsi"/>
              </w:rPr>
              <w:t>(PI)</w:t>
            </w:r>
          </w:p>
        </w:tc>
        <w:tc>
          <w:tcPr>
            <w:tcW w:w="1985" w:type="dxa"/>
            <w:tcBorders>
              <w:top w:val="single" w:sz="4" w:space="0" w:color="auto"/>
              <w:bottom w:val="single" w:sz="4" w:space="0" w:color="auto"/>
            </w:tcBorders>
            <w:shd w:val="clear" w:color="auto" w:fill="FFFFFF" w:themeFill="background1"/>
          </w:tcPr>
          <w:p w14:paraId="06B4268A" w14:textId="77777777" w:rsidR="006B3898" w:rsidRPr="00FE5D0C" w:rsidRDefault="006B3898" w:rsidP="00FE5D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ajorEastAsia" w:hAnsiTheme="minorHAnsi" w:cstheme="minorHAnsi"/>
                <w:lang w:val="en-US"/>
              </w:rPr>
            </w:pPr>
            <w:r w:rsidRPr="00FE5D0C">
              <w:rPr>
                <w:rFonts w:asciiTheme="minorHAnsi" w:hAnsiTheme="minorHAnsi" w:cstheme="minorHAnsi"/>
                <w:lang w:val="en-US"/>
              </w:rPr>
              <w:t xml:space="preserve">Norwegian Regional Committee for Medical and Health Research Ethic; Regional Ethical </w:t>
            </w:r>
            <w:r w:rsidRPr="00FE5D0C">
              <w:rPr>
                <w:rFonts w:asciiTheme="minorHAnsi" w:hAnsiTheme="minorHAnsi" w:cstheme="minorHAnsi"/>
                <w:lang w:val="en-US"/>
              </w:rPr>
              <w:lastRenderedPageBreak/>
              <w:t>Committee of South Norway</w:t>
            </w:r>
          </w:p>
        </w:tc>
      </w:tr>
      <w:tr w:rsidR="006B3898" w:rsidRPr="001D1785" w14:paraId="73F7BF00" w14:textId="77777777" w:rsidTr="006B38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auto"/>
              <w:bottom w:val="single" w:sz="4" w:space="0" w:color="auto"/>
              <w:right w:val="none" w:sz="0" w:space="0" w:color="auto"/>
            </w:tcBorders>
          </w:tcPr>
          <w:p w14:paraId="059802F7" w14:textId="77777777" w:rsidR="006B3898" w:rsidRPr="00FE5D0C" w:rsidRDefault="006B3898" w:rsidP="00FE5D0C">
            <w:pPr>
              <w:spacing w:line="360" w:lineRule="auto"/>
              <w:jc w:val="left"/>
              <w:rPr>
                <w:rFonts w:asciiTheme="minorHAnsi" w:hAnsiTheme="minorHAnsi" w:cstheme="minorHAnsi"/>
                <w:i w:val="0"/>
                <w:iCs w:val="0"/>
                <w:sz w:val="22"/>
                <w:lang w:val="en-US"/>
              </w:rPr>
            </w:pPr>
            <w:r w:rsidRPr="00FE5D0C">
              <w:rPr>
                <w:rFonts w:asciiTheme="minorHAnsi" w:hAnsiTheme="minorHAnsi" w:cstheme="minorHAnsi"/>
                <w:i w:val="0"/>
                <w:iCs w:val="0"/>
                <w:sz w:val="22"/>
                <w:lang w:val="en-US"/>
              </w:rPr>
              <w:lastRenderedPageBreak/>
              <w:t>OASIS3</w:t>
            </w:r>
          </w:p>
        </w:tc>
        <w:tc>
          <w:tcPr>
            <w:tcW w:w="1701" w:type="dxa"/>
            <w:tcBorders>
              <w:top w:val="single" w:sz="4" w:space="0" w:color="auto"/>
              <w:bottom w:val="single" w:sz="4" w:space="0" w:color="auto"/>
            </w:tcBorders>
            <w:shd w:val="clear" w:color="auto" w:fill="FFFFFF" w:themeFill="background1"/>
            <w:noWrap/>
          </w:tcPr>
          <w:p w14:paraId="33B66166" w14:textId="77777777" w:rsidR="006B3898" w:rsidRPr="00FE5D0C" w:rsidRDefault="001D1785" w:rsidP="00FE5D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cstheme="minorHAnsi"/>
                <w:lang w:val="en-US"/>
              </w:rPr>
            </w:pPr>
            <w:hyperlink r:id="rId39" w:history="1">
              <w:r w:rsidR="006B3898" w:rsidRPr="00FE5D0C">
                <w:rPr>
                  <w:rStyle w:val="Hyperkobling"/>
                  <w:rFonts w:asciiTheme="minorHAnsi" w:eastAsiaTheme="majorEastAsia" w:hAnsiTheme="minorHAnsi" w:cstheme="minorHAnsi"/>
                  <w:lang w:val="en-US"/>
                </w:rPr>
                <w:t>https://www.oasis-brains.org/</w:t>
              </w:r>
            </w:hyperlink>
            <w:r w:rsidR="006B3898" w:rsidRPr="00FE5D0C">
              <w:rPr>
                <w:rFonts w:asciiTheme="minorHAnsi" w:eastAsiaTheme="majorEastAsia" w:hAnsiTheme="minorHAnsi" w:cstheme="minorHAnsi"/>
                <w:lang w:val="en-US"/>
              </w:rPr>
              <w:t xml:space="preserve"> (O)</w:t>
            </w:r>
          </w:p>
        </w:tc>
        <w:tc>
          <w:tcPr>
            <w:tcW w:w="2835" w:type="dxa"/>
            <w:tcBorders>
              <w:top w:val="single" w:sz="4" w:space="0" w:color="auto"/>
              <w:bottom w:val="single" w:sz="4" w:space="0" w:color="auto"/>
            </w:tcBorders>
            <w:shd w:val="clear" w:color="auto" w:fill="FFFFFF" w:themeFill="background1"/>
          </w:tcPr>
          <w:p w14:paraId="76C34B36" w14:textId="77777777" w:rsidR="006B3898" w:rsidRPr="00FE5D0C" w:rsidRDefault="006B3898" w:rsidP="00FE5D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cstheme="minorHAnsi"/>
                <w:lang w:val="en-US"/>
              </w:rPr>
            </w:pPr>
            <w:r w:rsidRPr="00FE5D0C">
              <w:rPr>
                <w:rFonts w:asciiTheme="minorHAnsi" w:eastAsiaTheme="majorEastAsia" w:hAnsiTheme="minorHAnsi" w:cstheme="minorHAnsi"/>
                <w:lang w:val="en-US"/>
              </w:rPr>
              <w:t xml:space="preserve">Pamela J. LaMontagne; </w:t>
            </w:r>
            <w:hyperlink r:id="rId40" w:history="1">
              <w:r w:rsidRPr="00FE5D0C">
                <w:rPr>
                  <w:rStyle w:val="Hyperkobling"/>
                  <w:rFonts w:asciiTheme="minorHAnsi" w:eastAsiaTheme="majorEastAsia" w:hAnsiTheme="minorHAnsi" w:cstheme="minorHAnsi"/>
                  <w:lang w:val="en-US"/>
                </w:rPr>
                <w:t>pjlamontagne@wustl.edu</w:t>
              </w:r>
            </w:hyperlink>
            <w:r w:rsidRPr="00FE5D0C">
              <w:rPr>
                <w:rFonts w:asciiTheme="minorHAnsi" w:eastAsiaTheme="majorEastAsia" w:hAnsiTheme="minorHAnsi" w:cstheme="minorHAnsi"/>
                <w:lang w:val="en-US"/>
              </w:rPr>
              <w:t xml:space="preserve"> (PI); Daniel Marcus; </w:t>
            </w:r>
            <w:hyperlink r:id="rId41" w:history="1">
              <w:r w:rsidRPr="00FE5D0C">
                <w:rPr>
                  <w:rStyle w:val="Hyperkobling"/>
                  <w:rFonts w:asciiTheme="minorHAnsi" w:eastAsiaTheme="majorEastAsia" w:hAnsiTheme="minorHAnsi" w:cstheme="minorHAnsi"/>
                  <w:lang w:val="en-US"/>
                </w:rPr>
                <w:t>dmarcus@wustl.edu</w:t>
              </w:r>
            </w:hyperlink>
            <w:r w:rsidRPr="00FE5D0C">
              <w:rPr>
                <w:rFonts w:asciiTheme="minorHAnsi" w:eastAsiaTheme="majorEastAsia" w:hAnsiTheme="minorHAnsi" w:cstheme="minorHAnsi"/>
                <w:lang w:val="en-US"/>
              </w:rPr>
              <w:t xml:space="preserve"> (PI); </w:t>
            </w:r>
            <w:hyperlink r:id="rId42" w:anchor="contact" w:history="1">
              <w:r w:rsidRPr="00FE5D0C">
                <w:rPr>
                  <w:rStyle w:val="Hyperkobling"/>
                  <w:rFonts w:asciiTheme="minorHAnsi" w:eastAsiaTheme="majorEastAsia" w:hAnsiTheme="minorHAnsi" w:cstheme="minorHAnsi"/>
                  <w:lang w:val="en-US"/>
                </w:rPr>
                <w:t>https://www.oasis-brains.org/#contact</w:t>
              </w:r>
            </w:hyperlink>
            <w:r w:rsidRPr="00FE5D0C">
              <w:rPr>
                <w:rFonts w:asciiTheme="minorHAnsi" w:eastAsiaTheme="majorEastAsia" w:hAnsiTheme="minorHAnsi" w:cstheme="minorHAnsi"/>
                <w:lang w:val="en-US"/>
              </w:rPr>
              <w:t xml:space="preserve"> (AC)</w:t>
            </w:r>
          </w:p>
        </w:tc>
        <w:tc>
          <w:tcPr>
            <w:tcW w:w="1985" w:type="dxa"/>
            <w:tcBorders>
              <w:top w:val="single" w:sz="4" w:space="0" w:color="auto"/>
              <w:bottom w:val="single" w:sz="4" w:space="0" w:color="auto"/>
            </w:tcBorders>
            <w:shd w:val="clear" w:color="auto" w:fill="FFFFFF" w:themeFill="background1"/>
          </w:tcPr>
          <w:p w14:paraId="3D29498F" w14:textId="77777777" w:rsidR="006B3898" w:rsidRPr="00FE5D0C" w:rsidRDefault="006B3898" w:rsidP="00FE5D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cstheme="minorHAnsi"/>
                <w:lang w:val="en-US"/>
              </w:rPr>
            </w:pPr>
            <w:r w:rsidRPr="00FE5D0C">
              <w:rPr>
                <w:rFonts w:asciiTheme="minorHAnsi" w:hAnsiTheme="minorHAnsi" w:cstheme="minorHAnsi"/>
                <w:lang w:val="en-US"/>
              </w:rPr>
              <w:t>Institutional Review Board of Washington University School of Medicine</w:t>
            </w:r>
          </w:p>
        </w:tc>
      </w:tr>
      <w:tr w:rsidR="006B3898" w:rsidRPr="001D1785" w14:paraId="2FFFE5EE" w14:textId="77777777" w:rsidTr="006B3898">
        <w:trPr>
          <w:jc w:val="center"/>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auto"/>
              <w:bottom w:val="single" w:sz="4" w:space="0" w:color="auto"/>
              <w:right w:val="none" w:sz="0" w:space="0" w:color="auto"/>
            </w:tcBorders>
          </w:tcPr>
          <w:p w14:paraId="02674ADB" w14:textId="77777777" w:rsidR="006B3898" w:rsidRPr="00FE5D0C" w:rsidRDefault="006B3898" w:rsidP="00FE5D0C">
            <w:pPr>
              <w:spacing w:line="360" w:lineRule="auto"/>
              <w:jc w:val="left"/>
              <w:rPr>
                <w:rFonts w:asciiTheme="minorHAnsi" w:hAnsiTheme="minorHAnsi" w:cstheme="minorHAnsi"/>
                <w:i w:val="0"/>
                <w:iCs w:val="0"/>
                <w:sz w:val="22"/>
                <w:lang w:val="en-US"/>
              </w:rPr>
            </w:pPr>
            <w:proofErr w:type="spellStart"/>
            <w:r w:rsidRPr="00FE5D0C">
              <w:rPr>
                <w:rFonts w:asciiTheme="minorHAnsi" w:hAnsiTheme="minorHAnsi" w:cstheme="minorHAnsi"/>
                <w:i w:val="0"/>
                <w:iCs w:val="0"/>
                <w:sz w:val="22"/>
                <w:lang w:val="en-US"/>
              </w:rPr>
              <w:t>preventAD</w:t>
            </w:r>
            <w:proofErr w:type="spellEnd"/>
          </w:p>
        </w:tc>
        <w:tc>
          <w:tcPr>
            <w:tcW w:w="1701" w:type="dxa"/>
            <w:tcBorders>
              <w:top w:val="single" w:sz="4" w:space="0" w:color="auto"/>
              <w:bottom w:val="single" w:sz="4" w:space="0" w:color="auto"/>
            </w:tcBorders>
            <w:shd w:val="clear" w:color="auto" w:fill="FFFFFF" w:themeFill="background1"/>
            <w:noWrap/>
          </w:tcPr>
          <w:p w14:paraId="4FAF5DBE" w14:textId="77777777" w:rsidR="006B3898" w:rsidRPr="00FE5D0C" w:rsidRDefault="001D1785" w:rsidP="00FE5D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ajorEastAsia" w:hAnsiTheme="minorHAnsi" w:cstheme="minorHAnsi"/>
                <w:lang w:val="en-US"/>
              </w:rPr>
            </w:pPr>
            <w:hyperlink r:id="rId43" w:history="1">
              <w:r w:rsidR="006B3898" w:rsidRPr="00FE5D0C">
                <w:rPr>
                  <w:rStyle w:val="Hyperkobling"/>
                  <w:rFonts w:asciiTheme="minorHAnsi" w:eastAsiaTheme="majorEastAsia" w:hAnsiTheme="minorHAnsi" w:cstheme="minorHAnsi"/>
                  <w:lang w:val="en-US"/>
                </w:rPr>
                <w:t>https://prevent-alzheimer.net</w:t>
              </w:r>
            </w:hyperlink>
            <w:r w:rsidR="006B3898" w:rsidRPr="00FE5D0C">
              <w:rPr>
                <w:rFonts w:asciiTheme="minorHAnsi" w:eastAsiaTheme="majorEastAsia" w:hAnsiTheme="minorHAnsi" w:cstheme="minorHAnsi"/>
                <w:lang w:val="en-US"/>
              </w:rPr>
              <w:t xml:space="preserve">; </w:t>
            </w:r>
            <w:hyperlink r:id="rId44" w:history="1">
              <w:r w:rsidR="006B3898" w:rsidRPr="00FE5D0C">
                <w:rPr>
                  <w:rStyle w:val="Hyperkobling"/>
                  <w:rFonts w:asciiTheme="minorHAnsi" w:eastAsiaTheme="majorEastAsia" w:hAnsiTheme="minorHAnsi" w:cstheme="minorHAnsi"/>
                  <w:lang w:val="en-US"/>
                </w:rPr>
                <w:t>https://openpreventad.loris.ca/</w:t>
              </w:r>
            </w:hyperlink>
            <w:r w:rsidR="006B3898" w:rsidRPr="00FE5D0C">
              <w:rPr>
                <w:rFonts w:asciiTheme="minorHAnsi" w:eastAsiaTheme="majorEastAsia" w:hAnsiTheme="minorHAnsi" w:cstheme="minorHAnsi"/>
                <w:lang w:val="en-US"/>
              </w:rPr>
              <w:t xml:space="preserve"> (O)</w:t>
            </w:r>
          </w:p>
        </w:tc>
        <w:tc>
          <w:tcPr>
            <w:tcW w:w="2835" w:type="dxa"/>
            <w:tcBorders>
              <w:top w:val="single" w:sz="4" w:space="0" w:color="auto"/>
              <w:bottom w:val="single" w:sz="4" w:space="0" w:color="auto"/>
            </w:tcBorders>
            <w:shd w:val="clear" w:color="auto" w:fill="FFFFFF" w:themeFill="background1"/>
          </w:tcPr>
          <w:p w14:paraId="15AC25FC" w14:textId="77777777" w:rsidR="006B3898" w:rsidRPr="00FE5D0C" w:rsidRDefault="006B3898" w:rsidP="00FE5D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ajorEastAsia" w:hAnsiTheme="minorHAnsi" w:cstheme="minorHAnsi"/>
                <w:lang w:val="en-US"/>
              </w:rPr>
            </w:pPr>
            <w:r w:rsidRPr="00FE5D0C">
              <w:rPr>
                <w:rFonts w:asciiTheme="minorHAnsi" w:hAnsiTheme="minorHAnsi" w:cstheme="minorHAnsi"/>
                <w:lang w:val="en-US"/>
              </w:rPr>
              <w:t>Jennifer Tremblay; j</w:t>
            </w:r>
            <w:hyperlink r:id="rId45" w:history="1">
              <w:r w:rsidRPr="00FE5D0C">
                <w:rPr>
                  <w:rStyle w:val="Hyperkobling"/>
                  <w:rFonts w:asciiTheme="minorHAnsi" w:hAnsiTheme="minorHAnsi" w:cstheme="minorHAnsi"/>
                  <w:lang w:val="en-US"/>
                </w:rPr>
                <w:t>ennifer.tremblay-mercier@douglas.mcgill.ca</w:t>
              </w:r>
            </w:hyperlink>
            <w:r w:rsidRPr="00FE5D0C">
              <w:rPr>
                <w:rFonts w:asciiTheme="minorHAnsi" w:hAnsiTheme="minorHAnsi" w:cstheme="minorHAnsi"/>
                <w:lang w:val="en-US"/>
              </w:rPr>
              <w:t xml:space="preserve"> (PI)</w:t>
            </w:r>
            <w:r w:rsidRPr="00FE5D0C">
              <w:rPr>
                <w:rFonts w:asciiTheme="minorHAnsi" w:eastAsiaTheme="majorEastAsia" w:hAnsiTheme="minorHAnsi" w:cstheme="minorHAnsi"/>
                <w:lang w:val="en-US"/>
              </w:rPr>
              <w:t xml:space="preserve">; </w:t>
            </w:r>
            <w:hyperlink r:id="rId46" w:history="1">
              <w:r w:rsidRPr="00FE5D0C">
                <w:rPr>
                  <w:rStyle w:val="Hyperkobling"/>
                  <w:rFonts w:asciiTheme="minorHAnsi" w:eastAsiaTheme="majorEastAsia" w:hAnsiTheme="minorHAnsi" w:cstheme="minorHAnsi"/>
                  <w:lang w:val="en-US"/>
                </w:rPr>
                <w:t>https://openpreventad.loris.ca/contact/</w:t>
              </w:r>
            </w:hyperlink>
            <w:r w:rsidRPr="00FE5D0C">
              <w:rPr>
                <w:rFonts w:asciiTheme="minorHAnsi" w:eastAsiaTheme="majorEastAsia" w:hAnsiTheme="minorHAnsi" w:cstheme="minorHAnsi"/>
                <w:lang w:val="en-US"/>
              </w:rPr>
              <w:t xml:space="preserve"> (AC)</w:t>
            </w:r>
          </w:p>
        </w:tc>
        <w:tc>
          <w:tcPr>
            <w:tcW w:w="1985" w:type="dxa"/>
            <w:tcBorders>
              <w:top w:val="single" w:sz="4" w:space="0" w:color="auto"/>
              <w:bottom w:val="single" w:sz="4" w:space="0" w:color="auto"/>
            </w:tcBorders>
            <w:shd w:val="clear" w:color="auto" w:fill="FFFFFF" w:themeFill="background1"/>
          </w:tcPr>
          <w:p w14:paraId="0839E481" w14:textId="77777777" w:rsidR="006B3898" w:rsidRPr="00FE5D0C" w:rsidRDefault="006B3898" w:rsidP="00FE5D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ajorEastAsia" w:hAnsiTheme="minorHAnsi" w:cstheme="minorHAnsi"/>
                <w:lang w:val="en-US"/>
              </w:rPr>
            </w:pPr>
            <w:r w:rsidRPr="00FE5D0C">
              <w:rPr>
                <w:rFonts w:asciiTheme="minorHAnsi" w:hAnsiTheme="minorHAnsi" w:cstheme="minorHAnsi"/>
                <w:lang w:val="en-US"/>
              </w:rPr>
              <w:t>The McGill Institutional Review Board and the Douglas Mental Health University Institute Research Ethics Board</w:t>
            </w:r>
          </w:p>
        </w:tc>
      </w:tr>
      <w:tr w:rsidR="00A260F2" w:rsidRPr="001D1785" w14:paraId="19D33E2F" w14:textId="77777777" w:rsidTr="006B38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auto"/>
              <w:bottom w:val="single" w:sz="4" w:space="0" w:color="auto"/>
              <w:right w:val="none" w:sz="0" w:space="0" w:color="auto"/>
            </w:tcBorders>
          </w:tcPr>
          <w:p w14:paraId="6774D52A" w14:textId="75BDE0C3" w:rsidR="00A260F2" w:rsidRPr="00FE5D0C" w:rsidRDefault="00A260F2" w:rsidP="00A260F2">
            <w:pPr>
              <w:spacing w:line="360" w:lineRule="auto"/>
              <w:jc w:val="left"/>
              <w:rPr>
                <w:rFonts w:asciiTheme="minorHAnsi" w:hAnsiTheme="minorHAnsi" w:cstheme="minorHAnsi"/>
                <w:i w:val="0"/>
                <w:iCs w:val="0"/>
                <w:sz w:val="22"/>
                <w:lang w:val="en-US"/>
              </w:rPr>
            </w:pPr>
            <w:r w:rsidRPr="00FE5D0C">
              <w:rPr>
                <w:rFonts w:asciiTheme="minorHAnsi" w:hAnsiTheme="minorHAnsi"/>
                <w:i w:val="0"/>
                <w:iCs w:val="0"/>
                <w:sz w:val="22"/>
                <w:lang w:val="en-GB"/>
              </w:rPr>
              <w:t>WRAP</w:t>
            </w:r>
          </w:p>
        </w:tc>
        <w:tc>
          <w:tcPr>
            <w:tcW w:w="1701" w:type="dxa"/>
            <w:tcBorders>
              <w:top w:val="single" w:sz="4" w:space="0" w:color="auto"/>
              <w:bottom w:val="single" w:sz="4" w:space="0" w:color="auto"/>
            </w:tcBorders>
            <w:shd w:val="clear" w:color="auto" w:fill="FFFFFF" w:themeFill="background1"/>
            <w:noWrap/>
          </w:tcPr>
          <w:p w14:paraId="08229706" w14:textId="35F94411" w:rsidR="00A260F2" w:rsidRPr="00A260F2" w:rsidRDefault="001D1785" w:rsidP="00A260F2">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hyperlink r:id="rId47" w:history="1">
              <w:r w:rsidR="00A260F2" w:rsidRPr="00EC5B74">
                <w:rPr>
                  <w:rStyle w:val="Hyperkobling"/>
                  <w:rFonts w:eastAsiaTheme="majorEastAsia" w:cs="Calibri"/>
                  <w:lang w:val="es-ES"/>
                </w:rPr>
                <w:t>https://wrap.wisc.edu/</w:t>
              </w:r>
            </w:hyperlink>
            <w:r w:rsidR="00A260F2" w:rsidRPr="00EC5B74">
              <w:rPr>
                <w:rFonts w:eastAsiaTheme="majorEastAsia" w:cs="Calibri"/>
                <w:color w:val="0A2F40" w:themeColor="accent1" w:themeShade="7F"/>
                <w:lang w:val="es-ES"/>
              </w:rPr>
              <w:t xml:space="preserve"> (O</w:t>
            </w:r>
            <w:r w:rsidR="00A260F2">
              <w:rPr>
                <w:rFonts w:eastAsiaTheme="majorEastAsia" w:cs="Calibri"/>
                <w:color w:val="0A2F40" w:themeColor="accent1" w:themeShade="7F"/>
                <w:lang w:val="es-ES"/>
              </w:rPr>
              <w:t>)</w:t>
            </w:r>
          </w:p>
        </w:tc>
        <w:tc>
          <w:tcPr>
            <w:tcW w:w="2835" w:type="dxa"/>
            <w:tcBorders>
              <w:top w:val="single" w:sz="4" w:space="0" w:color="auto"/>
              <w:bottom w:val="single" w:sz="4" w:space="0" w:color="auto"/>
            </w:tcBorders>
            <w:shd w:val="clear" w:color="auto" w:fill="FFFFFF" w:themeFill="background1"/>
          </w:tcPr>
          <w:p w14:paraId="32088584" w14:textId="36B51034" w:rsidR="00A260F2" w:rsidRPr="00FE5D0C" w:rsidRDefault="001D1785" w:rsidP="00A260F2">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hyperlink r:id="rId48" w:history="1">
              <w:r w:rsidR="00A260F2" w:rsidRPr="00C00C72">
                <w:rPr>
                  <w:rStyle w:val="Hyperkobling"/>
                  <w:lang w:val="en-US"/>
                </w:rPr>
                <w:t>wrap@medicine.wisc.edu</w:t>
              </w:r>
            </w:hyperlink>
            <w:r w:rsidR="00A260F2" w:rsidRPr="00C00C72">
              <w:rPr>
                <w:lang w:val="en-US"/>
              </w:rPr>
              <w:t xml:space="preserve"> (AC); </w:t>
            </w:r>
            <w:r w:rsidR="00A260F2" w:rsidRPr="006731C6">
              <w:rPr>
                <w:rFonts w:eastAsiaTheme="majorEastAsia" w:cs="Calibri"/>
                <w:color w:val="0A2F40" w:themeColor="accent1" w:themeShade="7F"/>
                <w:lang w:val="en-US"/>
              </w:rPr>
              <w:t xml:space="preserve">Sterling C. Johnson </w:t>
            </w:r>
            <w:hyperlink r:id="rId49" w:history="1">
              <w:r w:rsidR="00A260F2" w:rsidRPr="00C00C72">
                <w:rPr>
                  <w:rStyle w:val="Hyperkobling"/>
                  <w:lang w:val="en-US"/>
                </w:rPr>
                <w:t>scj@medicine.wisc.edu</w:t>
              </w:r>
            </w:hyperlink>
            <w:r w:rsidR="00A260F2" w:rsidRPr="006731C6">
              <w:rPr>
                <w:rFonts w:eastAsiaTheme="majorEastAsia" w:cs="Calibri"/>
                <w:color w:val="0A2F40" w:themeColor="accent1" w:themeShade="7F"/>
                <w:lang w:val="en-US"/>
              </w:rPr>
              <w:t xml:space="preserve"> (PI)</w:t>
            </w:r>
          </w:p>
        </w:tc>
        <w:tc>
          <w:tcPr>
            <w:tcW w:w="1985" w:type="dxa"/>
            <w:tcBorders>
              <w:top w:val="single" w:sz="4" w:space="0" w:color="auto"/>
              <w:bottom w:val="single" w:sz="4" w:space="0" w:color="auto"/>
            </w:tcBorders>
            <w:shd w:val="clear" w:color="auto" w:fill="FFFFFF" w:themeFill="background1"/>
          </w:tcPr>
          <w:p w14:paraId="0BF6E59C" w14:textId="5B3B5988" w:rsidR="00A260F2" w:rsidRPr="00FE5D0C" w:rsidRDefault="00A260F2" w:rsidP="00A260F2">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sidRPr="00C00C72">
              <w:rPr>
                <w:rFonts w:cs="Calibri"/>
                <w:lang w:val="en-US"/>
              </w:rPr>
              <w:t>Health Sciences IRB of the University of Wisconsin-Madison</w:t>
            </w:r>
          </w:p>
        </w:tc>
      </w:tr>
      <w:tr w:rsidR="00A260F2" w:rsidRPr="001D1785" w14:paraId="0CE00EC2" w14:textId="77777777" w:rsidTr="006B3898">
        <w:trPr>
          <w:jc w:val="center"/>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auto"/>
              <w:bottom w:val="single" w:sz="4" w:space="0" w:color="auto"/>
              <w:right w:val="none" w:sz="0" w:space="0" w:color="auto"/>
            </w:tcBorders>
          </w:tcPr>
          <w:p w14:paraId="45689309" w14:textId="2F7E4106" w:rsidR="00A260F2" w:rsidRPr="00FE5D0C" w:rsidRDefault="00A260F2" w:rsidP="00A260F2">
            <w:pPr>
              <w:spacing w:line="360" w:lineRule="auto"/>
              <w:jc w:val="left"/>
              <w:rPr>
                <w:rFonts w:asciiTheme="minorHAnsi" w:hAnsiTheme="minorHAnsi" w:cstheme="minorHAnsi"/>
                <w:i w:val="0"/>
                <w:iCs w:val="0"/>
                <w:sz w:val="22"/>
                <w:lang w:val="en-US"/>
              </w:rPr>
            </w:pPr>
            <w:r w:rsidRPr="00FE5D0C">
              <w:rPr>
                <w:rFonts w:asciiTheme="minorHAnsi" w:hAnsiTheme="minorHAnsi"/>
                <w:i w:val="0"/>
                <w:iCs w:val="0"/>
                <w:sz w:val="22"/>
                <w:lang w:val="en-GB"/>
              </w:rPr>
              <w:t>Mayo</w:t>
            </w:r>
            <w:r>
              <w:rPr>
                <w:rFonts w:asciiTheme="minorHAnsi" w:hAnsiTheme="minorHAnsi"/>
                <w:i w:val="0"/>
                <w:iCs w:val="0"/>
                <w:sz w:val="22"/>
                <w:lang w:val="en-GB"/>
              </w:rPr>
              <w:t>/ MCSA</w:t>
            </w:r>
          </w:p>
        </w:tc>
        <w:tc>
          <w:tcPr>
            <w:tcW w:w="1701" w:type="dxa"/>
            <w:tcBorders>
              <w:top w:val="single" w:sz="4" w:space="0" w:color="auto"/>
              <w:bottom w:val="single" w:sz="4" w:space="0" w:color="auto"/>
            </w:tcBorders>
            <w:shd w:val="clear" w:color="auto" w:fill="FFFFFF" w:themeFill="background1"/>
            <w:noWrap/>
          </w:tcPr>
          <w:p w14:paraId="57DD9A55" w14:textId="0EE68A8E" w:rsidR="00A260F2" w:rsidRPr="00A260F2" w:rsidRDefault="001D1785" w:rsidP="00A260F2">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hyperlink r:id="rId50" w:history="1">
              <w:r w:rsidR="00A260F2" w:rsidRPr="00154F20">
                <w:rPr>
                  <w:rStyle w:val="Hyperkobling"/>
                  <w:rFonts w:cs="Calibri"/>
                  <w:lang w:val="es-ES"/>
                </w:rPr>
                <w:t>https://www.gaaindata.org/partner/MCSA</w:t>
              </w:r>
            </w:hyperlink>
            <w:r w:rsidR="00A260F2" w:rsidRPr="00154F20">
              <w:rPr>
                <w:rFonts w:cs="Calibri"/>
                <w:lang w:val="es-ES"/>
              </w:rPr>
              <w:t xml:space="preserve"> (O</w:t>
            </w:r>
            <w:r w:rsidR="00A260F2">
              <w:rPr>
                <w:rFonts w:cs="Calibri"/>
                <w:lang w:val="es-ES"/>
              </w:rPr>
              <w:t>)</w:t>
            </w:r>
            <w:r w:rsidR="00A260F2" w:rsidRPr="00154F20">
              <w:rPr>
                <w:rFonts w:cs="Calibri"/>
                <w:lang w:val="es-ES"/>
              </w:rPr>
              <w:t xml:space="preserve"> </w:t>
            </w:r>
          </w:p>
        </w:tc>
        <w:tc>
          <w:tcPr>
            <w:tcW w:w="2835" w:type="dxa"/>
            <w:tcBorders>
              <w:top w:val="single" w:sz="4" w:space="0" w:color="auto"/>
              <w:bottom w:val="single" w:sz="4" w:space="0" w:color="auto"/>
            </w:tcBorders>
            <w:shd w:val="clear" w:color="auto" w:fill="FFFFFF" w:themeFill="background1"/>
          </w:tcPr>
          <w:p w14:paraId="6B769574" w14:textId="3D5E1C63" w:rsidR="00A260F2" w:rsidRPr="00FE5D0C" w:rsidRDefault="001D1785" w:rsidP="00A260F2">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hyperlink r:id="rId51" w:history="1">
              <w:r w:rsidR="00A260F2" w:rsidRPr="00DA70FE">
                <w:rPr>
                  <w:rStyle w:val="Hyperkobling"/>
                  <w:lang w:val="en-US"/>
                </w:rPr>
                <w:t>mcsaadrcdatasharing@mayo.edu</w:t>
              </w:r>
            </w:hyperlink>
            <w:r w:rsidR="00A260F2" w:rsidRPr="00DA70FE">
              <w:rPr>
                <w:rFonts w:cs="Calibri"/>
                <w:color w:val="1D1C1D"/>
                <w:lang w:val="en-US"/>
              </w:rPr>
              <w:t xml:space="preserve">  (AC); Ronald Petersen; </w:t>
            </w:r>
            <w:hyperlink r:id="rId52" w:history="1">
              <w:r w:rsidR="00A260F2" w:rsidRPr="00DA70FE">
                <w:rPr>
                  <w:rStyle w:val="Hyperkobling"/>
                  <w:lang w:val="en-US"/>
                </w:rPr>
                <w:t>peter8@mayo.edu</w:t>
              </w:r>
            </w:hyperlink>
            <w:r w:rsidR="00A260F2" w:rsidRPr="00DA70FE">
              <w:rPr>
                <w:lang w:val="en-US"/>
              </w:rPr>
              <w:t xml:space="preserve"> (PI); Clifford R. Jack, Jr. </w:t>
            </w:r>
            <w:hyperlink r:id="rId53" w:history="1">
              <w:r w:rsidR="00A260F2" w:rsidRPr="00604CCB">
                <w:rPr>
                  <w:rStyle w:val="Hyperkobling"/>
                </w:rPr>
                <w:t>jack.clifford@mayo.edu</w:t>
              </w:r>
            </w:hyperlink>
            <w:r w:rsidR="00A260F2" w:rsidRPr="00604CCB">
              <w:t xml:space="preserve"> (PI)</w:t>
            </w:r>
          </w:p>
        </w:tc>
        <w:tc>
          <w:tcPr>
            <w:tcW w:w="1985" w:type="dxa"/>
            <w:tcBorders>
              <w:top w:val="single" w:sz="4" w:space="0" w:color="auto"/>
              <w:bottom w:val="single" w:sz="4" w:space="0" w:color="auto"/>
            </w:tcBorders>
            <w:shd w:val="clear" w:color="auto" w:fill="FFFFFF" w:themeFill="background1"/>
          </w:tcPr>
          <w:p w14:paraId="3F507688" w14:textId="5E73E1A6" w:rsidR="00A260F2" w:rsidRPr="00FE5D0C" w:rsidRDefault="00A260F2" w:rsidP="00A260F2">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DA70FE">
              <w:rPr>
                <w:lang w:val="en-US"/>
              </w:rPr>
              <w:t>Institutional review boards of the Mayo Clinic and Olmsted Medical Center</w:t>
            </w:r>
          </w:p>
        </w:tc>
      </w:tr>
      <w:tr w:rsidR="00A260F2" w:rsidRPr="001D1785" w14:paraId="648FA7C5" w14:textId="77777777" w:rsidTr="006B38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auto"/>
              <w:bottom w:val="single" w:sz="4" w:space="0" w:color="auto"/>
              <w:right w:val="none" w:sz="0" w:space="0" w:color="auto"/>
            </w:tcBorders>
          </w:tcPr>
          <w:p w14:paraId="6B43016D" w14:textId="7E898A27" w:rsidR="00A260F2" w:rsidRPr="00FE5D0C" w:rsidRDefault="00A260F2" w:rsidP="00A260F2">
            <w:pPr>
              <w:spacing w:line="360" w:lineRule="auto"/>
              <w:jc w:val="left"/>
              <w:rPr>
                <w:rFonts w:asciiTheme="minorHAnsi" w:hAnsiTheme="minorHAnsi" w:cstheme="minorHAnsi"/>
                <w:i w:val="0"/>
                <w:iCs w:val="0"/>
                <w:sz w:val="22"/>
                <w:lang w:val="en-US"/>
              </w:rPr>
            </w:pPr>
            <w:r w:rsidRPr="00FE5D0C">
              <w:rPr>
                <w:rFonts w:asciiTheme="minorHAnsi" w:hAnsiTheme="minorHAnsi"/>
                <w:i w:val="0"/>
                <w:iCs w:val="0"/>
                <w:sz w:val="22"/>
                <w:lang w:val="en-GB"/>
              </w:rPr>
              <w:t>BLSA</w:t>
            </w:r>
          </w:p>
        </w:tc>
        <w:tc>
          <w:tcPr>
            <w:tcW w:w="1701" w:type="dxa"/>
            <w:tcBorders>
              <w:top w:val="single" w:sz="4" w:space="0" w:color="auto"/>
              <w:bottom w:val="single" w:sz="4" w:space="0" w:color="auto"/>
            </w:tcBorders>
            <w:shd w:val="clear" w:color="auto" w:fill="FFFFFF" w:themeFill="background1"/>
            <w:noWrap/>
          </w:tcPr>
          <w:p w14:paraId="049A99C7" w14:textId="1EA4756C" w:rsidR="00A260F2" w:rsidRPr="00A260F2" w:rsidRDefault="001D1785" w:rsidP="00A260F2">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hyperlink r:id="rId54" w:history="1">
              <w:r w:rsidR="00A260F2" w:rsidRPr="00E04DF5">
                <w:rPr>
                  <w:rStyle w:val="Hyperkobling"/>
                  <w:rFonts w:eastAsiaTheme="majorEastAsia" w:cs="Calibri"/>
                  <w:lang w:val="es-ES"/>
                </w:rPr>
                <w:t>https://www.blsa.nih.gov/</w:t>
              </w:r>
            </w:hyperlink>
            <w:r w:rsidR="00A260F2" w:rsidRPr="00E04DF5">
              <w:rPr>
                <w:rFonts w:eastAsiaTheme="majorEastAsia" w:cs="Calibri"/>
                <w:color w:val="0A2F40" w:themeColor="accent1" w:themeShade="7F"/>
                <w:lang w:val="es-ES"/>
              </w:rPr>
              <w:t xml:space="preserve"> (O</w:t>
            </w:r>
            <w:r w:rsidR="00A260F2">
              <w:rPr>
                <w:rFonts w:eastAsiaTheme="majorEastAsia" w:cs="Calibri"/>
                <w:color w:val="0A2F40" w:themeColor="accent1" w:themeShade="7F"/>
                <w:lang w:val="es-ES"/>
              </w:rPr>
              <w:t>)</w:t>
            </w:r>
          </w:p>
        </w:tc>
        <w:tc>
          <w:tcPr>
            <w:tcW w:w="2835" w:type="dxa"/>
            <w:tcBorders>
              <w:top w:val="single" w:sz="4" w:space="0" w:color="auto"/>
              <w:bottom w:val="single" w:sz="4" w:space="0" w:color="auto"/>
            </w:tcBorders>
            <w:shd w:val="clear" w:color="auto" w:fill="FFFFFF" w:themeFill="background1"/>
          </w:tcPr>
          <w:p w14:paraId="3A0A1F6A" w14:textId="26397B17" w:rsidR="00A260F2" w:rsidRPr="00FE5D0C" w:rsidRDefault="001D1785" w:rsidP="00A260F2">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hyperlink r:id="rId55" w:history="1">
              <w:r w:rsidR="00A260F2" w:rsidRPr="0032217B">
                <w:rPr>
                  <w:rStyle w:val="extlink-nobreak"/>
                  <w:color w:val="0000FF"/>
                  <w:u w:val="single"/>
                  <w:lang w:val="es-ES"/>
                </w:rPr>
                <w:t>BLSAData@mail.nih.gov</w:t>
              </w:r>
            </w:hyperlink>
            <w:r w:rsidR="00A260F2" w:rsidRPr="0032217B">
              <w:rPr>
                <w:lang w:val="es-ES"/>
              </w:rPr>
              <w:t xml:space="preserve"> (AC); Luigi </w:t>
            </w:r>
            <w:proofErr w:type="spellStart"/>
            <w:r w:rsidR="00A260F2" w:rsidRPr="0032217B">
              <w:rPr>
                <w:lang w:val="es-ES"/>
              </w:rPr>
              <w:t>Ferruci</w:t>
            </w:r>
            <w:proofErr w:type="spellEnd"/>
            <w:r w:rsidR="00A260F2" w:rsidRPr="0032217B">
              <w:rPr>
                <w:lang w:val="es-ES"/>
              </w:rPr>
              <w:t xml:space="preserve"> </w:t>
            </w:r>
            <w:hyperlink r:id="rId56" w:history="1">
              <w:r w:rsidR="00A260F2" w:rsidRPr="0032217B">
                <w:rPr>
                  <w:rStyle w:val="Hyperkobling"/>
                  <w:lang w:val="es-ES"/>
                </w:rPr>
                <w:t>ferruccilu@grc.nia.nih.gov</w:t>
              </w:r>
            </w:hyperlink>
            <w:r w:rsidR="00A260F2" w:rsidRPr="0032217B">
              <w:rPr>
                <w:rStyle w:val="Utheving"/>
                <w:lang w:val="es-ES"/>
              </w:rPr>
              <w:t xml:space="preserve"> </w:t>
            </w:r>
            <w:r w:rsidR="00A260F2" w:rsidRPr="0032217B">
              <w:rPr>
                <w:lang w:val="es-ES"/>
              </w:rPr>
              <w:t xml:space="preserve">(PI); Susan Resnick;  </w:t>
            </w:r>
            <w:hyperlink r:id="rId57" w:history="1">
              <w:r w:rsidR="00A260F2" w:rsidRPr="0032217B">
                <w:rPr>
                  <w:rStyle w:val="Hyperkobling"/>
                  <w:lang w:val="es-ES"/>
                </w:rPr>
                <w:t>resnicks@grc.nia.nih.gov</w:t>
              </w:r>
            </w:hyperlink>
            <w:r w:rsidR="00A260F2" w:rsidRPr="0032217B">
              <w:rPr>
                <w:lang w:val="es-ES"/>
              </w:rPr>
              <w:t xml:space="preserve"> (PI-MRI)</w:t>
            </w:r>
          </w:p>
        </w:tc>
        <w:tc>
          <w:tcPr>
            <w:tcW w:w="1985" w:type="dxa"/>
            <w:tcBorders>
              <w:top w:val="single" w:sz="4" w:space="0" w:color="auto"/>
              <w:bottom w:val="single" w:sz="4" w:space="0" w:color="auto"/>
            </w:tcBorders>
            <w:shd w:val="clear" w:color="auto" w:fill="FFFFFF" w:themeFill="background1"/>
          </w:tcPr>
          <w:p w14:paraId="31640139" w14:textId="0633E671" w:rsidR="00A260F2" w:rsidRPr="00FE5D0C" w:rsidRDefault="00A260F2" w:rsidP="00A260F2">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sidRPr="00365B0E">
              <w:rPr>
                <w:rFonts w:cs="Calibri"/>
                <w:lang w:val="en-US"/>
              </w:rPr>
              <w:t>Internal Review Board of the Intramural Research Program of the National Institutes of Health</w:t>
            </w:r>
          </w:p>
        </w:tc>
      </w:tr>
      <w:tr w:rsidR="00A260F2" w:rsidRPr="001D1785" w14:paraId="14F8F2A7" w14:textId="77777777" w:rsidTr="006B3898">
        <w:trPr>
          <w:jc w:val="center"/>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auto"/>
              <w:bottom w:val="single" w:sz="4" w:space="0" w:color="auto"/>
              <w:right w:val="none" w:sz="0" w:space="0" w:color="auto"/>
            </w:tcBorders>
          </w:tcPr>
          <w:p w14:paraId="469975B0" w14:textId="7D85FB31" w:rsidR="00A260F2" w:rsidRPr="00FE5D0C" w:rsidRDefault="00A260F2" w:rsidP="00A260F2">
            <w:pPr>
              <w:spacing w:line="360" w:lineRule="auto"/>
              <w:jc w:val="left"/>
              <w:rPr>
                <w:rFonts w:asciiTheme="minorHAnsi" w:hAnsiTheme="minorHAnsi" w:cstheme="minorHAnsi"/>
                <w:i w:val="0"/>
                <w:iCs w:val="0"/>
                <w:sz w:val="22"/>
                <w:lang w:val="en-US"/>
              </w:rPr>
            </w:pPr>
            <w:r w:rsidRPr="00FE5D0C">
              <w:rPr>
                <w:rFonts w:asciiTheme="minorHAnsi" w:hAnsiTheme="minorHAnsi"/>
                <w:i w:val="0"/>
                <w:iCs w:val="0"/>
                <w:sz w:val="22"/>
                <w:lang w:val="en-GB"/>
              </w:rPr>
              <w:t>AIBL</w:t>
            </w:r>
          </w:p>
        </w:tc>
        <w:tc>
          <w:tcPr>
            <w:tcW w:w="1701" w:type="dxa"/>
            <w:tcBorders>
              <w:top w:val="single" w:sz="4" w:space="0" w:color="auto"/>
              <w:bottom w:val="single" w:sz="4" w:space="0" w:color="auto"/>
            </w:tcBorders>
            <w:shd w:val="clear" w:color="auto" w:fill="FFFFFF" w:themeFill="background1"/>
            <w:noWrap/>
          </w:tcPr>
          <w:p w14:paraId="0844C9FE" w14:textId="101C42AA" w:rsidR="00A260F2" w:rsidRPr="00A260F2" w:rsidRDefault="001D1785" w:rsidP="00A260F2">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hyperlink r:id="rId58">
              <w:r w:rsidR="00A260F2" w:rsidRPr="00F81C84">
                <w:rPr>
                  <w:rFonts w:asciiTheme="minorHAnsi" w:hAnsiTheme="minorHAnsi" w:cs="Calibri"/>
                  <w:color w:val="1155CC"/>
                  <w:u w:val="single"/>
                  <w:lang w:val="es-ES"/>
                </w:rPr>
                <w:t>https://aibl.csiro.au/research/</w:t>
              </w:r>
            </w:hyperlink>
            <w:r w:rsidR="00A260F2" w:rsidRPr="00F81C84">
              <w:rPr>
                <w:rFonts w:asciiTheme="minorHAnsi" w:hAnsiTheme="minorHAnsi" w:cs="Calibri"/>
                <w:color w:val="1155CC"/>
                <w:lang w:val="es-ES"/>
              </w:rPr>
              <w:t xml:space="preserve"> (O)</w:t>
            </w:r>
          </w:p>
        </w:tc>
        <w:tc>
          <w:tcPr>
            <w:tcW w:w="2835" w:type="dxa"/>
            <w:tcBorders>
              <w:top w:val="single" w:sz="4" w:space="0" w:color="auto"/>
              <w:bottom w:val="single" w:sz="4" w:space="0" w:color="auto"/>
            </w:tcBorders>
            <w:shd w:val="clear" w:color="auto" w:fill="FFFFFF" w:themeFill="background1"/>
          </w:tcPr>
          <w:p w14:paraId="27361D6B" w14:textId="77777777" w:rsidR="00A260F2" w:rsidRPr="00F81C84" w:rsidRDefault="00A260F2" w:rsidP="00A260F2">
            <w:pPr>
              <w:jc w:val="center"/>
              <w:cnfStyle w:val="000000000000" w:firstRow="0" w:lastRow="0" w:firstColumn="0" w:lastColumn="0" w:oddVBand="0" w:evenVBand="0" w:oddHBand="0" w:evenHBand="0" w:firstRowFirstColumn="0" w:firstRowLastColumn="0" w:lastRowFirstColumn="0" w:lastRowLastColumn="0"/>
              <w:rPr>
                <w:rFonts w:asciiTheme="minorHAnsi" w:eastAsiaTheme="majorEastAsia" w:hAnsiTheme="minorHAnsi" w:cs="Calibri"/>
                <w:color w:val="0A2F40" w:themeColor="accent1" w:themeShade="7F"/>
                <w:lang w:val="en-US"/>
              </w:rPr>
            </w:pPr>
            <w:r w:rsidRPr="00F81C84">
              <w:rPr>
                <w:rFonts w:asciiTheme="minorHAnsi" w:eastAsiaTheme="majorEastAsia" w:hAnsiTheme="minorHAnsi" w:cs="Calibri"/>
                <w:color w:val="0A2F40" w:themeColor="accent1" w:themeShade="7F"/>
                <w:lang w:val="en-US"/>
              </w:rPr>
              <w:t xml:space="preserve">Christopher Rowe; </w:t>
            </w:r>
            <w:hyperlink r:id="rId59" w:history="1">
              <w:r w:rsidRPr="00F81C84">
                <w:rPr>
                  <w:rStyle w:val="Hyperkobling"/>
                  <w:rFonts w:asciiTheme="minorHAnsi" w:eastAsiaTheme="majorEastAsia" w:hAnsiTheme="minorHAnsi" w:cs="Calibri"/>
                  <w:lang w:val="en-US"/>
                </w:rPr>
                <w:t>christopher.rowe@austin.org.au</w:t>
              </w:r>
            </w:hyperlink>
            <w:r w:rsidRPr="00F81C84">
              <w:rPr>
                <w:rFonts w:asciiTheme="minorHAnsi" w:eastAsiaTheme="majorEastAsia" w:hAnsiTheme="minorHAnsi" w:cs="Calibri"/>
                <w:color w:val="0A2F40" w:themeColor="accent1" w:themeShade="7F"/>
                <w:lang w:val="en-US"/>
              </w:rPr>
              <w:t xml:space="preserve"> (PI)</w:t>
            </w:r>
          </w:p>
          <w:p w14:paraId="5205BBB6" w14:textId="77777777" w:rsidR="00A260F2" w:rsidRPr="00FE5D0C" w:rsidRDefault="00A260F2" w:rsidP="00A260F2">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p>
        </w:tc>
        <w:tc>
          <w:tcPr>
            <w:tcW w:w="1985" w:type="dxa"/>
            <w:tcBorders>
              <w:top w:val="single" w:sz="4" w:space="0" w:color="auto"/>
              <w:bottom w:val="single" w:sz="4" w:space="0" w:color="auto"/>
            </w:tcBorders>
            <w:shd w:val="clear" w:color="auto" w:fill="FFFFFF" w:themeFill="background1"/>
          </w:tcPr>
          <w:p w14:paraId="40FF15ED" w14:textId="62136B69" w:rsidR="00A260F2" w:rsidRPr="00FE5D0C" w:rsidRDefault="00A260F2" w:rsidP="00A260F2">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F81C84">
              <w:rPr>
                <w:rFonts w:asciiTheme="minorHAnsi" w:hAnsiTheme="minorHAnsi" w:cs="Calibri"/>
                <w:lang w:val="en-US"/>
              </w:rPr>
              <w:t xml:space="preserve">Institutional ethics committees of Austin Health, </w:t>
            </w:r>
            <w:proofErr w:type="spellStart"/>
            <w:r w:rsidRPr="00F81C84">
              <w:rPr>
                <w:rFonts w:asciiTheme="minorHAnsi" w:hAnsiTheme="minorHAnsi" w:cs="Calibri"/>
                <w:lang w:val="en-US"/>
              </w:rPr>
              <w:lastRenderedPageBreak/>
              <w:t>StVincent’s</w:t>
            </w:r>
            <w:proofErr w:type="spellEnd"/>
            <w:r w:rsidRPr="00F81C84">
              <w:rPr>
                <w:rFonts w:asciiTheme="minorHAnsi" w:hAnsiTheme="minorHAnsi" w:cs="Calibri"/>
                <w:lang w:val="en-US"/>
              </w:rPr>
              <w:t xml:space="preserve"> Health, Hollywood</w:t>
            </w:r>
          </w:p>
        </w:tc>
      </w:tr>
    </w:tbl>
    <w:p w14:paraId="2682BA30" w14:textId="6CC7BBD9" w:rsidR="006B3898" w:rsidRPr="00FE5D0C" w:rsidRDefault="009235FF" w:rsidP="00FE5D0C">
      <w:pPr>
        <w:spacing w:after="0" w:line="360" w:lineRule="auto"/>
        <w:rPr>
          <w:lang w:val="en-US"/>
        </w:rPr>
      </w:pPr>
      <w:bookmarkStart w:id="3" w:name="_Hlk189218571"/>
      <w:r w:rsidRPr="00FE5D0C">
        <w:rPr>
          <w:b/>
          <w:bCs/>
          <w:lang w:val="en-US"/>
        </w:rPr>
        <w:lastRenderedPageBreak/>
        <w:t>Supplementary Table 2</w:t>
      </w:r>
      <w:r w:rsidR="006B3898" w:rsidRPr="00FE5D0C">
        <w:rPr>
          <w:b/>
          <w:bCs/>
          <w:lang w:val="en-US"/>
        </w:rPr>
        <w:t>: Links, data owner and IRB approvals for each dataset</w:t>
      </w:r>
      <w:r w:rsidR="006B3898" w:rsidRPr="00FE5D0C">
        <w:rPr>
          <w:lang w:val="en-US"/>
        </w:rPr>
        <w:t xml:space="preserve">. </w:t>
      </w:r>
      <w:bookmarkEnd w:id="3"/>
      <w:r w:rsidR="006B3898" w:rsidRPr="00FE5D0C">
        <w:rPr>
          <w:lang w:val="en-US"/>
        </w:rPr>
        <w:t>Data availability, contact and principal investigator information, and ethical approval for the different datasets used. PI = Principal Investigator. AC = Administrative contact. IRB = Institutional Review Boards. O = Openly available. Automatic or semi-automatic data agreements. R = Restricted. Ad-hoc permission is required. Contact PI or AC for specific details on access to data.</w:t>
      </w:r>
    </w:p>
    <w:p w14:paraId="0AD5678E" w14:textId="77777777" w:rsidR="003A3D11" w:rsidRPr="00FE5D0C" w:rsidRDefault="003A3D11" w:rsidP="00FE5D0C">
      <w:pPr>
        <w:spacing w:after="0" w:line="360" w:lineRule="auto"/>
        <w:rPr>
          <w:lang w:val="en-US"/>
        </w:rPr>
      </w:pPr>
    </w:p>
    <w:p w14:paraId="0A0AEE29" w14:textId="77777777" w:rsidR="009235FF" w:rsidRPr="00FE5D0C" w:rsidRDefault="00460A87" w:rsidP="00FE5D0C">
      <w:pPr>
        <w:spacing w:after="0" w:line="360" w:lineRule="auto"/>
        <w:rPr>
          <w:u w:val="single"/>
          <w:lang w:val="en-US"/>
        </w:rPr>
      </w:pPr>
      <w:r w:rsidRPr="00FE5D0C">
        <w:rPr>
          <w:u w:val="single"/>
          <w:lang w:val="en-US"/>
        </w:rPr>
        <w:t>Dataset descriptions</w:t>
      </w:r>
      <w:r w:rsidR="009235FF" w:rsidRPr="00FE5D0C">
        <w:rPr>
          <w:u w:val="single"/>
          <w:lang w:val="en-US"/>
        </w:rPr>
        <w:t xml:space="preserve"> </w:t>
      </w:r>
    </w:p>
    <w:p w14:paraId="3373BA28" w14:textId="0BA3128A" w:rsidR="00460A87" w:rsidRPr="00FE5D0C" w:rsidRDefault="00460A87" w:rsidP="00FE5D0C">
      <w:pPr>
        <w:spacing w:after="0" w:line="360" w:lineRule="auto"/>
        <w:rPr>
          <w:rFonts w:cstheme="minorHAnsi"/>
          <w:u w:val="single"/>
          <w:lang w:val="en-US"/>
        </w:rPr>
      </w:pPr>
      <w:r w:rsidRPr="00FE5D0C">
        <w:rPr>
          <w:rFonts w:cstheme="minorHAnsi"/>
          <w:u w:val="single"/>
          <w:lang w:val="en-US"/>
        </w:rPr>
        <w:t>ADNI:</w:t>
      </w:r>
      <w:r w:rsidRPr="00FE5D0C">
        <w:rPr>
          <w:rFonts w:cstheme="minorHAnsi"/>
          <w:lang w:val="en-US"/>
        </w:rPr>
        <w:t xml:space="preserve"> The Alzheimer’s Disease Neuroimaging Initiative is a multi-site project led by Doctor Michael W. Weiner to assess the progression of mild cognitive impairment (MCI) and early Alzheimer’s Disease (AD). The present study includes participants from ADNI 1, ADNIGO, ADNI2, and ADNI 3, who were cognitively healthy at baseline (</w:t>
      </w:r>
      <w:proofErr w:type="spellStart"/>
      <w:r w:rsidRPr="00FE5D0C">
        <w:rPr>
          <w:rFonts w:cstheme="minorHAnsi"/>
          <w:i/>
          <w:iCs/>
          <w:lang w:val="en-US"/>
        </w:rPr>
        <w:t>DX_bl</w:t>
      </w:r>
      <w:proofErr w:type="spellEnd"/>
      <w:r w:rsidRPr="00FE5D0C">
        <w:rPr>
          <w:rFonts w:cstheme="minorHAnsi"/>
          <w:lang w:val="en-US"/>
        </w:rPr>
        <w:t xml:space="preserve"> variable). Only observations in which participants were still cognitively healthy were included as determined by the ADNI team (</w:t>
      </w:r>
      <w:r w:rsidRPr="00FE5D0C">
        <w:rPr>
          <w:rFonts w:cstheme="minorHAnsi"/>
          <w:i/>
          <w:iCs/>
          <w:lang w:val="en-US"/>
        </w:rPr>
        <w:t>DX</w:t>
      </w:r>
      <w:r w:rsidRPr="00FE5D0C">
        <w:rPr>
          <w:rFonts w:cstheme="minorHAnsi"/>
          <w:lang w:val="en-US"/>
        </w:rPr>
        <w:t xml:space="preserve"> variable). Participants were required to have no evidence of ischemic stroke (</w:t>
      </w:r>
      <w:proofErr w:type="spellStart"/>
      <w:r w:rsidRPr="00FE5D0C">
        <w:rPr>
          <w:rFonts w:cstheme="minorHAnsi"/>
          <w:lang w:val="en-US"/>
        </w:rPr>
        <w:t>Hachinski</w:t>
      </w:r>
      <w:proofErr w:type="spellEnd"/>
      <w:r w:rsidRPr="00FE5D0C">
        <w:rPr>
          <w:rFonts w:cstheme="minorHAnsi"/>
          <w:lang w:val="en-US"/>
        </w:rPr>
        <w:t xml:space="preserve"> Ischemic Score ≤ 4), a Geriatric Depression scale score &lt; 6, stable medications for 4 weeks before the screening, good auditory and visual acuity, good general health, no medical contraindications to MRI and at least 6 grades of education/work history. General inclusion and exclusion criteria are described elsewhere </w:t>
      </w:r>
      <w:r w:rsidRPr="00FE5D0C">
        <w:rPr>
          <w:rFonts w:cstheme="minorHAnsi"/>
          <w:lang w:val="en-US"/>
        </w:rPr>
        <w:fldChar w:fldCharType="begin">
          <w:fldData xml:space="preserve">PEVuZE5vdGU+PENpdGU+PEF1dGhvcj5QZXRlcnNlbjwvQXV0aG9yPjxZZWFyPjIwMTA8L1llYXI+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</w:fldData>
        </w:fldChar>
      </w:r>
      <w:r w:rsidRPr="00FE5D0C">
        <w:rPr>
          <w:rFonts w:cstheme="minorHAnsi"/>
          <w:lang w:val="en-US"/>
        </w:rPr>
        <w:instrText xml:space="preserve"> ADDIN EN.CITE </w:instrText>
      </w:r>
      <w:r w:rsidRPr="00FE5D0C">
        <w:rPr>
          <w:rFonts w:cstheme="minorHAnsi"/>
          <w:lang w:val="en-US"/>
        </w:rPr>
        <w:fldChar w:fldCharType="begin">
          <w:fldData xml:space="preserve">PEVuZE5vdGU+PENpdGU+PEF1dGhvcj5QZXRlcnNlbjwvQXV0aG9yPjxZZWFyPjIwMTA8L1llYXI+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</w:fldData>
        </w:fldChar>
      </w:r>
      <w:r w:rsidRPr="00FE5D0C">
        <w:rPr>
          <w:rFonts w:cstheme="minorHAnsi"/>
          <w:lang w:val="en-US"/>
        </w:rPr>
        <w:instrText xml:space="preserve"> ADDIN EN.CITE.DATA </w:instrText>
      </w:r>
      <w:r w:rsidRPr="00FE5D0C">
        <w:rPr>
          <w:rFonts w:cstheme="minorHAnsi"/>
          <w:lang w:val="en-US"/>
        </w:rPr>
      </w:r>
      <w:r w:rsidRPr="00FE5D0C">
        <w:rPr>
          <w:rFonts w:cstheme="minorHAnsi"/>
          <w:lang w:val="en-US"/>
        </w:rPr>
        <w:fldChar w:fldCharType="end"/>
      </w:r>
      <w:r w:rsidRPr="00FE5D0C">
        <w:rPr>
          <w:rFonts w:cstheme="minorHAnsi"/>
          <w:lang w:val="en-US"/>
        </w:rPr>
      </w:r>
      <w:r w:rsidRPr="00FE5D0C">
        <w:rPr>
          <w:rFonts w:cstheme="minorHAnsi"/>
          <w:lang w:val="en-US"/>
        </w:rPr>
        <w:fldChar w:fldCharType="separate"/>
      </w:r>
      <w:r w:rsidRPr="00FE5D0C">
        <w:rPr>
          <w:rFonts w:cstheme="minorHAnsi"/>
          <w:noProof/>
          <w:vertAlign w:val="superscript"/>
          <w:lang w:val="en-US"/>
        </w:rPr>
        <w:t>1</w:t>
      </w:r>
      <w:r w:rsidRPr="00FE5D0C">
        <w:rPr>
          <w:rFonts w:cstheme="minorHAnsi"/>
          <w:lang w:val="en-US"/>
        </w:rPr>
        <w:fldChar w:fldCharType="end"/>
      </w:r>
      <w:r w:rsidRPr="00FE5D0C">
        <w:rPr>
          <w:rFonts w:cstheme="minorHAnsi"/>
          <w:lang w:val="en-US"/>
        </w:rPr>
        <w:t xml:space="preserve">. All participants signed an informed consent </w:t>
      </w:r>
      <w:proofErr w:type="gramStart"/>
      <w:r w:rsidRPr="00FE5D0C">
        <w:rPr>
          <w:rFonts w:cstheme="minorHAnsi"/>
          <w:lang w:val="en-US"/>
        </w:rPr>
        <w:t>form</w:t>
      </w:r>
      <w:proofErr w:type="gramEnd"/>
      <w:r w:rsidRPr="00FE5D0C">
        <w:rPr>
          <w:rFonts w:cstheme="minorHAnsi"/>
          <w:lang w:val="en-US"/>
        </w:rPr>
        <w:t xml:space="preserve"> and the protocols were approved by the corresponding regional ethical committees in the US and Canada. Data was retrieved in April 2021.</w:t>
      </w:r>
    </w:p>
    <w:p w14:paraId="79B96F63" w14:textId="77777777" w:rsidR="00460A87" w:rsidRPr="00FE5D0C" w:rsidRDefault="00460A87" w:rsidP="00FE5D0C">
      <w:pPr>
        <w:spacing w:after="0" w:line="360" w:lineRule="auto"/>
        <w:rPr>
          <w:rFonts w:cstheme="minorHAnsi"/>
          <w:color w:val="1F1F1F"/>
          <w:lang w:val="en-US"/>
        </w:rPr>
      </w:pPr>
      <w:proofErr w:type="spellStart"/>
      <w:r w:rsidRPr="00FE5D0C">
        <w:rPr>
          <w:rFonts w:cstheme="minorHAnsi"/>
          <w:u w:val="single"/>
          <w:lang w:val="en-US"/>
        </w:rPr>
        <w:t>PreventAD</w:t>
      </w:r>
      <w:proofErr w:type="spellEnd"/>
      <w:r w:rsidRPr="00FE5D0C">
        <w:rPr>
          <w:rFonts w:cstheme="minorHAnsi"/>
          <w:u w:val="single"/>
          <w:lang w:val="en-US"/>
        </w:rPr>
        <w:t>:</w:t>
      </w:r>
      <w:r w:rsidRPr="00FE5D0C">
        <w:rPr>
          <w:rFonts w:cstheme="minorHAnsi"/>
          <w:lang w:val="en-US"/>
        </w:rPr>
        <w:t xml:space="preserve"> The Pre-symptomatic Evaluation of Experimental or Novel Treatments for AD </w:t>
      </w:r>
      <w:r w:rsidRPr="00FE5D0C">
        <w:rPr>
          <w:rFonts w:cstheme="minorHAnsi"/>
          <w:shd w:val="clear" w:color="auto" w:fill="FFFFFF"/>
          <w:lang w:val="en-US"/>
        </w:rPr>
        <w:t>is a retrospective, long-term study that follows cognitively healthy older individuals with a familiar history of AD. It includes participants enrolled either from an observational cohort or the clinical trial of PREVENT-AD. This study comprises MRI images, blood and CSF samples, and clinical and neuropsychological assessments. Participants had to be at least 60 years old with ≥</w:t>
      </w:r>
      <w:r w:rsidRPr="00FE5D0C">
        <w:rPr>
          <w:rFonts w:cstheme="minorHAnsi"/>
          <w:color w:val="1F1F1F"/>
          <w:lang w:val="en-US"/>
        </w:rPr>
        <w:t>6 years of education and be cognitively unimpaired at baseline. The Montreal Cognitive Assessment (MoCA) (</w:t>
      </w:r>
      <w:r w:rsidRPr="00FE5D0C">
        <w:rPr>
          <w:rFonts w:cstheme="minorHAnsi"/>
          <w:lang w:val="en-US"/>
        </w:rPr>
        <w:t xml:space="preserve">≥ </w:t>
      </w:r>
      <w:r w:rsidRPr="00FE5D0C">
        <w:rPr>
          <w:rFonts w:cstheme="minorHAnsi"/>
          <w:color w:val="1F1F1F"/>
          <w:lang w:val="en-US"/>
        </w:rPr>
        <w:t xml:space="preserve">26/30) and CDR (= 0) scales were used to assess cognitive abilities. Other exclusion criteria at baseline included </w:t>
      </w:r>
      <w:r w:rsidRPr="00FE5D0C">
        <w:rPr>
          <w:rFonts w:cstheme="minorHAnsi"/>
          <w:lang w:val="en-US"/>
        </w:rPr>
        <w:t>medical conditions that prevented longitudinal participation or medical contraindications to MRI,</w:t>
      </w:r>
      <w:r w:rsidRPr="00FE5D0C">
        <w:rPr>
          <w:rFonts w:cstheme="minorHAnsi"/>
          <w:color w:val="1F1F1F"/>
          <w:lang w:val="en-US"/>
        </w:rPr>
        <w:t xml:space="preserve"> use of acetylcholinesterase inhibitors, other approved prescription cognitive enhancers, hypertension, or substance abuse. The protocols, consent forms, and study procedures were approved by the McGill Institutional Review Board and the Douglas Mental Health University Institute Research Ethics Board. Observations with RBANS &gt; 1SD below the mean and probable MCI, as evaluated by a clinician, were excluded.</w:t>
      </w:r>
    </w:p>
    <w:p w14:paraId="59F32784" w14:textId="77777777" w:rsidR="00460A87" w:rsidRPr="00FE5D0C" w:rsidRDefault="00460A87" w:rsidP="00FE5D0C">
      <w:pPr>
        <w:spacing w:after="0" w:line="360" w:lineRule="auto"/>
        <w:rPr>
          <w:lang w:val="en-US"/>
        </w:rPr>
      </w:pPr>
      <w:r w:rsidRPr="00FE5D0C">
        <w:rPr>
          <w:u w:val="single"/>
          <w:lang w:val="en-US"/>
        </w:rPr>
        <w:lastRenderedPageBreak/>
        <w:t xml:space="preserve">HABS: </w:t>
      </w:r>
      <w:r w:rsidRPr="00FE5D0C">
        <w:rPr>
          <w:lang w:val="en-US"/>
        </w:rPr>
        <w:t>The Harvard Aging Brain Study is an ongoing, long-term observational study that aims to enhance our understanding of brain aging and the early stages of Alzheimer's disease</w:t>
      </w:r>
      <w:r w:rsidRPr="00FE5D0C">
        <w:rPr>
          <w:color w:val="555555"/>
          <w:spacing w:val="6"/>
          <w:lang w:val="en-US"/>
        </w:rPr>
        <w:t xml:space="preserve">. </w:t>
      </w:r>
      <w:r w:rsidRPr="00FE5D0C">
        <w:rPr>
          <w:lang w:val="en-US"/>
        </w:rPr>
        <w:t xml:space="preserve">The study collects PET, MRI data, neuropsychological and clinical assessments. The age range was 50-90 years at the time of baseline assessment and all patients were considered non-clinically impaired at the start of the study. Further, participants had a CDR score of 0, MMSE score ≥ 25, &lt; 11 on the Geriatric Depression Scale, and scored above age- and education-adjusted cutoffs on the 30-Minute Delayed Recall of the Logical Memory Story A, to be included in the study. Participants with a history of alcoholism, drug abuse, head trauma, or current serious medical/psychiatric illness were excluded. Observations with MCI or AD diagnostic (DX variable) were excluded. All participants signed informed </w:t>
      </w:r>
      <w:proofErr w:type="gramStart"/>
      <w:r w:rsidRPr="00FE5D0C">
        <w:rPr>
          <w:lang w:val="en-US"/>
        </w:rPr>
        <w:t>consent</w:t>
      </w:r>
      <w:proofErr w:type="gramEnd"/>
      <w:r w:rsidRPr="00FE5D0C">
        <w:rPr>
          <w:lang w:val="en-US"/>
        </w:rPr>
        <w:t xml:space="preserve"> and the protocol was approved by the Partners Healthcare Human Research Committee. HABS data release 2.20, retrieved in August 2022 via habs.mgh.harvard.edu.</w:t>
      </w:r>
    </w:p>
    <w:p w14:paraId="603FEB36" w14:textId="77777777" w:rsidR="00460A87" w:rsidRPr="00FE5D0C" w:rsidRDefault="00460A87" w:rsidP="00FE5D0C">
      <w:pPr>
        <w:spacing w:after="0" w:line="360" w:lineRule="auto"/>
        <w:rPr>
          <w:rFonts w:cstheme="minorHAnsi"/>
          <w:lang w:val="en-US"/>
        </w:rPr>
      </w:pPr>
      <w:r w:rsidRPr="00FE5D0C">
        <w:rPr>
          <w:rFonts w:cstheme="minorHAnsi"/>
          <w:u w:val="single"/>
          <w:lang w:val="en-US"/>
        </w:rPr>
        <w:t>LCBC:</w:t>
      </w:r>
      <w:r w:rsidRPr="00FE5D0C">
        <w:rPr>
          <w:rFonts w:cstheme="minorHAnsi"/>
          <w:lang w:val="en-US"/>
        </w:rPr>
        <w:t xml:space="preserve"> The Center for Lifespan Changes in Brain and Cognition cohort (Oslo, Norway) consists of cognitively healthy, community-dwelling participants across the lifespan and is drawn from studies coordinated by the LCBC Research Center (LCBC www.lcbc.uio.no), approved by a Norwegian Regional Committee for Medical and Health Research Ethics. Written informed consent was obtained from all participants. The samples were recruited by a variety of methods such as newspapers and webpage ads. Most participants were recruited for observational studies, while a minority were recruited to cognitive training. All participants had to undergo a standardized health interview before being included in the study, and those with a history of neurological or psychiatric conditions or who reported concerns about their cognitive function were excluded. Additionally, all participants over the age of 40 years were required to score at least 25 on the Mini-Mental State Examination, and observations paired with MMSE ≤ 25 were excluded. Data was retrieved in November 2022.</w:t>
      </w:r>
    </w:p>
    <w:p w14:paraId="0F2F64EA" w14:textId="77777777" w:rsidR="00460A87" w:rsidRPr="00FE5D0C" w:rsidRDefault="00460A87" w:rsidP="00FE5D0C">
      <w:pPr>
        <w:spacing w:after="0" w:line="360" w:lineRule="auto"/>
        <w:rPr>
          <w:rFonts w:cstheme="minorHAnsi"/>
          <w:lang w:val="en-US"/>
        </w:rPr>
      </w:pPr>
      <w:r w:rsidRPr="00FE5D0C">
        <w:rPr>
          <w:rFonts w:cstheme="minorHAnsi"/>
          <w:u w:val="single"/>
          <w:lang w:val="en-US"/>
        </w:rPr>
        <w:t>OASIS3:</w:t>
      </w:r>
      <w:r w:rsidRPr="00FE5D0C">
        <w:rPr>
          <w:rFonts w:cstheme="minorHAnsi"/>
          <w:lang w:val="en-US"/>
        </w:rPr>
        <w:t xml:space="preserve"> The Open Access Series of Imaging Studies is a retrospective collection of multimodal data that focuses on aging and AD and is openly accessible to the scientific community. OASIS-3 includes neuroimaging, clinical and neuropsychological data. Participants were recruited through the Washington University Knight Alzheimer Disease Research Center via flyers, word of mouth, and community engagements, and were between 42 and 95 years of age. Only participants deemed cognitively normal at baseline were included. Exclusion criteria included medical conditions that precluded longitudinal participation or medical contraindications for the different study arms. All participants consented to Knight ADRC-related projects following procedures approved by the Institutional Review Board of Washington University School of Medicine. Observations were included until the last observation in which a subject was deemed cognitively healthy as determined by the Clinical Dementia Rating Scale (CDR) </w:t>
      </w:r>
      <w:r w:rsidRPr="00FE5D0C">
        <w:rPr>
          <w:rFonts w:cstheme="minorHAnsi"/>
          <w:lang w:val="en-US"/>
        </w:rPr>
        <w:fldChar w:fldCharType="begin"/>
      </w:r>
      <w:r w:rsidRPr="00FE5D0C">
        <w:rPr>
          <w:rFonts w:cstheme="minorHAnsi"/>
          <w:lang w:val="en-US"/>
        </w:rPr>
        <w:instrText xml:space="preserve"> ADDIN EN.CITE &lt;EndNote&gt;&lt;Cite&gt;&lt;Author&gt;Morris&lt;/Author&gt;&lt;Year&gt;1993&lt;/Year&gt;&lt;RecNum&gt;81&lt;/RecNum&gt;&lt;DisplayText&gt;&lt;style face="superscript"&gt;3&lt;/style&gt;&lt;/DisplayText&gt;&lt;record&gt;&lt;rec-number&gt;81&lt;/rec-number&gt;&lt;foreign-keys&gt;&lt;key app="EN" db-id="d2etxxdpnstp5yevvvv5svebd25zdz9svvpa" timestamp="1732695210"&gt;81&lt;/key&gt;&lt;/foreign-keys&gt;&lt;ref-type name="Journal Article"&gt;17&lt;/ref-type&gt;&lt;contributors&gt;&lt;authors&gt;&lt;author&gt;Morris, J. C.&lt;/author&gt;&lt;/authors&gt;&lt;/contributors&gt;&lt;auth-address&gt;Department of Neurology, Washington University School of Medicine, St. Louis, MO.&lt;/auth-address&gt;&lt;titles&gt;&lt;title&gt;The Clinical Dementia Rating (CDR): current version and scoring rules&lt;/title&gt;&lt;secondary-title&gt;Neurology&lt;/secondary-title&gt;&lt;/titles&gt;&lt;periodical&gt;&lt;full-title&gt;Neurology&lt;/full-title&gt;&lt;/periodical&gt;&lt;pages&gt;2412-4&lt;/pages&gt;&lt;volume&gt;43&lt;/volume&gt;&lt;number&gt;11&lt;/number&gt;&lt;keywords&gt;&lt;keyword&gt;Dementia/*psychology&lt;/keyword&gt;&lt;keyword&gt;Humans&lt;/keyword&gt;&lt;keyword&gt;*Psychiatric Status Rating Scales&lt;/keyword&gt;&lt;keyword&gt;Severity of Illness Index&lt;/keyword&gt;&lt;/keywords&gt;&lt;dates&gt;&lt;year&gt;1993&lt;/year&gt;&lt;pub-dates&gt;&lt;date&gt;Nov&lt;/date&gt;&lt;/pub-dates&gt;&lt;/dates&gt;&lt;isbn&gt;0028-3878 (Print)&amp;#xD;0028-3878 (Linking)&lt;/isbn&gt;&lt;accession-num&gt;8232972&lt;/accession-num&gt;&lt;urls&gt;&lt;related-urls&gt;&lt;url&gt;https://www.ncbi.nlm.nih.gov/pubmed/8232972&lt;/url&gt;&lt;/related-urls&gt;&lt;/urls&gt;&lt;electronic-resource-num&gt;10.1212/wnl.43.11.2412-a&lt;/electronic-resource-num&gt;&lt;remote-database-name&gt;Medline&lt;/remote-database-name&gt;&lt;remote-database-provider&gt;NLM&lt;/remote-database-provider&gt;&lt;/record&gt;&lt;/Cite&gt;&lt;/EndNote&gt;</w:instrText>
      </w:r>
      <w:r w:rsidRPr="00FE5D0C">
        <w:rPr>
          <w:rFonts w:cstheme="minorHAnsi"/>
          <w:lang w:val="en-US"/>
        </w:rPr>
        <w:fldChar w:fldCharType="separate"/>
      </w:r>
      <w:r w:rsidRPr="00FE5D0C">
        <w:rPr>
          <w:rFonts w:cstheme="minorHAnsi"/>
          <w:noProof/>
          <w:vertAlign w:val="superscript"/>
          <w:lang w:val="en-US"/>
        </w:rPr>
        <w:t>3</w:t>
      </w:r>
      <w:r w:rsidRPr="00FE5D0C">
        <w:rPr>
          <w:rFonts w:cstheme="minorHAnsi"/>
          <w:lang w:val="en-US"/>
        </w:rPr>
        <w:fldChar w:fldCharType="end"/>
      </w:r>
      <w:r w:rsidRPr="00FE5D0C">
        <w:rPr>
          <w:rFonts w:cstheme="minorHAnsi"/>
          <w:lang w:val="en-US"/>
        </w:rPr>
        <w:t xml:space="preserve">. </w:t>
      </w:r>
    </w:p>
    <w:p w14:paraId="1D34E27E" w14:textId="3E3E57BC" w:rsidR="00773886" w:rsidRPr="00FE5D0C" w:rsidRDefault="00773886" w:rsidP="00773886">
      <w:pPr>
        <w:spacing w:after="0" w:line="360" w:lineRule="auto"/>
        <w:rPr>
          <w:lang w:val="en-US"/>
        </w:rPr>
      </w:pPr>
      <w:r w:rsidRPr="00FE5D0C">
        <w:rPr>
          <w:u w:val="single"/>
          <w:lang w:val="en-US"/>
        </w:rPr>
        <w:lastRenderedPageBreak/>
        <w:t>AIBL</w:t>
      </w:r>
      <w:r w:rsidRPr="00FE5D0C">
        <w:rPr>
          <w:lang w:val="en-US"/>
        </w:rPr>
        <w:t xml:space="preserve">: </w:t>
      </w:r>
      <w:r w:rsidRPr="00527004">
        <w:rPr>
          <w:rFonts w:ascii="Calibri" w:hAnsi="Calibri" w:cs="Calibri"/>
          <w:lang w:val="en-US"/>
        </w:rPr>
        <w:t>The Australian Imaging, Biomarker &amp; Lifestyle Flagship Study of Ageing (AIBL)</w:t>
      </w:r>
      <w:r>
        <w:rPr>
          <w:rFonts w:ascii="Calibri" w:hAnsi="Calibri" w:cs="Calibri"/>
          <w:lang w:val="en-US"/>
        </w:rPr>
        <w:t xml:space="preserve"> </w:t>
      </w:r>
      <w:r w:rsidRPr="00527004">
        <w:rPr>
          <w:rFonts w:ascii="Calibri" w:hAnsi="Calibri" w:cs="Calibri"/>
          <w:lang w:val="en-US"/>
        </w:rPr>
        <w:fldChar w:fldCharType="begin"/>
      </w:r>
      <w:r w:rsidRPr="00527004">
        <w:rPr>
          <w:rFonts w:ascii="Calibri" w:hAnsi="Calibri" w:cs="Calibri"/>
          <w:lang w:val="en-US"/>
        </w:rPr>
        <w:instrText xml:space="preserve"> ADDIN ZOTERO_ITEM CSL_CITATION {"citationID":"H8SbbCZ3","properties":{"formattedCitation":"(Ellis et al., 2009)","plainCitation":"(Ellis et al., 2009)","noteIndex":0},"citationItems":[{"id":134,"uris":["http://zotero.org/users/1381693/items/YHNXFRIA"],"itemData":{"id":134,"type":"article-journal","abstract":"BACKGROUND: The Australian Imaging, Biomarkers and Lifestyle (AIBL) flagship study of aging aimed to recruit 1000 individuals aged over 60 to assist with prospective research into Alzheimer's disease (AD). This paper describes the recruitment of the cohort and gives information about the study methodology, baseline demography, diagnoses, medical comorbidities, medication use, and cognitive function of the participants.\nMETHODS: Volunteers underwent a screening interview, had comprehensive cognitive testing, gave 80 ml of blood, and completed health and lifestyle questionnaires. One quarter of the sample also underwent amyloid PET brain imaging with Pittsburgh compound B (PiB PET) and MRI brain imaging, and a subgroup of 10% had ActiGraph activity monitoring and body composition scanning.\nRESULTS: A total of 1166 volunteers were recruited, 54 of whom were excluded from further study due to comorbid disorders which could affect cognition or because of withdrawal of consent. Participants with AD (211) had neuropsychological profiles which were consistent with AD, and were more impaired than participants with mild cognitive impairment (133) or healthy controls (768), who performed within expected norms for age on neuropsychological testing. PiB PET scans were performed on 287 participants, 100 had DEXA scans and 91 participated in ActiGraph monitoring.\nCONCLUSION: The participants comprising the AIBL cohort represent a group of highly motivated and well-characterized individuals who represent a unique resource for the study of AD. They will be reassessed at 18-month intervals in order to determine the predictive utility of various biomarkers, cognitive parameters and lifestyle factors as indicators of AD, and as predictors of future cognitive decline.","container-title":"International Psychogeriatrics","DOI":"10.1017/S1041610209009405","ISSN":"1041-6102","issue":"4","journalAbbreviation":"Int Psychogeriatr","language":"eng","note":"PMID: 19470201","page":"672-687","source":"PubMed","title":"The Australian Imaging, Biomarkers and Lifestyle (AIBL) study of aging: methodology and baseline characteristics of 1112 individuals recruited for a longitudinal study of Alzheimer's disease","title-short":"The Australian Imaging, Biomarkers and Lifestyle (AIBL) study of aging","volume":"21","author":[{"family":"Ellis","given":"Kathryn A."},{"family":"Bush","given":"Ashley I."},{"family":"Darby","given":"David"},{"family":"De Fazio","given":"Daniela"},{"family":"Foster","given":"Jonathan"},{"family":"Hudson","given":"Peter"},{"family":"Lautenschlager","given":"Nicola T."},{"family":"Lenzo","given":"Nat"},{"family":"Martins","given":"Ralph N."},{"family":"Maruff","given":"Paul"},{"family":"Masters","given":"Colin"},{"family":"Milner","given":"Andrew"},{"family":"Pike","given":"Kerryn"},{"family":"Rowe","given":"Christopher"},{"family":"Savage","given":"Greg"},{"family":"Szoeke","given":"Cassandra"},{"family":"Taddei","given":"Kevin"},{"family":"Villemagne","given":"Victor"},{"family":"Woodward","given":"Michael"},{"family":"Ames","given":"David"},{"literal":"AIBL Research Group"}],"issued":{"date-parts":[["2009",8]]}}}],"schema":"https://github.com/citation-style-language/schema/raw/master/csl-citation.json"} </w:instrText>
      </w:r>
      <w:r w:rsidRPr="00527004">
        <w:rPr>
          <w:rFonts w:ascii="Calibri" w:hAnsi="Calibri" w:cs="Calibri"/>
          <w:lang w:val="en-US"/>
        </w:rPr>
        <w:fldChar w:fldCharType="separate"/>
      </w:r>
      <w:r w:rsidRPr="00527004">
        <w:rPr>
          <w:rFonts w:ascii="Calibri" w:hAnsi="Calibri" w:cs="Calibri"/>
          <w:lang w:val="en-US"/>
        </w:rPr>
        <w:t>(Ellis et al., 2009)</w:t>
      </w:r>
      <w:r w:rsidRPr="00527004">
        <w:rPr>
          <w:rFonts w:ascii="Calibri" w:hAnsi="Calibri" w:cs="Calibri"/>
          <w:lang w:val="en-US"/>
        </w:rPr>
        <w:fldChar w:fldCharType="end"/>
      </w:r>
      <w:r w:rsidRPr="00527004">
        <w:rPr>
          <w:rFonts w:ascii="Calibri" w:hAnsi="Calibri" w:cs="Calibri"/>
          <w:lang w:val="en-US"/>
        </w:rPr>
        <w:t xml:space="preserve"> is a prospective study including cognitively normal participants, and patients with mild cognitive impairment, or AD aged 60 years or older. The study assesses the biomarkers, genetic factors, cognitive characteristics, and health and lifestyle factors that are associated with the development of AD, combining techniques such as MRI, positron emission tomography (PET), blood tests, and fluid sample analysis, as well as neuropsychological and clinical assessments. Healthy participants must meet specific criteria, including being free of cognitive impairments and having test performance within 1.5 standard deviation</w:t>
      </w:r>
      <w:r w:rsidRPr="00527004">
        <w:rPr>
          <w:rFonts w:ascii="Calibri" w:hAnsi="Calibri" w:cs="Calibri"/>
          <w:i/>
          <w:iCs/>
          <w:lang w:val="en-US"/>
        </w:rPr>
        <w:t xml:space="preserve"> (SD)</w:t>
      </w:r>
      <w:r w:rsidRPr="00527004">
        <w:rPr>
          <w:rFonts w:ascii="Calibri" w:hAnsi="Calibri" w:cs="Calibri"/>
          <w:lang w:val="en-US"/>
        </w:rPr>
        <w:t xml:space="preserve"> of age-adjusted norms. The test battery and sample description, as well as in-detail general inclusion criteria, have been described in detail previously</w:t>
      </w:r>
      <w:r>
        <w:rPr>
          <w:rFonts w:ascii="Calibri" w:hAnsi="Calibri" w:cs="Calibri"/>
          <w:lang w:val="en-US"/>
        </w:rPr>
        <w:t xml:space="preserve"> </w:t>
      </w:r>
      <w:r w:rsidRPr="00527004">
        <w:rPr>
          <w:rFonts w:ascii="Calibri" w:hAnsi="Calibri" w:cs="Calibri"/>
          <w:lang w:val="en-US"/>
        </w:rPr>
        <w:fldChar w:fldCharType="begin"/>
      </w:r>
      <w:r w:rsidRPr="00527004">
        <w:rPr>
          <w:rFonts w:ascii="Calibri" w:hAnsi="Calibri" w:cs="Calibri"/>
          <w:lang w:val="en-US"/>
        </w:rPr>
        <w:instrText xml:space="preserve"> ADDIN ZOTERO_ITEM CSL_CITATION {"citationID":"4sqwyIpV","properties":{"formattedCitation":"(Ellis et al., 2009)","plainCitation":"(Ellis et al., 2009)","noteIndex":0},"citationItems":[{"id":134,"uris":["http://zotero.org/users/1381693/items/YHNXFRIA"],"itemData":{"id":134,"type":"article-journal","abstract":"BACKGROUND: The Australian Imaging, Biomarkers and Lifestyle (AIBL) flagship study of aging aimed to recruit 1000 individuals aged over 60 to assist with prospective research into Alzheimer's disease (AD). This paper describes the recruitment of the cohort and gives information about the study methodology, baseline demography, diagnoses, medical comorbidities, medication use, and cognitive function of the participants.\nMETHODS: Volunteers underwent a screening interview, had comprehensive cognitive testing, gave 80 ml of blood, and completed health and lifestyle questionnaires. One quarter of the sample also underwent amyloid PET brain imaging with Pittsburgh compound B (PiB PET) and MRI brain imaging, and a subgroup of 10% had ActiGraph activity monitoring and body composition scanning.\nRESULTS: A total of 1166 volunteers were recruited, 54 of whom were excluded from further study due to comorbid disorders which could affect cognition or because of withdrawal of consent. Participants with AD (211) had neuropsychological profiles which were consistent with AD, and were more impaired than participants with mild cognitive impairment (133) or healthy controls (768), who performed within expected norms for age on neuropsychological testing. PiB PET scans were performed on 287 participants, 100 had DEXA scans and 91 participated in ActiGraph monitoring.\nCONCLUSION: The participants comprising the AIBL cohort represent a group of highly motivated and well-characterized individuals who represent a unique resource for the study of AD. They will be reassessed at 18-month intervals in order to determine the predictive utility of various biomarkers, cognitive parameters and lifestyle factors as indicators of AD, and as predictors of future cognitive decline.","container-title":"International Psychogeriatrics","DOI":"10.1017/S1041610209009405","ISSN":"1041-6102","issue":"4","journalAbbreviation":"Int Psychogeriatr","language":"eng","note":"PMID: 19470201","page":"672-687","source":"PubMed","title":"The Australian Imaging, Biomarkers and Lifestyle (AIBL) study of aging: methodology and baseline characteristics of 1112 individuals recruited for a longitudinal study of Alzheimer's disease","title-short":"The Australian Imaging, Biomarkers and Lifestyle (AIBL) study of aging","volume":"21","author":[{"family":"Ellis","given":"Kathryn A."},{"family":"Bush","given":"Ashley I."},{"family":"Darby","given":"David"},{"family":"De Fazio","given":"Daniela"},{"family":"Foster","given":"Jonathan"},{"family":"Hudson","given":"Peter"},{"family":"Lautenschlager","given":"Nicola T."},{"family":"Lenzo","given":"Nat"},{"family":"Martins","given":"Ralph N."},{"family":"Maruff","given":"Paul"},{"family":"Masters","given":"Colin"},{"family":"Milner","given":"Andrew"},{"family":"Pike","given":"Kerryn"},{"family":"Rowe","given":"Christopher"},{"family":"Savage","given":"Greg"},{"family":"Szoeke","given":"Cassandra"},{"family":"Taddei","given":"Kevin"},{"family":"Villemagne","given":"Victor"},{"family":"Woodward","given":"Michael"},{"family":"Ames","given":"David"},{"literal":"AIBL Research Group"}],"issued":{"date-parts":[["2009",8]]}}}],"schema":"https://github.com/citation-style-language/schema/raw/master/csl-citation.json"} </w:instrText>
      </w:r>
      <w:r w:rsidRPr="00527004">
        <w:rPr>
          <w:rFonts w:ascii="Calibri" w:hAnsi="Calibri" w:cs="Calibri"/>
          <w:lang w:val="en-US"/>
        </w:rPr>
        <w:fldChar w:fldCharType="separate"/>
      </w:r>
      <w:r w:rsidRPr="00527004">
        <w:rPr>
          <w:rFonts w:ascii="Calibri" w:hAnsi="Calibri" w:cs="Calibri"/>
          <w:lang w:val="en-US"/>
        </w:rPr>
        <w:t>(Ellis et al., 2009)</w:t>
      </w:r>
      <w:r w:rsidRPr="00527004">
        <w:rPr>
          <w:rFonts w:ascii="Calibri" w:hAnsi="Calibri" w:cs="Calibri"/>
          <w:lang w:val="en-US"/>
        </w:rPr>
        <w:fldChar w:fldCharType="end"/>
      </w:r>
      <w:r w:rsidRPr="00527004">
        <w:rPr>
          <w:rFonts w:ascii="Calibri" w:hAnsi="Calibri" w:cs="Calibri"/>
          <w:lang w:val="en-US"/>
        </w:rPr>
        <w:t xml:space="preserve">. All </w:t>
      </w:r>
      <w:r>
        <w:rPr>
          <w:rFonts w:ascii="Calibri" w:hAnsi="Calibri" w:cs="Calibri"/>
          <w:lang w:val="en-US"/>
        </w:rPr>
        <w:t xml:space="preserve">individuals from </w:t>
      </w:r>
      <w:r w:rsidRPr="00527004">
        <w:rPr>
          <w:rFonts w:ascii="Calibri" w:hAnsi="Calibri" w:cs="Calibri"/>
          <w:lang w:val="en-US"/>
        </w:rPr>
        <w:t xml:space="preserve">cognitively normal individuals </w:t>
      </w:r>
      <w:r>
        <w:rPr>
          <w:rFonts w:ascii="Calibri" w:hAnsi="Calibri" w:cs="Calibri"/>
          <w:lang w:val="en-US"/>
        </w:rPr>
        <w:t xml:space="preserve">at baseline </w:t>
      </w:r>
      <w:r w:rsidRPr="00527004">
        <w:rPr>
          <w:rFonts w:ascii="Calibri" w:hAnsi="Calibri" w:cs="Calibri"/>
          <w:lang w:val="en-US"/>
        </w:rPr>
        <w:t>were included, as defined by the AIBL team</w:t>
      </w:r>
      <w:r>
        <w:rPr>
          <w:rFonts w:ascii="Calibri" w:hAnsi="Calibri" w:cs="Calibri"/>
          <w:lang w:val="en-US"/>
        </w:rPr>
        <w:t xml:space="preserve"> (DX variable)</w:t>
      </w:r>
      <w:r w:rsidRPr="00527004">
        <w:rPr>
          <w:rFonts w:ascii="Calibri" w:hAnsi="Calibri" w:cs="Calibri"/>
          <w:lang w:val="en-US"/>
        </w:rPr>
        <w:t xml:space="preserve">. All participants signed an informed consent </w:t>
      </w:r>
      <w:proofErr w:type="gramStart"/>
      <w:r w:rsidRPr="00527004">
        <w:rPr>
          <w:rFonts w:ascii="Calibri" w:hAnsi="Calibri" w:cs="Calibri"/>
          <w:lang w:val="en-US"/>
        </w:rPr>
        <w:t>form</w:t>
      </w:r>
      <w:proofErr w:type="gramEnd"/>
      <w:r w:rsidRPr="00527004">
        <w:rPr>
          <w:rFonts w:ascii="Calibri" w:hAnsi="Calibri" w:cs="Calibri"/>
          <w:lang w:val="en-US"/>
        </w:rPr>
        <w:t xml:space="preserve"> and the protocol was approved by the institutional human research committees of Austin Health, St Vincent’s Health, Hollywood Private Hospital, and Edith Cowan University (Australia). Data was retrieved in February 2023.</w:t>
      </w:r>
      <w:r w:rsidR="001005B5">
        <w:rPr>
          <w:rFonts w:ascii="Calibri" w:hAnsi="Calibri" w:cs="Calibri"/>
          <w:lang w:val="en-US"/>
        </w:rPr>
        <w:t xml:space="preserve"> </w:t>
      </w:r>
      <w:r w:rsidR="001005B5" w:rsidRPr="00943598">
        <w:rPr>
          <w:rFonts w:ascii="Calibri" w:hAnsi="Calibri" w:cs="Calibri"/>
          <w:lang w:val="en-GB"/>
        </w:rPr>
        <w:t>See </w:t>
      </w:r>
      <w:hyperlink r:id="rId60" w:history="1">
        <w:r w:rsidR="001005B5" w:rsidRPr="00943598">
          <w:rPr>
            <w:rStyle w:val="Hyperkobling"/>
            <w:rFonts w:ascii="Calibri" w:hAnsi="Calibri" w:cs="Calibri"/>
            <w:lang w:val="en-GB"/>
          </w:rPr>
          <w:t>www.aibl.csiro.au</w:t>
        </w:r>
      </w:hyperlink>
      <w:r w:rsidR="001005B5" w:rsidRPr="00943598">
        <w:rPr>
          <w:rFonts w:ascii="Calibri" w:hAnsi="Calibri" w:cs="Calibri"/>
          <w:lang w:val="en-GB"/>
        </w:rPr>
        <w:t> for further details.</w:t>
      </w:r>
    </w:p>
    <w:p w14:paraId="10E1B805" w14:textId="77777777" w:rsidR="00773886" w:rsidRPr="00FE5D0C" w:rsidRDefault="00773886" w:rsidP="00773886">
      <w:pPr>
        <w:spacing w:after="0" w:line="360" w:lineRule="auto"/>
        <w:rPr>
          <w:lang w:val="en-US"/>
        </w:rPr>
      </w:pPr>
      <w:r w:rsidRPr="00FE5D0C">
        <w:rPr>
          <w:u w:val="single"/>
          <w:lang w:val="en-US"/>
        </w:rPr>
        <w:t>BLSA</w:t>
      </w:r>
      <w:r w:rsidRPr="00FE5D0C">
        <w:rPr>
          <w:lang w:val="en-US"/>
        </w:rPr>
        <w:t xml:space="preserve">: </w:t>
      </w:r>
      <w:r w:rsidRPr="00092C26">
        <w:rPr>
          <w:rFonts w:ascii="Calibri" w:hAnsi="Calibri" w:cs="Calibri"/>
          <w:lang w:val="en-US"/>
        </w:rPr>
        <w:t xml:space="preserve">The National Institute on Aging Baltimore Longitudinal Study of Aging (BLSA) is Americas longest-running scientific study of human aging. It began in 1958, and neuroimaging was introduced in 1994. The Open dataset includes defaced brain MRIs conducted 2009–2020 for a subset of the BLSA participants scanned in a single 3.T dataset </w:t>
      </w:r>
      <w:r w:rsidRPr="00092C26">
        <w:rPr>
          <w:rFonts w:ascii="Calibri" w:hAnsi="Calibri" w:cs="Calibri"/>
          <w:lang w:val="en-US"/>
        </w:rPr>
        <w:fldChar w:fldCharType="begin"/>
      </w:r>
      <w:r w:rsidRPr="00092C26">
        <w:rPr>
          <w:rFonts w:ascii="Calibri" w:hAnsi="Calibri" w:cs="Calibri"/>
          <w:lang w:val="en-US"/>
        </w:rPr>
        <w:instrText xml:space="preserve"> ADDIN ZOTERO_ITEM CSL_CITATION {"citationID":"9wYraIba","properties":{"formattedCitation":"(Ferrucci, 2008)","plainCitation":"(Ferrucci, 2008)","noteIndex":0},"citationItems":[{"id":5197,"uris":["http://zotero.org/users/1381693/items/FF3UFFW3"],"itemData":{"id":5197,"type":"article-journal","container-title":"The Journals of Gerontology. Series A, Biological Sciences and Medical Sciences","DOI":"10.1093/gerona/63.12.1416","ISSN":"1079-5006","issue":"12","journalAbbreviation":"J Gerontol A Biol Sci Med Sci","language":"eng","note":"PMID: 19126858\nPMCID: PMC5004590","page":"1416-1419","source":"PubMed","title":"The Baltimore Longitudinal Study of Aging (BLSA): a 50-year-long journey and plans for the future","title-short":"The Baltimore Longitudinal Study of Aging (BLSA)","volume":"63","author":[{"family":"Ferrucci","given":"Luigi"}],"issued":{"date-parts":[["2008",12]]}}}],"schema":"https://github.com/citation-style-language/schema/raw/master/csl-citation.json"} </w:instrText>
      </w:r>
      <w:r w:rsidRPr="00092C26">
        <w:rPr>
          <w:rFonts w:ascii="Calibri" w:hAnsi="Calibri" w:cs="Calibri"/>
          <w:lang w:val="en-US"/>
        </w:rPr>
        <w:fldChar w:fldCharType="separate"/>
      </w:r>
      <w:r w:rsidRPr="00092C26">
        <w:rPr>
          <w:rFonts w:ascii="Calibri" w:hAnsi="Calibri" w:cs="Calibri"/>
          <w:lang w:val="en-US"/>
        </w:rPr>
        <w:t>(Ferrucci, 2008)</w:t>
      </w:r>
      <w:r w:rsidRPr="00092C26">
        <w:rPr>
          <w:rFonts w:ascii="Calibri" w:hAnsi="Calibri" w:cs="Calibri"/>
          <w:lang w:val="en-US"/>
        </w:rPr>
        <w:fldChar w:fldCharType="end"/>
      </w:r>
      <w:r w:rsidRPr="00092C26">
        <w:rPr>
          <w:rFonts w:ascii="Calibri" w:hAnsi="Calibri" w:cs="Calibri"/>
          <w:lang w:val="en-US"/>
        </w:rPr>
        <w:t>. From this</w:t>
      </w:r>
      <w:r>
        <w:rPr>
          <w:rFonts w:ascii="Calibri" w:hAnsi="Calibri" w:cs="Calibri"/>
          <w:lang w:val="en-US"/>
        </w:rPr>
        <w:t xml:space="preserve"> open subsample, all participants cognitively healthy at their first observation were included in the analysis. </w:t>
      </w:r>
      <w:r w:rsidRPr="00D86C28">
        <w:rPr>
          <w:rFonts w:ascii="Calibri" w:hAnsi="Calibri" w:cs="Calibri"/>
          <w:lang w:val="en-US"/>
        </w:rPr>
        <w:t>All participants signed an informed consent form, and the protocol was approved by the</w:t>
      </w:r>
      <w:r>
        <w:rPr>
          <w:rFonts w:ascii="Calibri" w:hAnsi="Calibri" w:cs="Calibri"/>
          <w:lang w:val="en-US"/>
        </w:rPr>
        <w:t xml:space="preserve"> </w:t>
      </w:r>
      <w:r w:rsidRPr="00965065">
        <w:rPr>
          <w:rFonts w:ascii="Calibri" w:hAnsi="Calibri" w:cs="Calibri"/>
          <w:lang w:val="en-US"/>
        </w:rPr>
        <w:t>Internal Review Board of the Intramural Research Program of the National Institutes of Health</w:t>
      </w:r>
      <w:r>
        <w:rPr>
          <w:rFonts w:ascii="Calibri" w:hAnsi="Calibri" w:cs="Calibri"/>
          <w:lang w:val="en-US"/>
        </w:rPr>
        <w:t xml:space="preserve">. </w:t>
      </w:r>
      <w:r w:rsidRPr="00D86C28">
        <w:rPr>
          <w:rFonts w:ascii="Calibri" w:hAnsi="Calibri" w:cs="Calibri"/>
          <w:lang w:val="en-US"/>
        </w:rPr>
        <w:t xml:space="preserve">Data was retrieved in </w:t>
      </w:r>
      <w:r>
        <w:rPr>
          <w:rFonts w:ascii="Calibri" w:hAnsi="Calibri" w:cs="Calibri"/>
          <w:lang w:val="en-US"/>
        </w:rPr>
        <w:t xml:space="preserve">August </w:t>
      </w:r>
      <w:r w:rsidRPr="00D86C28">
        <w:rPr>
          <w:rFonts w:ascii="Calibri" w:hAnsi="Calibri" w:cs="Calibri"/>
          <w:lang w:val="en-US"/>
        </w:rPr>
        <w:t>202</w:t>
      </w:r>
      <w:r>
        <w:rPr>
          <w:rFonts w:ascii="Calibri" w:hAnsi="Calibri" w:cs="Calibri"/>
          <w:lang w:val="en-US"/>
        </w:rPr>
        <w:t>5</w:t>
      </w:r>
      <w:r w:rsidRPr="00D86C28">
        <w:rPr>
          <w:rFonts w:ascii="Calibri" w:hAnsi="Calibri" w:cs="Calibri"/>
          <w:lang w:val="en-US"/>
        </w:rPr>
        <w:t>.</w:t>
      </w:r>
    </w:p>
    <w:p w14:paraId="3E5D4CCB" w14:textId="77777777" w:rsidR="00773886" w:rsidRDefault="00773886" w:rsidP="00773886">
      <w:pPr>
        <w:spacing w:after="0" w:line="360" w:lineRule="auto"/>
        <w:rPr>
          <w:rFonts w:ascii="Calibri" w:hAnsi="Calibri" w:cs="Calibri"/>
          <w:lang w:val="en-US"/>
        </w:rPr>
      </w:pPr>
      <w:r w:rsidRPr="00FE5D0C">
        <w:rPr>
          <w:u w:val="single"/>
          <w:lang w:val="en-US"/>
        </w:rPr>
        <w:t>Mayo</w:t>
      </w:r>
      <w:r w:rsidRPr="00FE5D0C">
        <w:rPr>
          <w:lang w:val="en-US"/>
        </w:rPr>
        <w:t xml:space="preserve">: </w:t>
      </w:r>
      <w:r w:rsidRPr="00EA73CF">
        <w:rPr>
          <w:rFonts w:ascii="Calibri" w:hAnsi="Calibri" w:cs="Calibri"/>
          <w:lang w:val="en-US"/>
        </w:rPr>
        <w:t>The Mayo Clinic and Olmsted Medical Center Study</w:t>
      </w:r>
      <w:r w:rsidRPr="009E2888">
        <w:rPr>
          <w:rFonts w:ascii="Calibri" w:hAnsi="Calibri" w:cs="Calibri"/>
          <w:lang w:val="en-US"/>
        </w:rPr>
        <w:t xml:space="preserve"> (MCSA)</w:t>
      </w:r>
      <w:r w:rsidRPr="00EA73CF">
        <w:rPr>
          <w:rFonts w:ascii="Calibri" w:hAnsi="Calibri" w:cs="Calibri"/>
          <w:lang w:val="en-US"/>
        </w:rPr>
        <w:t xml:space="preserve"> is a longitudinal, population-based study of residents of Olmsted County,</w:t>
      </w:r>
      <w:r w:rsidRPr="009E2888">
        <w:rPr>
          <w:rFonts w:ascii="Calibri" w:hAnsi="Calibri" w:cs="Calibri"/>
          <w:lang w:val="en-US"/>
        </w:rPr>
        <w:t xml:space="preserve"> </w:t>
      </w:r>
      <w:r w:rsidRPr="00EA73CF">
        <w:rPr>
          <w:rFonts w:ascii="Calibri" w:hAnsi="Calibri" w:cs="Calibri"/>
          <w:lang w:val="en-US"/>
        </w:rPr>
        <w:t>Minnesota. The long-term goals of the Mayo Clinic Study of Aging are to develop tools to predict and</w:t>
      </w:r>
      <w:r w:rsidRPr="006731C6">
        <w:rPr>
          <w:rFonts w:ascii="Calibri" w:hAnsi="Calibri" w:cs="Calibri"/>
          <w:lang w:val="en-US"/>
        </w:rPr>
        <w:t xml:space="preserve"> </w:t>
      </w:r>
      <w:r w:rsidRPr="00EA73CF">
        <w:rPr>
          <w:rFonts w:ascii="Calibri" w:hAnsi="Calibri" w:cs="Calibri"/>
          <w:lang w:val="en-US"/>
        </w:rPr>
        <w:t>prevent cognitive decline and dementia, develop risk-prediction models for cognitive impairment, and</w:t>
      </w:r>
      <w:r w:rsidRPr="006731C6">
        <w:rPr>
          <w:rFonts w:ascii="Calibri" w:hAnsi="Calibri" w:cs="Calibri"/>
          <w:lang w:val="en-US"/>
        </w:rPr>
        <w:t xml:space="preserve"> </w:t>
      </w:r>
      <w:r w:rsidRPr="00EA73CF">
        <w:rPr>
          <w:rFonts w:ascii="Calibri" w:hAnsi="Calibri" w:cs="Calibri"/>
          <w:lang w:val="en-US"/>
        </w:rPr>
        <w:t xml:space="preserve">conduct aging-related research to promote successful aging. </w:t>
      </w:r>
      <w:r w:rsidRPr="006731C6">
        <w:rPr>
          <w:rFonts w:ascii="Calibri" w:hAnsi="Calibri" w:cs="Calibri"/>
          <w:lang w:val="en-US"/>
        </w:rPr>
        <w:t xml:space="preserve">MCSA </w:t>
      </w:r>
      <w:r w:rsidRPr="00EA73CF">
        <w:rPr>
          <w:rFonts w:ascii="Calibri" w:hAnsi="Calibri" w:cs="Calibri"/>
          <w:lang w:val="en-US"/>
        </w:rPr>
        <w:t>uses comprehensive medical record linkage to follow residents longitudinally. The study provides detailed clinical, cognitive, and demographic data and has been widely used to examine aging processes, cognitive decline, and neurological disease within a well-defined community cohort.</w:t>
      </w:r>
      <w:r w:rsidRPr="006731C6">
        <w:rPr>
          <w:rFonts w:ascii="Calibri" w:hAnsi="Calibri" w:cs="Calibri"/>
          <w:lang w:val="en-US"/>
        </w:rPr>
        <w:t xml:space="preserve"> </w:t>
      </w:r>
      <w:proofErr w:type="spellStart"/>
      <w:r w:rsidRPr="00EA73CF">
        <w:rPr>
          <w:rFonts w:ascii="Calibri" w:hAnsi="Calibri" w:cs="Calibri"/>
        </w:rPr>
        <w:t>We</w:t>
      </w:r>
      <w:proofErr w:type="spellEnd"/>
      <w:r w:rsidRPr="00EA73CF">
        <w:rPr>
          <w:rFonts w:ascii="Calibri" w:hAnsi="Calibri" w:cs="Calibri"/>
        </w:rPr>
        <w:t xml:space="preserve"> use</w:t>
      </w:r>
      <w:r>
        <w:rPr>
          <w:rFonts w:ascii="Calibri" w:hAnsi="Calibri" w:cs="Calibri"/>
        </w:rPr>
        <w:t>d</w:t>
      </w:r>
      <w:r w:rsidRPr="00EA73CF">
        <w:rPr>
          <w:rFonts w:ascii="Calibri" w:hAnsi="Calibri" w:cs="Calibri"/>
        </w:rPr>
        <w:t xml:space="preserve"> an </w:t>
      </w:r>
      <w:proofErr w:type="spellStart"/>
      <w:r>
        <w:rPr>
          <w:rFonts w:ascii="Calibri" w:hAnsi="Calibri" w:cs="Calibri"/>
        </w:rPr>
        <w:t>openly</w:t>
      </w:r>
      <w:proofErr w:type="spellEnd"/>
      <w:r>
        <w:rPr>
          <w:rFonts w:ascii="Calibri" w:hAnsi="Calibri" w:cs="Calibri"/>
        </w:rPr>
        <w:t xml:space="preserve"> </w:t>
      </w:r>
      <w:proofErr w:type="spellStart"/>
      <w:r>
        <w:rPr>
          <w:rFonts w:ascii="Calibri" w:hAnsi="Calibri" w:cs="Calibri"/>
        </w:rPr>
        <w:t>released</w:t>
      </w:r>
      <w:proofErr w:type="spellEnd"/>
      <w:r>
        <w:rPr>
          <w:rFonts w:ascii="Calibri" w:hAnsi="Calibri" w:cs="Calibri"/>
        </w:rPr>
        <w:t xml:space="preserve"> </w:t>
      </w:r>
      <w:proofErr w:type="spellStart"/>
      <w:r w:rsidRPr="00EA73CF">
        <w:rPr>
          <w:rFonts w:ascii="Calibri" w:hAnsi="Calibri" w:cs="Calibri"/>
        </w:rPr>
        <w:t>subset</w:t>
      </w:r>
      <w:proofErr w:type="spellEnd"/>
      <w:r w:rsidRPr="00EA73CF">
        <w:rPr>
          <w:rFonts w:ascii="Calibri" w:hAnsi="Calibri" w:cs="Calibri"/>
        </w:rPr>
        <w:t xml:space="preserve"> </w:t>
      </w:r>
      <w:r>
        <w:rPr>
          <w:rFonts w:ascii="Calibri" w:hAnsi="Calibri" w:cs="Calibri"/>
          <w:lang w:val="en-US"/>
        </w:rPr>
        <w:fldChar w:fldCharType="begin"/>
      </w:r>
      <w:r>
        <w:rPr>
          <w:rFonts w:ascii="Calibri" w:hAnsi="Calibri" w:cs="Calibri"/>
          <w:lang w:val="en-US"/>
        </w:rPr>
        <w:instrText xml:space="preserve"> ADDIN ZOTERO_ITEM CSL_CITATION {"citationID":"fxqXN0PM","properties":{"formattedCitation":"(Schwarz et al., 2025)","plainCitation":"(Schwarz et al., 2025)","noteIndex":0},"citationItems":[{"id":5208,"uris":["http://zotero.org/users/1381693/items/FIYZV3IL"],"itemData":{"id":5208,"type":"article-journal","abstract":"Background\nThe Mayo Clinic Study of Aging (MCSA) is a longitudinal, population‐based study of residents of Olmsted County, Minnesota, USA. MCSA is releasing de‐identified clinical and imaging data on GAAIN.org to benefit the research community.\n\nMethod\nWe included longitudinal clinical data from all participants of the Mayo Clinic Study of Aging 30‐90 years of age (average 70.0y) through the first 15 years of the study. Clinical data includes age, sex, self‐reported race/ethnicity, APoE4 allele status, cognitive impairment status (normal, MCI, dementia, or other), height, weight, blood pressure, multi‐domain neuropsychological scores, neuroimaging summary measurements, medications, cardiovascular risk factors, social activity, sleep, mood/anxiety, functional measures, and more. For our initial release of imaging data, we selected the first imaging timepoint acquired on 3T GE MRI scanners and amyloid (PiB) PET during the same visit, from all available imaging participants 50‐90 years of age (average 70.7y). Currently, we included 3D T1‐weighted (MPRAGE) MRI (1x1x1.2mm3), T2‐weighted FLAIR MRI (0.85x0.85x3.6mm3), diffusion MRI (2.7mm resolution with 41 directions at b=1000 and 5 b=0), and numeric cortical global SUVR and Centiloid values from PiB PET scans at 40‐60 minutes post‐injection. All images are released in DICOM format and thoroughly de‐identified using CTP while ensuring preservation of necessary fields for analyses. T1‐weighted and T2‐FLAIR MRI were also de‐faced (identifiable face imagery was removed and replaced with an average) using mri_reface version 0.3.3 to further protect participants’ privacy, and all de‐faced images were visually inspected by a trained data scientist for quality assurance.\n\nResult\nThe first phase of our public data release includes clinical data from 5925 unique participants from the Mayo Clinic Study of Aging (MCSA), each ranging from 1‐12 visits at roughly 15‐month intervals, and three MRI sequences (T1‐w, T2‐w‐FLAIR, and diffusion) from 1802 unique participants. Demographic summaries are given in Table 1.\n\nConclusion\nThis large, richly characterized, de‐identified clinical and imaging dataset is available to the research community at https://www.gaaindata.org/partner/MCSA, and it is suitable for a wide range of research uses. Additional data will be released over time, including de‐faced amyloid PET images.","container-title":"Alzheimer's &amp; Dementia","DOI":"10.1002/alz.093966","ISSN":"1552-5260","issue":"Suppl 9","journalAbbreviation":"Alzheimers Dement","note":"PMID: null\nPMCID: PMC11713832","page":"e093966","source":"PubMed Central","title":"A Large Public Release of Clinical and Imaging Data from the Mayo Clinic Study of Aging","volume":"20","author":[{"family":"Schwarz","given":"Christopher G."},{"family":"Kremers","given":"Walter K."},{"family":"Prakaashana","given":"Carl M."},{"family":"Przybelski","given":"Scott A."},{"family":"Christenson","given":"Luke R."},{"family":"Wiliams","given":"Josie M."},{"family":"Gunter","given":"Jeffrey L."},{"family":"Senjem","given":"Matthew L."},{"family":"Arani","given":"Arvin"},{"family":"Reid","given":"Robert I."},{"family":"Machulda","given":"Mary M."},{"family":"Fields","given":"Julie A."},{"family":"Lowe","given":"Val J."},{"family":"Kantarci","given":"Kejal"},{"family":"Graff‐Radford","given":"Jonathan"},{"family":"Vemuri","given":"Prashanthi"},{"family":"Petersen","given":"Ronald C."},{"family":"Knopman","given":"David S."},{"family":"Jack","given":"Clifford R."}],"issued":{"date-parts":[["2025",1,9]]}}}],"schema":"https://github.com/citation-style-language/schema/raw/master/csl-citation.json"} </w:instrText>
      </w:r>
      <w:r>
        <w:rPr>
          <w:rFonts w:ascii="Calibri" w:hAnsi="Calibri" w:cs="Calibri"/>
          <w:lang w:val="en-US"/>
        </w:rPr>
        <w:fldChar w:fldCharType="separate"/>
      </w:r>
      <w:r w:rsidRPr="00A611C3">
        <w:rPr>
          <w:rFonts w:ascii="Calibri" w:hAnsi="Calibri" w:cs="Calibri"/>
          <w:lang w:val="en-US"/>
        </w:rPr>
        <w:t>(Schwarz et al., 2025)</w:t>
      </w:r>
      <w:r>
        <w:rPr>
          <w:rFonts w:ascii="Calibri" w:hAnsi="Calibri" w:cs="Calibri"/>
          <w:lang w:val="en-US"/>
        </w:rPr>
        <w:fldChar w:fldCharType="end"/>
      </w:r>
      <w:r w:rsidRPr="006731C6">
        <w:rPr>
          <w:rFonts w:ascii="Calibri" w:hAnsi="Calibri" w:cs="Calibri"/>
          <w:lang w:val="en-US"/>
        </w:rPr>
        <w:t xml:space="preserve">. See recruitment details in </w:t>
      </w:r>
      <w:r>
        <w:rPr>
          <w:rFonts w:ascii="Calibri" w:hAnsi="Calibri" w:cs="Calibri"/>
        </w:rPr>
        <w:fldChar w:fldCharType="begin"/>
      </w:r>
      <w:r w:rsidRPr="006731C6">
        <w:rPr>
          <w:rFonts w:ascii="Calibri" w:hAnsi="Calibri" w:cs="Calibri"/>
          <w:lang w:val="en-US"/>
        </w:rPr>
        <w:instrText xml:space="preserve"> ADDIN ZOTERO_ITEM CSL_CITATION {"citationID":"Y8EXlRA5","properties":{"formattedCitation":"(Roberts et al., 2008)","plainCitation":"(Roberts et al., 2008)","noteIndex":0},"citationItems":[{"id":5192,"uris":["http://zotero.org/users/1381693/items/W95YVH8G"],"itemData":{"id":5192,"type":"article-journal","abstract":"Background\nThe objective of this study was to establish a prospective population-based cohort to investigate the prevalence, incidence and risk factors for mild cognitive impairment (MCI) and dementia.\n\nMethods\nThe Olmsted County, Minn., population, aged 70–89 years on October 1, 2004, was enumerated using the Rochester Epidemiology Project. Eligible subjects were randomly selected and invited to participate. Participants underwent a comprehensive in-person evaluation including the Clinical Dementia Rating Scale, a neurological evaluation and neuropsychological testing. A consensus diagnosis of normal cognition, MCI or dementia was made by a panel using previously published criteria. A subsample of subjects was studied via telephone interview.\n\nResults\nFour hundred and two subjects with dementia were identified from a detailed review of their medical records but were not contacted. At baseline, we successfully evaluated 703 women aged 70–79 years, 769 women aged 80–89 years, 730 men aged 70–79 years and 517 men aged 80–89 years (total n = 2,719). Among the participants, 2,050 subjects were evaluated in person and 669 via telephone.\n\nConclusions\nStrengths of the study are that the subjects were randomly selected from a defined population, the majority of the subjects were examined in person, and MCI was defined using published criteria. Here, we report the design and sampling, participation, baseline measures and sample characteristics.","container-title":"Neuroepidemiology","DOI":"10.1159/000115751","ISSN":"0251-5350","issue":"1","journalAbbreviation":"Neuroepidemiology","note":"PMID: 18259084\nPMCID: PMC2821441","page":"58-69","source":"PubMed Central","title":"The Mayo Clinic Study of Aging: Design and Sampling, Participation, Baseline Measures and Sample Characteristics","title-short":"The Mayo Clinic Study of Aging","volume":"30","author":[{"family":"Roberts","given":"Rosebud O."},{"family":"Geda","given":"Yonas E."},{"family":"Knopman","given":"David S."},{"family":"Cha","given":"Ruth H."},{"family":"Pankratz","given":"V. Shane"},{"family":"Boeve","given":"Bradley F."},{"family":"Ivnik","given":"Robert J."},{"family":"Tangalos","given":"Eric G."},{"family":"Petersen","given":"Ronald C."},{"family":"Rocca","given":"Walter A."}],"issued":{"date-parts":[["2008",3]]}}}],"schema":"https://github.com/citation-style-language/schema/raw/master/csl-citation.json"} </w:instrText>
      </w:r>
      <w:r>
        <w:rPr>
          <w:rFonts w:ascii="Calibri" w:hAnsi="Calibri" w:cs="Calibri"/>
        </w:rPr>
        <w:fldChar w:fldCharType="separate"/>
      </w:r>
      <w:r w:rsidRPr="006731C6">
        <w:rPr>
          <w:rFonts w:ascii="Calibri" w:hAnsi="Calibri" w:cs="Calibri"/>
          <w:lang w:val="en-US"/>
        </w:rPr>
        <w:t>(Roberts et al., 2008)</w:t>
      </w:r>
      <w:r>
        <w:rPr>
          <w:rFonts w:ascii="Calibri" w:hAnsi="Calibri" w:cs="Calibri"/>
        </w:rPr>
        <w:fldChar w:fldCharType="end"/>
      </w:r>
      <w:r w:rsidRPr="006731C6">
        <w:rPr>
          <w:rFonts w:ascii="Calibri" w:hAnsi="Calibri" w:cs="Calibri"/>
          <w:lang w:val="en-US"/>
        </w:rPr>
        <w:t xml:space="preserve"> which included a </w:t>
      </w:r>
      <w:r w:rsidRPr="009E2888">
        <w:rPr>
          <w:rFonts w:ascii="Calibri" w:hAnsi="Calibri" w:cs="Calibri"/>
          <w:lang w:val="en-US"/>
        </w:rPr>
        <w:t>stratified random selection of subjects from the sampling frame, a letter of invitation followed by a recruitment telephone call, and finally an in-person evaluation or a telephone assessment.</w:t>
      </w:r>
      <w:r w:rsidRPr="006731C6">
        <w:rPr>
          <w:rFonts w:ascii="Calibri" w:hAnsi="Calibri" w:cs="Calibri"/>
          <w:lang w:val="en-US"/>
        </w:rPr>
        <w:t xml:space="preserve"> </w:t>
      </w:r>
      <w:r>
        <w:rPr>
          <w:rFonts w:ascii="Calibri" w:hAnsi="Calibri" w:cs="Calibri"/>
          <w:lang w:val="en-US"/>
        </w:rPr>
        <w:t xml:space="preserve">For the present study only participants age &gt; 50 and cognitively healthy at baseline were selected. </w:t>
      </w:r>
      <w:r w:rsidRPr="00EA73CF">
        <w:rPr>
          <w:rFonts w:ascii="Calibri" w:hAnsi="Calibri" w:cs="Calibri"/>
          <w:lang w:val="en-US"/>
        </w:rPr>
        <w:t xml:space="preserve">The project was approved by the institutional review boards of the Mayo Clinic and Olmsted Medical Center. All persons examined as part of the study </w:t>
      </w:r>
      <w:r w:rsidRPr="00EA73CF">
        <w:rPr>
          <w:rFonts w:ascii="Calibri" w:hAnsi="Calibri" w:cs="Calibri"/>
          <w:lang w:val="en-US"/>
        </w:rPr>
        <w:lastRenderedPageBreak/>
        <w:t>were informed of the scope of the project and signed an informed consent form including a Health Insurance Portability and Accountability Act (HIPAA) authorization.</w:t>
      </w:r>
      <w:r w:rsidRPr="006731C6">
        <w:rPr>
          <w:rFonts w:ascii="Calibri" w:hAnsi="Calibri" w:cs="Calibri"/>
          <w:lang w:val="en-US"/>
        </w:rPr>
        <w:t xml:space="preserve"> The data was retrieved in June 2025. </w:t>
      </w:r>
    </w:p>
    <w:p w14:paraId="1C57CB55" w14:textId="77777777" w:rsidR="00773886" w:rsidRPr="00FE5D0C" w:rsidRDefault="00773886" w:rsidP="00773886">
      <w:pPr>
        <w:spacing w:after="0" w:line="360" w:lineRule="auto"/>
        <w:rPr>
          <w:b/>
          <w:bCs/>
          <w:lang w:val="en-US"/>
        </w:rPr>
      </w:pPr>
      <w:r w:rsidRPr="00FE5D0C">
        <w:rPr>
          <w:u w:val="single"/>
          <w:lang w:val="en-US"/>
        </w:rPr>
        <w:t>WRAP</w:t>
      </w:r>
      <w:r w:rsidRPr="00FE5D0C">
        <w:rPr>
          <w:lang w:val="en-US"/>
        </w:rPr>
        <w:t xml:space="preserve">: </w:t>
      </w:r>
      <w:r w:rsidRPr="00A34827">
        <w:rPr>
          <w:rFonts w:ascii="Calibri" w:hAnsi="Calibri" w:cs="Calibri"/>
          <w:color w:val="1F1F1F"/>
          <w:lang w:val="en-US"/>
        </w:rPr>
        <w:t xml:space="preserve">The Wisconsin Registry for Alzheimer’s Prevention (WRAP) is a longitudinal cohort study enriched for Alzheimer’s disease risk, combining detailed cognitive assessments with multimodal neuroimaging. The study follows initially late–middle-aged adults to characterize early brain changes associated with Alzheimer’s disease risk, progression, and preclinical pathology. See </w:t>
      </w:r>
      <w:r>
        <w:rPr>
          <w:rFonts w:ascii="Calibri" w:hAnsi="Calibri" w:cs="Calibri"/>
          <w:color w:val="1F1F1F"/>
        </w:rPr>
        <w:fldChar w:fldCharType="begin"/>
      </w:r>
      <w:r w:rsidRPr="00A34827">
        <w:rPr>
          <w:rFonts w:ascii="Calibri" w:hAnsi="Calibri" w:cs="Calibri"/>
          <w:color w:val="1F1F1F"/>
          <w:lang w:val="en-US"/>
        </w:rPr>
        <w:instrText xml:space="preserve"> ADDIN ZOTERO_ITEM CSL_CITATION {"citationID":"g7uAWre3","properties":{"formattedCitation":"(Sager et al., 2005)","plainCitation":"(Sager et al., 2005)","noteIndex":0},"citationItems":[{"id":5195,"uris":["http://zotero.org/users/1381693/items/Q7E6CD33"],"itemData":{"id":5195,"type":"article-journal","abstract":"Adult children of persons with Alzheimer’s disease are at increased risk of developing Alzheimer’s disease because of hereditary, environmental, and health risk factors shared with affected parents. The Wisconsin Registry for Alzheimer’s Prevention (WRAP) has completed baseline assessments on 452 middle-aged persons (mean = 53 years) who have at least 1 parent with AD. Forty-five percent had 1 or more apolipoprotein (APOE) </w:instrText>
      </w:r>
      <w:r>
        <w:rPr>
          <w:rFonts w:ascii="Calibri" w:hAnsi="Calibri" w:cs="Calibri"/>
          <w:color w:val="1F1F1F"/>
        </w:rPr>
        <w:instrText>ε</w:instrText>
      </w:r>
      <w:r w:rsidRPr="00A34827">
        <w:rPr>
          <w:rFonts w:ascii="Calibri" w:hAnsi="Calibri" w:cs="Calibri"/>
          <w:color w:val="1F1F1F"/>
          <w:lang w:val="en-US"/>
        </w:rPr>
        <w:instrText xml:space="preserve">4 alleles. There were few significant differences between </w:instrText>
      </w:r>
      <w:r>
        <w:rPr>
          <w:rFonts w:ascii="Calibri" w:hAnsi="Calibri" w:cs="Calibri"/>
          <w:color w:val="1F1F1F"/>
        </w:rPr>
        <w:instrText>ε</w:instrText>
      </w:r>
      <w:r w:rsidRPr="00A34827">
        <w:rPr>
          <w:rFonts w:ascii="Calibri" w:hAnsi="Calibri" w:cs="Calibri"/>
          <w:color w:val="1F1F1F"/>
          <w:lang w:val="en-US"/>
        </w:rPr>
        <w:instrText xml:space="preserve">4 carriers and noncarriers in demographics, health, and lifestyle measures or in neuropsychological performance. The high percentage of WRAP participants who are carriers of APOE </w:instrText>
      </w:r>
      <w:r>
        <w:rPr>
          <w:rFonts w:ascii="Calibri" w:hAnsi="Calibri" w:cs="Calibri"/>
          <w:color w:val="1F1F1F"/>
        </w:rPr>
        <w:instrText>ε</w:instrText>
      </w:r>
      <w:r w:rsidRPr="00A34827">
        <w:rPr>
          <w:rFonts w:ascii="Calibri" w:hAnsi="Calibri" w:cs="Calibri"/>
          <w:color w:val="1F1F1F"/>
          <w:lang w:val="en-US"/>
        </w:rPr>
        <w:instrText xml:space="preserve">4 underscores their increased risk for developing Alzheimer’s disease, but the absence of differences related to APOE status and high mean scores on cognitive tests suggests that the APOE </w:instrText>
      </w:r>
      <w:r>
        <w:rPr>
          <w:rFonts w:ascii="Calibri" w:hAnsi="Calibri" w:cs="Calibri"/>
          <w:color w:val="1F1F1F"/>
        </w:rPr>
        <w:instrText>ε</w:instrText>
      </w:r>
      <w:r w:rsidRPr="00A34827">
        <w:rPr>
          <w:rFonts w:ascii="Calibri" w:hAnsi="Calibri" w:cs="Calibri"/>
          <w:color w:val="1F1F1F"/>
          <w:lang w:val="en-US"/>
        </w:rPr>
        <w:instrText xml:space="preserve">4 gene has yet to have a clinical impact on cognitive functioning. The WRAP cohort may be a valuable group to follow prospectively to characterize the nature of cognitive change in relation to risk factors and to identify underlying preclinical neurobiological changes.","container-title":"Journal of Geriatric Psychiatry and Neurology","DOI":"10.1177/0891988705281882","ISSN":"0891-9887","issue":"4","journalAbbreviation":"J Geriatr Psychiatry Neurol","language":"EN","note":"publisher: SAGE Publications Inc STM","page":"245-249","source":"SAGE Journals","title":"Middle-Aged Children of Persons With Alzheimer’s Disease: APOE Genotypes and Cognitive Function in the Wisconsin Registry for Alzheimer’s Prevention","title-short":"Middle-Aged Children of Persons With Alzheimer’s Disease","volume":"18","author":[{"family":"Sager","given":"Mark A."},{"family":"Hermann","given":"Bruce"},{"family":"La Rue","given":"Asenath"}],"issued":{"date-parts":[["2005",12,1]]}}}],"schema":"https://github.com/citation-style-language/schema/raw/master/csl-citation.json"} </w:instrText>
      </w:r>
      <w:r>
        <w:rPr>
          <w:rFonts w:ascii="Calibri" w:hAnsi="Calibri" w:cs="Calibri"/>
          <w:color w:val="1F1F1F"/>
        </w:rPr>
        <w:fldChar w:fldCharType="separate"/>
      </w:r>
      <w:r w:rsidRPr="00A34827">
        <w:rPr>
          <w:rFonts w:ascii="Calibri" w:hAnsi="Calibri" w:cs="Calibri"/>
          <w:lang w:val="en-US"/>
        </w:rPr>
        <w:t>(Sager et al., 2005)</w:t>
      </w:r>
      <w:r>
        <w:rPr>
          <w:rFonts w:ascii="Calibri" w:hAnsi="Calibri" w:cs="Calibri"/>
          <w:color w:val="1F1F1F"/>
        </w:rPr>
        <w:fldChar w:fldCharType="end"/>
      </w:r>
      <w:r w:rsidRPr="00A34827">
        <w:rPr>
          <w:rFonts w:ascii="Calibri" w:hAnsi="Calibri" w:cs="Calibri"/>
          <w:color w:val="1F1F1F"/>
          <w:lang w:val="en-US"/>
        </w:rPr>
        <w:t xml:space="preserve"> for detailed enrollment criteria. Briefly, individuals required to be between 40 and 65 years, speak English, and have a parent with either autopsy-confirmed or probable AD as defined by NINCDS-ADRDA research criteria. That is, WRAP volunteers were recruited from adult children of persons with AD evaluated in the Memory Assessment Clinic at the University of Wisconsin–Madison or an affiliated memory clinic. Enrollment into WRAP began in November 2001 and is</w:t>
      </w:r>
      <w:r>
        <w:rPr>
          <w:rFonts w:ascii="Calibri" w:hAnsi="Calibri" w:cs="Calibri"/>
          <w:color w:val="1F1F1F"/>
          <w:lang w:val="en-US"/>
        </w:rPr>
        <w:t xml:space="preserve"> currently</w:t>
      </w:r>
      <w:r w:rsidRPr="00A34827">
        <w:rPr>
          <w:rFonts w:ascii="Calibri" w:hAnsi="Calibri" w:cs="Calibri"/>
          <w:color w:val="1F1F1F"/>
          <w:lang w:val="en-US"/>
        </w:rPr>
        <w:t xml:space="preserve"> ongoing. The assessments include information on cognition, questionnaires, lab tests, genotyping</w:t>
      </w:r>
      <w:r>
        <w:rPr>
          <w:rFonts w:ascii="Calibri" w:hAnsi="Calibri" w:cs="Calibri"/>
          <w:color w:val="1F1F1F"/>
          <w:lang w:val="en-US"/>
        </w:rPr>
        <w:t>,</w:t>
      </w:r>
      <w:r w:rsidRPr="00A34827">
        <w:rPr>
          <w:rFonts w:ascii="Calibri" w:hAnsi="Calibri" w:cs="Calibri"/>
          <w:color w:val="1F1F1F"/>
          <w:lang w:val="en-US"/>
        </w:rPr>
        <w:t xml:space="preserve"> and MRI and PET imaging. For this study, we </w:t>
      </w:r>
      <w:r>
        <w:rPr>
          <w:rFonts w:ascii="Calibri" w:hAnsi="Calibri" w:cs="Calibri"/>
          <w:color w:val="1F1F1F"/>
          <w:lang w:val="en-US"/>
        </w:rPr>
        <w:t>used</w:t>
      </w:r>
      <w:r w:rsidRPr="00A34827">
        <w:rPr>
          <w:rFonts w:ascii="Calibri" w:hAnsi="Calibri" w:cs="Calibri"/>
          <w:color w:val="1F1F1F"/>
          <w:lang w:val="en-US"/>
        </w:rPr>
        <w:t xml:space="preserve"> cognitively healthy individuals aged 50 or more at baseline. </w:t>
      </w:r>
      <w:r w:rsidRPr="00A34827">
        <w:rPr>
          <w:rFonts w:ascii="Calibri" w:hAnsi="Calibri" w:cs="Calibri"/>
          <w:lang w:val="en-US"/>
        </w:rPr>
        <w:t xml:space="preserve">All study procedures have been approved by the Health Sciences IRB of the University of Wisconsin-Madison and the participants gave informed consent. </w:t>
      </w:r>
      <w:r w:rsidRPr="007B599E">
        <w:rPr>
          <w:rFonts w:ascii="Calibri" w:hAnsi="Calibri" w:cs="Calibri"/>
          <w:lang w:val="en-US"/>
        </w:rPr>
        <w:t>Data was retrieved in July 2025.</w:t>
      </w:r>
    </w:p>
    <w:p w14:paraId="7EBF80DD" w14:textId="0FB255AA" w:rsidR="00FE5D0C" w:rsidRDefault="00FE5D0C" w:rsidP="00773886">
      <w:pPr>
        <w:rPr>
          <w:b/>
          <w:bCs/>
          <w:lang w:val="en-US"/>
        </w:rPr>
      </w:pPr>
    </w:p>
    <w:p w14:paraId="57A5DCF8" w14:textId="64D6A4BB" w:rsidR="003F513B" w:rsidRPr="00FE5D0C" w:rsidRDefault="00B16251" w:rsidP="00FE5D0C">
      <w:pPr>
        <w:spacing w:after="0" w:line="360" w:lineRule="auto"/>
        <w:rPr>
          <w:lang w:val="en-US"/>
        </w:rPr>
      </w:pPr>
      <w:r>
        <w:rPr>
          <w:b/>
          <w:bCs/>
          <w:lang w:val="en-US"/>
        </w:rPr>
        <w:t xml:space="preserve">Section 13: </w:t>
      </w:r>
      <w:r w:rsidR="003F513B" w:rsidRPr="00FE5D0C">
        <w:rPr>
          <w:b/>
          <w:bCs/>
          <w:lang w:val="en-US"/>
        </w:rPr>
        <w:t>Funding</w:t>
      </w:r>
    </w:p>
    <w:p w14:paraId="1644CDDB" w14:textId="3957752D" w:rsidR="00773886" w:rsidRDefault="00773886" w:rsidP="00FE5D0C">
      <w:pPr>
        <w:spacing w:after="0" w:line="360" w:lineRule="auto"/>
        <w:rPr>
          <w:lang w:val="en-US"/>
        </w:rPr>
      </w:pPr>
      <w:r w:rsidRPr="002075CF">
        <w:rPr>
          <w:lang w:val="en-US"/>
        </w:rPr>
        <w:t xml:space="preserve">LCBC is supported by the European Research Council under grant agreements no. 283634 and no. 725025 (to A.M.F.) and no. 313440 (to K.B.W.), as well as the Norwegian Research Council (325878, 262453 to A.M.F.; 325001, 301395, 239889 to K.B.W.; 249931 to A.M.F &amp; K.B.W.; 324882 to DVP; 325415 to HG), the National Association for Public Health’s dementia research program, Norway (to A.M.F.), and the University of Oslo through the </w:t>
      </w:r>
      <w:proofErr w:type="spellStart"/>
      <w:r w:rsidRPr="002075CF">
        <w:rPr>
          <w:lang w:val="en-US"/>
        </w:rPr>
        <w:t>UiO:Life</w:t>
      </w:r>
      <w:proofErr w:type="spellEnd"/>
      <w:r w:rsidRPr="002075CF">
        <w:rPr>
          <w:lang w:val="en-US"/>
        </w:rPr>
        <w:t xml:space="preserve"> Science convergence environment (to A.M.F). Betula is supported by a scholar grant from the Knut and Alice Wallenberg foundation to L.N.</w:t>
      </w:r>
      <w:r>
        <w:rPr>
          <w:lang w:val="en-US"/>
        </w:rPr>
        <w:t xml:space="preserve"> Additional funding include:</w:t>
      </w:r>
    </w:p>
    <w:p w14:paraId="5A88B85B" w14:textId="226BA279" w:rsidR="003F513B" w:rsidRDefault="003F513B" w:rsidP="00FE5D0C">
      <w:pPr>
        <w:spacing w:after="0" w:line="360" w:lineRule="auto"/>
        <w:rPr>
          <w:lang w:val="en-US"/>
        </w:rPr>
      </w:pPr>
      <w:r w:rsidRPr="00FE5D0C">
        <w:rPr>
          <w:lang w:val="en-US"/>
        </w:rPr>
        <w:t xml:space="preserve">The SHARE data collection has been funded by the European Commission, DG RTD through FP5 (QLK6-CT-2001-00360), FP6 (SHARE-I3: RII-CT-2006-062193, COMPARE: CIT5-CT-2005-028857, SHARELIFE: CIT4-CT-2006-028812), FP7 (SHARE-PREP: GA N°211909, SHARE-LEAP: GA N°227822, SHARE M4: GA N°261982, DASISH: GA N°283646) and Horizon 2020 (SHARE-DEV3: GA N°676536, SHARE-COHESION: GA N°870628, SERISS: GA N°654221, SSHOC: GA N°823782, SHARE-COVID19: GA N°101015924) and by DG Employment, Social Affairs &amp; Inclusion through VS 2015/0195, VS 2016/0135, VS 2018/0285, VS 2019/0332, VS 2020/0313, SHARE-EUCOV: GA N°101052589 and EUCOVII: GA N°101102412. Additional funding from the German Federal Ministry of Education and Research (01UW1301, 01UW1801, 01UW2202), the Max Planck </w:t>
      </w:r>
      <w:r w:rsidRPr="00FE5D0C">
        <w:rPr>
          <w:lang w:val="en-US"/>
        </w:rPr>
        <w:lastRenderedPageBreak/>
        <w:t xml:space="preserve">Society for the Advancement of Science, the U.S. National Institute on Aging (U01_AG09740-13S2, P01_AG005842, P01_AG08291, P30_AG12815, R21_AG025169, Y1-AG-4553-01, IAG_BSR06-11, OGHA_04-064, BSR12-04, R01_AG052527-02, R01_AG056329-02, R01_AG063944, HHSN271201300071C, RAG052527A) and from various national funding sources is gratefully acknowledged (see </w:t>
      </w:r>
      <w:hyperlink r:id="rId61" w:history="1">
        <w:r w:rsidR="00773886" w:rsidRPr="00E44EEC">
          <w:rPr>
            <w:rStyle w:val="Hyperkobling"/>
            <w:lang w:val="en-US"/>
          </w:rPr>
          <w:t>www.share-eric.eu</w:t>
        </w:r>
      </w:hyperlink>
      <w:r w:rsidRPr="00FE5D0C">
        <w:rPr>
          <w:lang w:val="en-US"/>
        </w:rPr>
        <w:t>).</w:t>
      </w:r>
    </w:p>
    <w:p w14:paraId="6D56D273" w14:textId="77777777" w:rsidR="00773886" w:rsidRDefault="00773886" w:rsidP="00FE5D0C">
      <w:pPr>
        <w:spacing w:after="0" w:line="360" w:lineRule="auto"/>
        <w:rPr>
          <w:lang w:val="en-US"/>
        </w:rPr>
      </w:pPr>
    </w:p>
    <w:p w14:paraId="44BDAAD5" w14:textId="40555B37" w:rsidR="00773886" w:rsidRDefault="00773886" w:rsidP="00FE5D0C">
      <w:pPr>
        <w:spacing w:after="0" w:line="360" w:lineRule="auto"/>
        <w:rPr>
          <w:lang w:val="en-US"/>
        </w:rPr>
      </w:pPr>
      <w:r w:rsidRPr="00773886">
        <w:rPr>
          <w:lang w:val="en-US"/>
        </w:rPr>
        <w:t>Data from the Health and Retirement Study (HRS) were obtained from the University of Michigan. HRS is sponsored by the U.S. National Institute on Aging (grant U01AG009740) and conducted by the University of Michigan, with additional support from the U.S. Social Security Administration.</w:t>
      </w:r>
      <w:r w:rsidR="00827B19">
        <w:rPr>
          <w:lang w:val="en-US"/>
        </w:rPr>
        <w:t xml:space="preserve"> </w:t>
      </w:r>
      <w:r w:rsidR="00827B19" w:rsidRPr="00827B19">
        <w:rPr>
          <w:lang w:val="en-US"/>
        </w:rPr>
        <w:t>RAND HRS Longitudinal File (1992–2022 release, Stata format)</w:t>
      </w:r>
      <w:r w:rsidR="00827B19">
        <w:rPr>
          <w:lang w:val="en-US"/>
        </w:rPr>
        <w:t xml:space="preserve"> was p</w:t>
      </w:r>
      <w:r w:rsidR="00827B19" w:rsidRPr="00827B19">
        <w:rPr>
          <w:lang w:val="en-US"/>
        </w:rPr>
        <w:t>roduced by the RAND Center for the Study of Aging, with funding from the National Institute on Aging (grant numbers NIA U01AG009740 and NIA R01AG073289) and the Social Security Administration. Santa Monica, CA</w:t>
      </w:r>
      <w:r w:rsidR="00827B19">
        <w:rPr>
          <w:lang w:val="en-US"/>
        </w:rPr>
        <w:t>.</w:t>
      </w:r>
    </w:p>
    <w:p w14:paraId="7428CAD7" w14:textId="77777777" w:rsidR="00773886" w:rsidRDefault="00773886" w:rsidP="00FE5D0C">
      <w:pPr>
        <w:spacing w:after="0" w:line="360" w:lineRule="auto"/>
        <w:rPr>
          <w:lang w:val="en-US"/>
        </w:rPr>
      </w:pPr>
    </w:p>
    <w:p w14:paraId="38B4A914" w14:textId="77777777" w:rsidR="00773886" w:rsidRDefault="00773886" w:rsidP="00773886">
      <w:pPr>
        <w:spacing w:after="0" w:line="360" w:lineRule="auto"/>
        <w:rPr>
          <w:lang w:val="en-US"/>
        </w:rPr>
      </w:pPr>
      <w:r>
        <w:rPr>
          <w:lang w:val="en-US"/>
        </w:rPr>
        <w:t xml:space="preserve">ADNI: </w:t>
      </w:r>
      <w:r w:rsidRPr="0052439A">
        <w:rPr>
          <w:lang w:val="en-US"/>
        </w:rPr>
        <w:t xml:space="preserve">The ADNI was launched in 2003 as a public-private partnership, led by Principal Investigator Michael W. Weiner, MD. The primary goal of ADNI has been to test whether serial magnetic resonance imaging (MRI), positron emission tomography (PET), other biological markers, and clinical and neuropsychological assessment can be combined to measure the progression of mild cognitive impairment (MCI) and early Alzheimer’s disease (AD). For up-to-date information, see </w:t>
      </w:r>
      <w:hyperlink r:id="rId62" w:history="1">
        <w:r w:rsidRPr="0052439A">
          <w:rPr>
            <w:rStyle w:val="Hyperkobling"/>
            <w:lang w:val="en-US"/>
          </w:rPr>
          <w:t>https://adni.loni.usc.edu/</w:t>
        </w:r>
      </w:hyperlink>
      <w:r w:rsidRPr="0052439A">
        <w:rPr>
          <w:lang w:val="en-US"/>
        </w:rPr>
        <w:t xml:space="preserve">. As such, the investigators within the ADNI contributed to the design and implementation of ADNI and/or provided data but did not participate in analysis or writing of this report. A complete listing of ADNI investigators can be found at: </w:t>
      </w:r>
      <w:hyperlink r:id="rId63" w:history="1">
        <w:r w:rsidRPr="0052439A">
          <w:rPr>
            <w:rStyle w:val="Hyperkobling"/>
            <w:lang w:val="en-US"/>
          </w:rPr>
          <w:t>http://adni.loni.usc.edu/wp-content/uploads/how_to_apply/ADNI_Acknowledgement_List.pdf</w:t>
        </w:r>
      </w:hyperlink>
      <w:r w:rsidRPr="0052439A">
        <w:rPr>
          <w:lang w:val="en-US"/>
        </w:rPr>
        <w:t xml:space="preserve">. Data collection and sharing for this project were funded by the ADNI (NIH Grant U01 AG024904). ADNI is funded by the National Institute on Aging, the National Institute of Biomedical Imaging and Bioengineering, and through generous contributions from the following: AbbVie, Alzheimer's Association; Alzheimer's Drug Discovery Foundation; </w:t>
      </w:r>
      <w:proofErr w:type="spellStart"/>
      <w:r w:rsidRPr="0052439A">
        <w:rPr>
          <w:lang w:val="en-US"/>
        </w:rPr>
        <w:t>Araclon</w:t>
      </w:r>
      <w:proofErr w:type="spellEnd"/>
      <w:r w:rsidRPr="0052439A">
        <w:rPr>
          <w:lang w:val="en-US"/>
        </w:rPr>
        <w:t xml:space="preserve"> Biotech; </w:t>
      </w:r>
      <w:proofErr w:type="spellStart"/>
      <w:r w:rsidRPr="0052439A">
        <w:rPr>
          <w:lang w:val="en-US"/>
        </w:rPr>
        <w:t>BioClinica</w:t>
      </w:r>
      <w:proofErr w:type="spellEnd"/>
      <w:r w:rsidRPr="0052439A">
        <w:rPr>
          <w:lang w:val="en-US"/>
        </w:rPr>
        <w:t xml:space="preserve">, Inc.; Biogen; Bristol-Myers Squibb Company; </w:t>
      </w:r>
      <w:proofErr w:type="spellStart"/>
      <w:r w:rsidRPr="0052439A">
        <w:rPr>
          <w:lang w:val="en-US"/>
        </w:rPr>
        <w:t>CereSpir</w:t>
      </w:r>
      <w:proofErr w:type="spellEnd"/>
      <w:r w:rsidRPr="0052439A">
        <w:rPr>
          <w:lang w:val="en-US"/>
        </w:rPr>
        <w:t xml:space="preserve">, Inc.; </w:t>
      </w:r>
      <w:proofErr w:type="spellStart"/>
      <w:r w:rsidRPr="0052439A">
        <w:rPr>
          <w:lang w:val="en-US"/>
        </w:rPr>
        <w:t>Cogstate</w:t>
      </w:r>
      <w:proofErr w:type="spellEnd"/>
      <w:r w:rsidRPr="0052439A">
        <w:rPr>
          <w:lang w:val="en-US"/>
        </w:rPr>
        <w:t xml:space="preserve"> Eisai Inc.; Elan Pharmaceuticals, Inc.; Eli Lilly and Company; </w:t>
      </w:r>
      <w:proofErr w:type="spellStart"/>
      <w:r w:rsidRPr="0052439A">
        <w:rPr>
          <w:lang w:val="en-US"/>
        </w:rPr>
        <w:t>EuroImmun</w:t>
      </w:r>
      <w:proofErr w:type="spellEnd"/>
      <w:r w:rsidRPr="0052439A">
        <w:rPr>
          <w:lang w:val="en-US"/>
        </w:rPr>
        <w:t xml:space="preserve">; F. Hoffmann-La Roche Ltd and its affiliated company Genentech, Inc.; </w:t>
      </w:r>
      <w:proofErr w:type="spellStart"/>
      <w:r w:rsidRPr="0052439A">
        <w:rPr>
          <w:lang w:val="en-US"/>
        </w:rPr>
        <w:t>Fujirebio</w:t>
      </w:r>
      <w:proofErr w:type="spellEnd"/>
      <w:r w:rsidRPr="0052439A">
        <w:rPr>
          <w:lang w:val="en-US"/>
        </w:rPr>
        <w:t xml:space="preserve">; GE Healthcare; IXICO Ltd.; Janssen Alzheimer Immunotherapy Research &amp; Development, LLC.; Johnson &amp; Johnson Pharmaceutical Research &amp; Development LLC.; Lumosity; Lundbeck; Merck &amp; Co., Inc.; </w:t>
      </w:r>
      <w:proofErr w:type="spellStart"/>
      <w:r w:rsidRPr="0052439A">
        <w:rPr>
          <w:lang w:val="en-US"/>
        </w:rPr>
        <w:t>Meso</w:t>
      </w:r>
      <w:proofErr w:type="spellEnd"/>
      <w:r w:rsidRPr="0052439A">
        <w:rPr>
          <w:lang w:val="en-US"/>
        </w:rPr>
        <w:t xml:space="preserve"> Scale Diagnostics, LLC.; </w:t>
      </w:r>
      <w:proofErr w:type="spellStart"/>
      <w:r w:rsidRPr="0052439A">
        <w:rPr>
          <w:lang w:val="en-US"/>
        </w:rPr>
        <w:t>NeuroRx</w:t>
      </w:r>
      <w:proofErr w:type="spellEnd"/>
      <w:r w:rsidRPr="0052439A">
        <w:rPr>
          <w:lang w:val="en-US"/>
        </w:rPr>
        <w:t xml:space="preserve"> Research; </w:t>
      </w:r>
      <w:proofErr w:type="spellStart"/>
      <w:r w:rsidRPr="0052439A">
        <w:rPr>
          <w:lang w:val="en-US"/>
        </w:rPr>
        <w:t>Neurotrack</w:t>
      </w:r>
      <w:proofErr w:type="spellEnd"/>
      <w:r w:rsidRPr="0052439A">
        <w:rPr>
          <w:lang w:val="en-US"/>
        </w:rPr>
        <w:t xml:space="preserve"> Technologies; Novartis Pharmaceuticals Corporation; Pfizer Inc.; Piramal Imaging; </w:t>
      </w:r>
      <w:proofErr w:type="spellStart"/>
      <w:r w:rsidRPr="0052439A">
        <w:rPr>
          <w:lang w:val="en-US"/>
        </w:rPr>
        <w:t>Servier</w:t>
      </w:r>
      <w:proofErr w:type="spellEnd"/>
      <w:r w:rsidRPr="0052439A">
        <w:rPr>
          <w:lang w:val="en-US"/>
        </w:rPr>
        <w:t xml:space="preserve">; Takeda Pharmaceutical Company; and Transition Therapeutics. The Canadian Institutes </w:t>
      </w:r>
      <w:r w:rsidRPr="0052439A">
        <w:rPr>
          <w:lang w:val="en-US"/>
        </w:rPr>
        <w:lastRenderedPageBreak/>
        <w:t>of Health Research is providing funds to support ADNI clinical sites in Canada. Private sector contributions are facilitated by the Foundation for the National Institutes of Health (http://www.fnih.org). The grantee organization is the Northern California Institute for Research and Education, and the study is coordinated by the Alzheimer's Therapeutic Research Institute at the University of Southern California. ADNI data are disseminated by the Laboratory for Neuro Imaging at the University of Southern California.</w:t>
      </w:r>
    </w:p>
    <w:p w14:paraId="05C742C1" w14:textId="77777777" w:rsidR="00773886" w:rsidRDefault="00773886" w:rsidP="00773886">
      <w:pPr>
        <w:spacing w:after="0" w:line="360" w:lineRule="auto"/>
        <w:rPr>
          <w:lang w:val="en-US"/>
        </w:rPr>
      </w:pPr>
    </w:p>
    <w:p w14:paraId="7751419C" w14:textId="2B0D806A" w:rsidR="00773886" w:rsidRDefault="00773886" w:rsidP="00773886">
      <w:pPr>
        <w:spacing w:after="0" w:line="360" w:lineRule="auto"/>
        <w:rPr>
          <w:lang w:val="en-US"/>
        </w:rPr>
      </w:pPr>
      <w:r>
        <w:rPr>
          <w:lang w:val="en-US"/>
        </w:rPr>
        <w:t>OUS-</w:t>
      </w:r>
      <w:r w:rsidRPr="000112E0">
        <w:rPr>
          <w:lang w:val="en-US"/>
        </w:rPr>
        <w:t xml:space="preserve">COGNORM is funded by the South-Eastern Norway Regional Health Authorities (#2017095) The Norwegian Health Association (#19536) and by </w:t>
      </w:r>
      <w:proofErr w:type="spellStart"/>
      <w:r w:rsidRPr="000112E0">
        <w:rPr>
          <w:lang w:val="en-US"/>
        </w:rPr>
        <w:t>Wellcome</w:t>
      </w:r>
      <w:proofErr w:type="spellEnd"/>
      <w:r w:rsidRPr="000112E0">
        <w:rPr>
          <w:lang w:val="en-US"/>
        </w:rPr>
        <w:t xml:space="preserve"> Leap’s Dynamic Resilience Program (jointly funded by Temasek Trust) #104617).</w:t>
      </w:r>
    </w:p>
    <w:p w14:paraId="055AAF90" w14:textId="77777777" w:rsidR="00773886" w:rsidRPr="0052439A" w:rsidRDefault="00773886" w:rsidP="00773886">
      <w:pPr>
        <w:spacing w:after="0" w:line="360" w:lineRule="auto"/>
        <w:rPr>
          <w:lang w:val="en-US"/>
        </w:rPr>
      </w:pPr>
    </w:p>
    <w:p w14:paraId="48589B76" w14:textId="77777777" w:rsidR="00773886" w:rsidRPr="007B54AD" w:rsidRDefault="00773886" w:rsidP="00773886">
      <w:pPr>
        <w:spacing w:after="0" w:line="360" w:lineRule="auto"/>
        <w:rPr>
          <w:lang w:val="en-US"/>
        </w:rPr>
      </w:pPr>
      <w:r>
        <w:rPr>
          <w:lang w:val="en-US"/>
        </w:rPr>
        <w:t xml:space="preserve">AIBL: </w:t>
      </w:r>
      <w:r w:rsidRPr="007719BB">
        <w:rPr>
          <w:lang w:val="en-US"/>
        </w:rPr>
        <w:t xml:space="preserve">Data used in the preparation of this article was obtained from the Australian Imaging Biomarkers and Lifestyle flagship study of ageing (AIBL) funded by the Commonwealth Scientific and Industrial Research </w:t>
      </w:r>
      <w:proofErr w:type="spellStart"/>
      <w:r w:rsidRPr="007719BB">
        <w:rPr>
          <w:lang w:val="en-US"/>
        </w:rPr>
        <w:t>Organisation</w:t>
      </w:r>
      <w:proofErr w:type="spellEnd"/>
      <w:r w:rsidRPr="007719BB">
        <w:rPr>
          <w:lang w:val="en-US"/>
        </w:rPr>
        <w:t xml:space="preserve"> (CSIRO) which was made available at the ADNI database (www.loni.usc.edu/ADNI). The AIBL researchers contributed data but did not participate in analysis or writing of this report. </w:t>
      </w:r>
      <w:r w:rsidRPr="007B54AD">
        <w:rPr>
          <w:lang w:val="en-US"/>
        </w:rPr>
        <w:t xml:space="preserve">AIBL researchers are listed at </w:t>
      </w:r>
      <w:hyperlink r:id="rId64" w:history="1">
        <w:r w:rsidRPr="007B54AD">
          <w:rPr>
            <w:rStyle w:val="Hyperkobling"/>
            <w:lang w:val="en-US"/>
          </w:rPr>
          <w:t>www.aibl.csiro.au</w:t>
        </w:r>
      </w:hyperlink>
      <w:r w:rsidRPr="007B54AD">
        <w:rPr>
          <w:lang w:val="en-US"/>
        </w:rPr>
        <w:t>.</w:t>
      </w:r>
    </w:p>
    <w:p w14:paraId="75CF089E" w14:textId="77777777" w:rsidR="00773886" w:rsidRDefault="00773886" w:rsidP="00773886">
      <w:pPr>
        <w:spacing w:after="0" w:line="360" w:lineRule="auto"/>
        <w:rPr>
          <w:lang w:val="en-US"/>
        </w:rPr>
      </w:pPr>
    </w:p>
    <w:p w14:paraId="228A7C34" w14:textId="77777777" w:rsidR="00773886" w:rsidRDefault="00773886" w:rsidP="00773886">
      <w:pPr>
        <w:autoSpaceDE w:val="0"/>
        <w:autoSpaceDN w:val="0"/>
        <w:adjustRightInd w:val="0"/>
        <w:spacing w:after="0" w:line="360" w:lineRule="auto"/>
        <w:rPr>
          <w:lang w:val="en-US"/>
        </w:rPr>
      </w:pPr>
      <w:r>
        <w:rPr>
          <w:lang w:val="en-US"/>
        </w:rPr>
        <w:t xml:space="preserve">BLSA: </w:t>
      </w:r>
      <w:r w:rsidRPr="0065715F">
        <w:rPr>
          <w:lang w:val="en-US"/>
        </w:rPr>
        <w:t xml:space="preserve">This </w:t>
      </w:r>
      <w:r>
        <w:rPr>
          <w:lang w:val="en-US"/>
        </w:rPr>
        <w:t>study u</w:t>
      </w:r>
      <w:r w:rsidRPr="0065715F">
        <w:rPr>
          <w:lang w:val="en-US"/>
        </w:rPr>
        <w:t>ses research data from The Baltimore Longitudinal</w:t>
      </w:r>
      <w:r>
        <w:rPr>
          <w:lang w:val="en-US"/>
        </w:rPr>
        <w:t xml:space="preserve"> </w:t>
      </w:r>
      <w:r w:rsidRPr="0065715F">
        <w:rPr>
          <w:lang w:val="en-US"/>
        </w:rPr>
        <w:t>Study of Aging study (BLSA) that has been made available through the LONI IDA and GAAIN. The</w:t>
      </w:r>
      <w:r>
        <w:rPr>
          <w:lang w:val="en-US"/>
        </w:rPr>
        <w:t xml:space="preserve"> </w:t>
      </w:r>
      <w:r w:rsidRPr="0065715F">
        <w:rPr>
          <w:lang w:val="en-US"/>
        </w:rPr>
        <w:t>BLSA is supported by the Intramural Research Program (IRP) of the National Institute on Aging</w:t>
      </w:r>
      <w:r>
        <w:rPr>
          <w:lang w:val="en-US"/>
        </w:rPr>
        <w:t xml:space="preserve"> </w:t>
      </w:r>
      <w:r w:rsidRPr="0065715F">
        <w:rPr>
          <w:lang w:val="en-US"/>
        </w:rPr>
        <w:t>(NIA). The authors thank the investigators, staff, and participants of the BLSA study and the</w:t>
      </w:r>
      <w:r>
        <w:rPr>
          <w:lang w:val="en-US"/>
        </w:rPr>
        <w:t xml:space="preserve"> </w:t>
      </w:r>
      <w:r w:rsidRPr="0065715F">
        <w:rPr>
          <w:lang w:val="en-US"/>
        </w:rPr>
        <w:t>neuroimaging sub-study for making the data available. BLSA investigators have not contributed to</w:t>
      </w:r>
      <w:r>
        <w:rPr>
          <w:lang w:val="en-US"/>
        </w:rPr>
        <w:t xml:space="preserve"> </w:t>
      </w:r>
      <w:r w:rsidRPr="0065715F">
        <w:rPr>
          <w:lang w:val="en-US"/>
        </w:rPr>
        <w:t xml:space="preserve">nor approved, and are not in any way responsible for, the contents of this </w:t>
      </w:r>
      <w:r>
        <w:rPr>
          <w:lang w:val="en-US"/>
        </w:rPr>
        <w:t xml:space="preserve">article. </w:t>
      </w:r>
    </w:p>
    <w:p w14:paraId="35CB9276" w14:textId="77777777" w:rsidR="00773886" w:rsidRDefault="00773886" w:rsidP="00773886">
      <w:pPr>
        <w:spacing w:after="0" w:line="360" w:lineRule="auto"/>
        <w:rPr>
          <w:lang w:val="en-US"/>
        </w:rPr>
      </w:pPr>
    </w:p>
    <w:p w14:paraId="5DBE7BDA" w14:textId="77777777" w:rsidR="00773886" w:rsidRDefault="00773886" w:rsidP="00773886">
      <w:pPr>
        <w:spacing w:after="0" w:line="360" w:lineRule="auto"/>
        <w:rPr>
          <w:lang w:val="en-US"/>
        </w:rPr>
      </w:pPr>
      <w:r>
        <w:rPr>
          <w:lang w:val="en-US"/>
        </w:rPr>
        <w:t xml:space="preserve">HABS_HD: </w:t>
      </w:r>
      <w:r w:rsidRPr="00AA6489">
        <w:rPr>
          <w:lang w:val="en-US"/>
        </w:rPr>
        <w:t>Research reported on this</w:t>
      </w:r>
      <w:r>
        <w:rPr>
          <w:lang w:val="en-US"/>
        </w:rPr>
        <w:t xml:space="preserve"> </w:t>
      </w:r>
      <w:r w:rsidRPr="00AA6489">
        <w:rPr>
          <w:lang w:val="en-US"/>
        </w:rPr>
        <w:t>publication was supported by the National Institute on Aging of the National Institutes of Health</w:t>
      </w:r>
      <w:r>
        <w:rPr>
          <w:lang w:val="en-US"/>
        </w:rPr>
        <w:t xml:space="preserve"> </w:t>
      </w:r>
      <w:r w:rsidRPr="00AA6489">
        <w:rPr>
          <w:lang w:val="en-US"/>
        </w:rPr>
        <w:t>under Award Numbers R01AG054073, R01AG058533, R01AG070862, P41EB015922 and</w:t>
      </w:r>
      <w:r>
        <w:rPr>
          <w:lang w:val="en-US"/>
        </w:rPr>
        <w:t xml:space="preserve"> </w:t>
      </w:r>
      <w:r w:rsidRPr="00AA6489">
        <w:rPr>
          <w:lang w:val="en-US"/>
        </w:rPr>
        <w:t>U19AG078109. The content is solely the responsibility of the authors and does not necessarily</w:t>
      </w:r>
      <w:r>
        <w:rPr>
          <w:lang w:val="en-US"/>
        </w:rPr>
        <w:t xml:space="preserve"> </w:t>
      </w:r>
      <w:r w:rsidRPr="00AA6489">
        <w:rPr>
          <w:lang w:val="en-US"/>
        </w:rPr>
        <w:t>represent the official views of the National Institutes of Health.</w:t>
      </w:r>
    </w:p>
    <w:p w14:paraId="6FA242DE" w14:textId="77777777" w:rsidR="00773886" w:rsidRDefault="00773886" w:rsidP="00773886">
      <w:pPr>
        <w:spacing w:after="0" w:line="360" w:lineRule="auto"/>
        <w:rPr>
          <w:lang w:val="en-US"/>
        </w:rPr>
      </w:pPr>
    </w:p>
    <w:p w14:paraId="3EEC3556" w14:textId="77777777" w:rsidR="00773886" w:rsidRPr="00BE59B6" w:rsidRDefault="00773886" w:rsidP="00773886">
      <w:pPr>
        <w:spacing w:after="0" w:line="360" w:lineRule="auto"/>
        <w:rPr>
          <w:lang w:val="en-US"/>
        </w:rPr>
      </w:pPr>
      <w:r>
        <w:rPr>
          <w:lang w:val="en-US"/>
        </w:rPr>
        <w:t xml:space="preserve">PREVENT-AD: </w:t>
      </w:r>
      <w:r w:rsidRPr="00BE59B6">
        <w:rPr>
          <w:lang w:val="en-US"/>
        </w:rPr>
        <w:t xml:space="preserve">PREVENT-AD was funded by the Canadian Institutes of Health Research, McGill University, the Fonds de Recherche du Québec – Santé, Alzheimer’s Association, Brain Canada, the Government of Canada, the Canada Fund for Innovation, the Douglas Hospital Research Centre and Foundation, the Levesque Foundation, an unrestricted research grant from Pfizer Canada. Private sector contributions are facilitated by the Development Office of the McGill </w:t>
      </w:r>
      <w:r w:rsidRPr="00BE59B6">
        <w:rPr>
          <w:lang w:val="en-US"/>
        </w:rPr>
        <w:lastRenderedPageBreak/>
        <w:t>University Faculty of Medicine and by the Douglas Hospital Research Centre Foundation (</w:t>
      </w:r>
      <w:hyperlink r:id="rId65" w:history="1">
        <w:r w:rsidRPr="00BE59B6">
          <w:rPr>
            <w:rStyle w:val="Hyperkobling"/>
            <w:lang w:val="en-US"/>
          </w:rPr>
          <w:t>http://www.douglas.qc.ca/</w:t>
        </w:r>
      </w:hyperlink>
      <w:r w:rsidRPr="00BE59B6">
        <w:rPr>
          <w:lang w:val="en-US"/>
        </w:rPr>
        <w:t>).</w:t>
      </w:r>
    </w:p>
    <w:p w14:paraId="06C6F34C" w14:textId="77777777" w:rsidR="00773886" w:rsidRDefault="00773886" w:rsidP="00773886">
      <w:pPr>
        <w:spacing w:after="0" w:line="360" w:lineRule="auto"/>
        <w:rPr>
          <w:lang w:val="en-US"/>
        </w:rPr>
      </w:pPr>
    </w:p>
    <w:p w14:paraId="19704FED" w14:textId="77777777" w:rsidR="00773886" w:rsidRPr="00BE59B6" w:rsidRDefault="00773886" w:rsidP="00773886">
      <w:pPr>
        <w:spacing w:after="0" w:line="360" w:lineRule="auto"/>
        <w:rPr>
          <w:lang w:val="en-US"/>
        </w:rPr>
      </w:pPr>
      <w:r>
        <w:rPr>
          <w:lang w:val="en-US"/>
        </w:rPr>
        <w:t xml:space="preserve">OASIS3: </w:t>
      </w:r>
      <w:r w:rsidRPr="00BE59B6">
        <w:rPr>
          <w:lang w:val="en-US"/>
        </w:rPr>
        <w:t xml:space="preserve">Longitudinal Multimodal Neuroimaging: Principal Investigators: T. </w:t>
      </w:r>
      <w:proofErr w:type="spellStart"/>
      <w:r w:rsidRPr="00BE59B6">
        <w:rPr>
          <w:lang w:val="en-US"/>
        </w:rPr>
        <w:t>Benzinger</w:t>
      </w:r>
      <w:proofErr w:type="spellEnd"/>
      <w:r w:rsidRPr="00BE59B6">
        <w:rPr>
          <w:lang w:val="en-US"/>
        </w:rPr>
        <w:t xml:space="preserve">, D. Marcus, J. Morris; NIH P30 AG066444, P50 AG00561, P30 NS09857781, P01 AG026276, P01 AG003991, R01 AG043434, UL1 TR000448, R01 EB009352. AV-45 doses were provided by Avid Radiopharmaceuticals, a wholly owned subsidiary of Eli Lilly. </w:t>
      </w:r>
    </w:p>
    <w:p w14:paraId="04B6FC1C" w14:textId="77777777" w:rsidR="00773886" w:rsidRDefault="00773886" w:rsidP="00773886">
      <w:pPr>
        <w:spacing w:after="0" w:line="360" w:lineRule="auto"/>
        <w:rPr>
          <w:lang w:val="en-US"/>
        </w:rPr>
      </w:pPr>
    </w:p>
    <w:p w14:paraId="7AF27CCF" w14:textId="4076CAA8" w:rsidR="00773886" w:rsidRPr="00134BB1" w:rsidRDefault="00BF5D9F" w:rsidP="00773886">
      <w:pPr>
        <w:spacing w:after="0" w:line="360" w:lineRule="auto"/>
        <w:rPr>
          <w:lang w:val="en-US"/>
        </w:rPr>
      </w:pPr>
      <w:r>
        <w:rPr>
          <w:lang w:val="en-US"/>
        </w:rPr>
        <w:t>MCSA</w:t>
      </w:r>
      <w:r w:rsidR="00773886">
        <w:rPr>
          <w:lang w:val="en-US"/>
        </w:rPr>
        <w:t xml:space="preserve">: </w:t>
      </w:r>
      <w:r w:rsidR="00773886" w:rsidRPr="00134BB1">
        <w:rPr>
          <w:lang w:val="en-US"/>
        </w:rPr>
        <w:t>Data used in preparation of this article were shared by the Mayo Clinic Study of Aging (MCSA). The MCSA is funded by the following sources: NIH U01 AG006786, R01 AG034676, R37 AG011378,</w:t>
      </w:r>
      <w:r w:rsidR="00773886">
        <w:rPr>
          <w:lang w:val="en-US"/>
        </w:rPr>
        <w:t xml:space="preserve"> </w:t>
      </w:r>
      <w:r w:rsidR="00773886" w:rsidRPr="00134BB1">
        <w:rPr>
          <w:lang w:val="en-US"/>
        </w:rPr>
        <w:t>R01 AG041851, R01 NS097495, R01 AG056366, R01 AG068206, P30 AG062677, GHR</w:t>
      </w:r>
      <w:r w:rsidR="00773886">
        <w:rPr>
          <w:lang w:val="en-US"/>
        </w:rPr>
        <w:t xml:space="preserve"> </w:t>
      </w:r>
      <w:r w:rsidR="00773886" w:rsidRPr="00134BB1">
        <w:rPr>
          <w:lang w:val="en-US"/>
        </w:rPr>
        <w:t xml:space="preserve">Foundation, Elsie and Marvin </w:t>
      </w:r>
      <w:proofErr w:type="spellStart"/>
      <w:r w:rsidR="00773886" w:rsidRPr="00134BB1">
        <w:rPr>
          <w:lang w:val="en-US"/>
        </w:rPr>
        <w:t>Dekelboum</w:t>
      </w:r>
      <w:proofErr w:type="spellEnd"/>
      <w:r w:rsidR="00773886" w:rsidRPr="00134BB1">
        <w:rPr>
          <w:lang w:val="en-US"/>
        </w:rPr>
        <w:t xml:space="preserve"> Family Foundation, Liston Award, Schuler Foundation,</w:t>
      </w:r>
      <w:r w:rsidR="00773886">
        <w:rPr>
          <w:lang w:val="en-US"/>
        </w:rPr>
        <w:t xml:space="preserve"> </w:t>
      </w:r>
      <w:r w:rsidR="00773886" w:rsidRPr="00134BB1">
        <w:rPr>
          <w:lang w:val="en-US"/>
        </w:rPr>
        <w:t>Alexander Foundation, Mayo Foundation for Medical Education and Research.</w:t>
      </w:r>
    </w:p>
    <w:p w14:paraId="43AB0BB5" w14:textId="77777777" w:rsidR="00773886" w:rsidRDefault="00773886" w:rsidP="00773886">
      <w:pPr>
        <w:spacing w:after="0" w:line="360" w:lineRule="auto"/>
        <w:rPr>
          <w:lang w:val="en-US"/>
        </w:rPr>
      </w:pPr>
    </w:p>
    <w:p w14:paraId="13ECF7FF" w14:textId="499C4375" w:rsidR="00773886" w:rsidRDefault="00773886" w:rsidP="00773886">
      <w:pPr>
        <w:spacing w:after="0" w:line="360" w:lineRule="auto"/>
        <w:rPr>
          <w:lang w:val="en-US"/>
        </w:rPr>
      </w:pPr>
      <w:r>
        <w:rPr>
          <w:lang w:val="en-US"/>
        </w:rPr>
        <w:t xml:space="preserve">WRAP: Data used in preparation of this articles was made kindly available by the University of Wisconsin. The </w:t>
      </w:r>
      <w:r w:rsidRPr="00555D71">
        <w:rPr>
          <w:lang w:val="en-US"/>
        </w:rPr>
        <w:t>Wisconsin Registry for Alzheimer's Prevention (WRAP) was funded by the following NIH sources: R01AG027161, and R01AG021155, R01AG062285, and R01AG062167 for MRI data collection.</w:t>
      </w:r>
    </w:p>
    <w:p w14:paraId="2F92D0D5" w14:textId="77777777" w:rsidR="00075760" w:rsidRDefault="00075760" w:rsidP="00773886">
      <w:pPr>
        <w:spacing w:after="0" w:line="360" w:lineRule="auto"/>
        <w:rPr>
          <w:lang w:val="en-US"/>
        </w:rPr>
      </w:pPr>
    </w:p>
    <w:p w14:paraId="09AC0237" w14:textId="5475D88D" w:rsidR="00075760" w:rsidRPr="00075760" w:rsidRDefault="00075760" w:rsidP="00773886">
      <w:pPr>
        <w:spacing w:after="0" w:line="360" w:lineRule="auto"/>
        <w:rPr>
          <w:lang w:val="en-GB"/>
        </w:rPr>
      </w:pPr>
      <w:r w:rsidRPr="00075760">
        <w:rPr>
          <w:lang w:val="en-GB"/>
        </w:rPr>
        <w:t>VETSA</w:t>
      </w:r>
      <w:r>
        <w:rPr>
          <w:lang w:val="en-GB"/>
        </w:rPr>
        <w:t>: VETSA</w:t>
      </w:r>
      <w:r w:rsidRPr="00075760">
        <w:rPr>
          <w:lang w:val="en-GB"/>
        </w:rPr>
        <w:t xml:space="preserve"> is supported by National Institute of Health grants </w:t>
      </w:r>
      <w:r w:rsidR="00943598">
        <w:rPr>
          <w:lang w:val="en-GB"/>
        </w:rPr>
        <w:t xml:space="preserve">R01 </w:t>
      </w:r>
      <w:r w:rsidR="001D1785" w:rsidRPr="001D1785">
        <w:rPr>
          <w:lang w:val="en-GB"/>
        </w:rPr>
        <w:t>050595, AG022381, AG076838</w:t>
      </w:r>
      <w:r w:rsidR="001D1785">
        <w:rPr>
          <w:lang w:val="en-GB"/>
        </w:rPr>
        <w:t xml:space="preserve"> </w:t>
      </w:r>
      <w:r w:rsidRPr="00075760">
        <w:rPr>
          <w:lang w:val="en-GB"/>
        </w:rPr>
        <w:t xml:space="preserve">and, in part, with resources of the VA San Diego </w:t>
      </w:r>
      <w:proofErr w:type="spellStart"/>
      <w:r w:rsidRPr="00075760">
        <w:rPr>
          <w:lang w:val="en-GB"/>
        </w:rPr>
        <w:t>Center</w:t>
      </w:r>
      <w:proofErr w:type="spellEnd"/>
      <w:r w:rsidRPr="00075760">
        <w:rPr>
          <w:lang w:val="en-GB"/>
        </w:rPr>
        <w:t xml:space="preserve"> of Excellence for Stress and Mental Health. The Cooperative Studies Program of the Office of Research &amp; Development of the United States Department of Veterans Affairs has provided financial support for the development and maintenance of the Vietnam Era Twin (VET) Registry. The content of this manuscript is solely the responsibility of the authors and does not necessarily represent the official views of the NIA/NIH, the Veterans’ Administration, or the VETSA investigators</w:t>
      </w:r>
      <w:r w:rsidR="002826A8">
        <w:rPr>
          <w:lang w:val="en-GB"/>
        </w:rPr>
        <w:t>.</w:t>
      </w:r>
    </w:p>
    <w:p w14:paraId="2821EE03" w14:textId="77777777" w:rsidR="00773886" w:rsidRPr="00FE5D0C" w:rsidRDefault="00773886" w:rsidP="00FE5D0C">
      <w:pPr>
        <w:spacing w:after="0" w:line="360" w:lineRule="auto"/>
        <w:rPr>
          <w:lang w:val="en-US"/>
        </w:rPr>
      </w:pPr>
    </w:p>
    <w:p w14:paraId="28DDA827" w14:textId="1088A044" w:rsidR="008D30EA" w:rsidRPr="003B6783" w:rsidRDefault="003B6783">
      <w:pPr>
        <w:rPr>
          <w:b/>
          <w:bCs/>
          <w:lang w:val="en-US"/>
        </w:rPr>
      </w:pPr>
      <w:r w:rsidRPr="003B6783">
        <w:rPr>
          <w:b/>
          <w:bCs/>
          <w:lang w:val="en-US"/>
        </w:rPr>
        <w:t>Section 14</w:t>
      </w:r>
      <w:r>
        <w:rPr>
          <w:b/>
          <w:bCs/>
          <w:lang w:val="en-US"/>
        </w:rPr>
        <w:t>:</w:t>
      </w:r>
      <w:r w:rsidRPr="003B6783">
        <w:rPr>
          <w:b/>
          <w:bCs/>
          <w:lang w:val="en-US"/>
        </w:rPr>
        <w:t xml:space="preserve"> Additional SHARE and Betula analyses</w:t>
      </w:r>
    </w:p>
    <w:p w14:paraId="48BA7CBB" w14:textId="09D9EB99" w:rsidR="00420E78" w:rsidRDefault="00420E78">
      <w:pPr>
        <w:rPr>
          <w:lang w:val="en-US"/>
        </w:rPr>
      </w:pPr>
      <w:r>
        <w:rPr>
          <w:noProof/>
          <w:lang w:val="en-US"/>
        </w:rPr>
        <w:lastRenderedPageBreak/>
        <w:drawing>
          <wp:inline distT="0" distB="0" distL="0" distR="0" wp14:anchorId="08300BFA" wp14:editId="18E5EA14">
            <wp:extent cx="5760720" cy="2745105"/>
            <wp:effectExtent l="0" t="0" r="0" b="0"/>
            <wp:docPr id="1007381921" name="Bilde 3" descr="Et bilde som inneholder tekst, skjermbilde, diagram, Plottdiagram&#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381921" name="Bilde 3" descr="Et bilde som inneholder tekst, skjermbilde, diagram, Plottdiagram&#10;&#10;KI-generert innhold kan være feil."/>
                    <pic:cNvPicPr/>
                  </pic:nvPicPr>
                  <pic:blipFill rotWithShape="1">
                    <a:blip r:embed="rId66" cstate="print">
                      <a:extLst>
                        <a:ext uri="{28A0092B-C50C-407E-A947-70E740481C1C}">
                          <a14:useLocalDpi xmlns:a14="http://schemas.microsoft.com/office/drawing/2010/main" val="0"/>
                        </a:ext>
                      </a:extLst>
                    </a:blip>
                    <a:srcRect t="66457"/>
                    <a:stretch/>
                  </pic:blipFill>
                  <pic:spPr bwMode="auto">
                    <a:xfrm>
                      <a:off x="0" y="0"/>
                      <a:ext cx="5760720" cy="2745105"/>
                    </a:xfrm>
                    <a:prstGeom prst="rect">
                      <a:avLst/>
                    </a:prstGeom>
                    <a:ln>
                      <a:noFill/>
                    </a:ln>
                    <a:extLst>
                      <a:ext uri="{53640926-AAD7-44D8-BBD7-CCE9431645EC}">
                        <a14:shadowObscured xmlns:a14="http://schemas.microsoft.com/office/drawing/2010/main"/>
                      </a:ext>
                    </a:extLst>
                  </pic:spPr>
                </pic:pic>
              </a:graphicData>
            </a:graphic>
          </wp:inline>
        </w:drawing>
      </w:r>
    </w:p>
    <w:p w14:paraId="7E2D7F5D" w14:textId="77668BFB" w:rsidR="00420E78" w:rsidRPr="003B6783" w:rsidRDefault="00420E78" w:rsidP="00420E78">
      <w:pPr>
        <w:spacing w:after="0" w:line="360" w:lineRule="auto"/>
        <w:rPr>
          <w:lang w:val="en-US"/>
        </w:rPr>
      </w:pPr>
      <w:r w:rsidRPr="003B6783">
        <w:rPr>
          <w:b/>
          <w:bCs/>
          <w:lang w:val="en-GB"/>
        </w:rPr>
        <w:t xml:space="preserve">Supplementary Figure </w:t>
      </w:r>
      <w:r w:rsidR="003B6783" w:rsidRPr="003B6783">
        <w:rPr>
          <w:b/>
          <w:bCs/>
          <w:lang w:val="en-GB"/>
        </w:rPr>
        <w:t>20</w:t>
      </w:r>
      <w:r w:rsidRPr="003B6783">
        <w:rPr>
          <w:b/>
          <w:bCs/>
          <w:lang w:val="en-GB"/>
        </w:rPr>
        <w:t xml:space="preserve">. </w:t>
      </w:r>
      <w:r w:rsidR="005776B2">
        <w:rPr>
          <w:b/>
          <w:bCs/>
          <w:lang w:val="en-GB"/>
        </w:rPr>
        <w:t>Prevalence of stable performers</w:t>
      </w:r>
      <w:r w:rsidRPr="003B6783">
        <w:rPr>
          <w:b/>
          <w:bCs/>
          <w:lang w:val="en-GB"/>
        </w:rPr>
        <w:t xml:space="preserve"> in SHARE</w:t>
      </w:r>
      <w:r w:rsidRPr="003B6783">
        <w:rPr>
          <w:lang w:val="en-GB"/>
        </w:rPr>
        <w:t xml:space="preserve">. Left - </w:t>
      </w:r>
      <w:bookmarkStart w:id="4" w:name="_Hlk216430407"/>
      <w:r w:rsidRPr="003B6783">
        <w:rPr>
          <w:lang w:val="en-GB"/>
        </w:rPr>
        <w:t xml:space="preserve">Observed performance prevalence (solid line) vs. null expectation (dashed line) if all participants follow the group-average age-expected decline and given the measurement noise in the data (median, shaded band = null IQR), separately for the conservative and the lenient stability criteria. Right - </w:t>
      </w:r>
      <w:r w:rsidRPr="003B6783">
        <w:rPr>
          <w:lang w:val="en-US"/>
        </w:rPr>
        <w:t>Points show the estimated proportion of true stable performers for the conservative (blue) and lenient (orange) rules, evaluated across all ages, ≥70, and ≥80 years. Vertical bars indicate uncertainty bounds derived from the null simulation.</w:t>
      </w:r>
      <w:bookmarkEnd w:id="4"/>
    </w:p>
    <w:p w14:paraId="64FA7236" w14:textId="77777777" w:rsidR="00420E78" w:rsidRDefault="00420E78">
      <w:pPr>
        <w:rPr>
          <w:lang w:val="en-US"/>
        </w:rPr>
      </w:pPr>
    </w:p>
    <w:p w14:paraId="3A661374" w14:textId="52DFC297" w:rsidR="003F513B" w:rsidRDefault="008D30EA" w:rsidP="00FE5D0C">
      <w:pPr>
        <w:spacing w:after="0" w:line="360" w:lineRule="auto"/>
        <w:rPr>
          <w:lang w:val="en-US"/>
        </w:rPr>
      </w:pPr>
      <w:r>
        <w:rPr>
          <w:noProof/>
          <w:lang w:val="en-US"/>
        </w:rPr>
        <w:lastRenderedPageBreak/>
        <w:drawing>
          <wp:inline distT="0" distB="0" distL="0" distR="0" wp14:anchorId="6D3902C7" wp14:editId="0FDD09E5">
            <wp:extent cx="5760720" cy="5941695"/>
            <wp:effectExtent l="0" t="0" r="0" b="1905"/>
            <wp:docPr id="1988862334" name="Bilde 1" descr="Et bilde som inneholder tekst, diagram, skjermbilde, lin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862334" name="Bilde 1" descr="Et bilde som inneholder tekst, diagram, skjermbilde, line&#10;&#10;KI-generert innhold kan være feil."/>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760720" cy="5941695"/>
                    </a:xfrm>
                    <a:prstGeom prst="rect">
                      <a:avLst/>
                    </a:prstGeom>
                  </pic:spPr>
                </pic:pic>
              </a:graphicData>
            </a:graphic>
          </wp:inline>
        </w:drawing>
      </w:r>
    </w:p>
    <w:p w14:paraId="58FA296E" w14:textId="46436CA8" w:rsidR="008D30EA" w:rsidRPr="003B6783" w:rsidRDefault="008D30EA" w:rsidP="008D30EA">
      <w:pPr>
        <w:spacing w:after="0" w:line="360" w:lineRule="auto"/>
        <w:rPr>
          <w:lang w:val="en-US"/>
        </w:rPr>
      </w:pPr>
      <w:r w:rsidRPr="003B6783">
        <w:rPr>
          <w:b/>
          <w:bCs/>
          <w:lang w:val="en-US"/>
        </w:rPr>
        <w:t xml:space="preserve">Supplementary Figure </w:t>
      </w:r>
      <w:r w:rsidR="003B6783" w:rsidRPr="003B6783">
        <w:rPr>
          <w:b/>
          <w:bCs/>
          <w:lang w:val="en-US"/>
        </w:rPr>
        <w:t>21</w:t>
      </w:r>
      <w:r w:rsidRPr="003B6783">
        <w:rPr>
          <w:b/>
          <w:bCs/>
          <w:lang w:val="en-US"/>
        </w:rPr>
        <w:t xml:space="preserve">. Prevalence of stable performers in Betula. </w:t>
      </w:r>
      <w:r w:rsidRPr="003B6783">
        <w:rPr>
          <w:lang w:val="en-US"/>
        </w:rPr>
        <w:t>A: Lines show Theil–Sen slopes for 50 randomly selected stable performers (blue) and non-stable performers (orange). B: Left - Observed prevalence of stable perfo</w:t>
      </w:r>
      <w:r w:rsidR="00393B14">
        <w:rPr>
          <w:lang w:val="en-US"/>
        </w:rPr>
        <w:t>r</w:t>
      </w:r>
      <w:r w:rsidRPr="003B6783">
        <w:rPr>
          <w:lang w:val="en-US"/>
        </w:rPr>
        <w:t xml:space="preserve">mers (solid line) vs. null expectation (dashed line) (median, shaded band = null IQR). Right - Points show the PPV-adjusted estimated proportion of true stable performers (lenient rule: </w:t>
      </w:r>
      <w:r w:rsidRPr="003B6783">
        <w:rPr>
          <w:rFonts w:ascii="Cambria Math" w:hAnsi="Cambria Math" w:cs="Cambria Math"/>
          <w:lang w:val="en-US"/>
        </w:rPr>
        <w:t xml:space="preserve">𝛿 </w:t>
      </w:r>
      <w:r w:rsidRPr="003B6783">
        <w:rPr>
          <w:u w:val="single"/>
          <w:lang w:val="en-GB"/>
        </w:rPr>
        <w:t>&gt;</w:t>
      </w:r>
      <w:r w:rsidRPr="003B6783">
        <w:rPr>
          <w:lang w:val="en-GB"/>
        </w:rPr>
        <w:t xml:space="preserve"> -0.4, LB50%)</w:t>
      </w:r>
      <w:r w:rsidRPr="003B6783">
        <w:rPr>
          <w:lang w:val="en-US"/>
        </w:rPr>
        <w:t xml:space="preserve"> assuming a sensitivity of 0.80. Vertical bars indicate uncertainty bounds derived from the null simulation (optimistic/pessimistic envelopes). </w:t>
      </w:r>
    </w:p>
    <w:p w14:paraId="48009252" w14:textId="77777777" w:rsidR="008D30EA" w:rsidRDefault="008D30EA" w:rsidP="00FE5D0C">
      <w:pPr>
        <w:spacing w:after="0" w:line="360" w:lineRule="auto"/>
        <w:rPr>
          <w:lang w:val="en-US"/>
        </w:rPr>
      </w:pPr>
    </w:p>
    <w:p w14:paraId="129E72A6" w14:textId="41C0F99A" w:rsidR="00075760" w:rsidRDefault="00075760" w:rsidP="00FE5D0C">
      <w:pPr>
        <w:spacing w:after="0" w:line="360" w:lineRule="auto"/>
        <w:rPr>
          <w:lang w:val="en-US"/>
        </w:rPr>
      </w:pPr>
      <w:r w:rsidRPr="00075760">
        <w:rPr>
          <w:b/>
          <w:bCs/>
          <w:lang w:val="en-US"/>
        </w:rPr>
        <w:t>Section 15: Consortia authors</w:t>
      </w:r>
    </w:p>
    <w:p w14:paraId="38A72A12" w14:textId="312D0CD7" w:rsidR="00075760" w:rsidRDefault="00075760" w:rsidP="00FE5D0C">
      <w:pPr>
        <w:spacing w:after="0" w:line="360" w:lineRule="auto"/>
        <w:rPr>
          <w:lang w:val="en-GB"/>
        </w:rPr>
      </w:pPr>
      <w:r w:rsidRPr="00075760">
        <w:rPr>
          <w:lang w:val="en-GB"/>
        </w:rPr>
        <w:t xml:space="preserve">Data used in preparation of this article were obtained from the Alzheimer’s Disease Neuroimaging Initiative (ADNI) database (adni.loni.usc.edu). As such, the investigators within </w:t>
      </w:r>
      <w:r w:rsidRPr="00075760">
        <w:rPr>
          <w:lang w:val="en-GB"/>
        </w:rPr>
        <w:lastRenderedPageBreak/>
        <w:t xml:space="preserve">the ADNI contributed to the design and implementation of ADNI and/or provided data but did not participate in analysis or writing of this report. A complete listing of ADNI investigators can be found at: </w:t>
      </w:r>
      <w:hyperlink r:id="rId68" w:history="1">
        <w:r w:rsidRPr="006C1C9E">
          <w:rPr>
            <w:rStyle w:val="Hyperkobling"/>
            <w:lang w:val="en-GB"/>
          </w:rPr>
          <w:t>http://adni.loni.usc.edu/wp-content/uploads/how_to_apply/ADNI_Acknowledgement_List.pdf</w:t>
        </w:r>
      </w:hyperlink>
    </w:p>
    <w:p w14:paraId="0FC654D3" w14:textId="77777777" w:rsidR="00075760" w:rsidRDefault="00075760" w:rsidP="00FE5D0C">
      <w:pPr>
        <w:spacing w:after="0" w:line="360" w:lineRule="auto"/>
        <w:rPr>
          <w:lang w:val="en-GB"/>
        </w:rPr>
      </w:pPr>
    </w:p>
    <w:p w14:paraId="2BC06C43" w14:textId="51798E0E" w:rsidR="00C347BC" w:rsidRPr="00C347BC" w:rsidRDefault="00C347BC" w:rsidP="00C347BC">
      <w:pPr>
        <w:spacing w:after="0" w:line="360" w:lineRule="auto"/>
        <w:rPr>
          <w:lang w:val="en-GB"/>
        </w:rPr>
      </w:pPr>
      <w:r w:rsidRPr="00C347BC">
        <w:rPr>
          <w:lang w:val="en-GB"/>
        </w:rPr>
        <w:t>The Health and Aging Brain Study (HABS-HD) Study Team:</w:t>
      </w:r>
    </w:p>
    <w:p w14:paraId="1DDA1121" w14:textId="3F4B97C3" w:rsidR="00075760" w:rsidRPr="00075760" w:rsidRDefault="00C347BC" w:rsidP="00C347BC">
      <w:pPr>
        <w:spacing w:after="0" w:line="360" w:lineRule="auto"/>
        <w:rPr>
          <w:lang w:val="en-GB"/>
        </w:rPr>
      </w:pPr>
      <w:r w:rsidRPr="00C347BC">
        <w:rPr>
          <w:lang w:val="en-GB"/>
        </w:rPr>
        <w:t xml:space="preserve">HABS-HD MPIs: Sid E O'Bryant, Kristine </w:t>
      </w:r>
      <w:proofErr w:type="spellStart"/>
      <w:r w:rsidRPr="00C347BC">
        <w:rPr>
          <w:lang w:val="en-GB"/>
        </w:rPr>
        <w:t>Yaffe</w:t>
      </w:r>
      <w:proofErr w:type="spellEnd"/>
      <w:r w:rsidRPr="00C347BC">
        <w:rPr>
          <w:lang w:val="en-GB"/>
        </w:rPr>
        <w:t xml:space="preserve">, Arthur Toga, Robert </w:t>
      </w:r>
      <w:proofErr w:type="spellStart"/>
      <w:r w:rsidRPr="00C347BC">
        <w:rPr>
          <w:lang w:val="en-GB"/>
        </w:rPr>
        <w:t>Rissman</w:t>
      </w:r>
      <w:proofErr w:type="spellEnd"/>
      <w:r w:rsidRPr="00C347BC">
        <w:rPr>
          <w:lang w:val="en-GB"/>
        </w:rPr>
        <w:t xml:space="preserve">, &amp; Leigh Johnson; and the HABS-HD Investigators: Meredith </w:t>
      </w:r>
      <w:proofErr w:type="spellStart"/>
      <w:r w:rsidRPr="00C347BC">
        <w:rPr>
          <w:lang w:val="en-GB"/>
        </w:rPr>
        <w:t>Braskie</w:t>
      </w:r>
      <w:proofErr w:type="spellEnd"/>
      <w:r w:rsidRPr="00C347BC">
        <w:rPr>
          <w:lang w:val="en-GB"/>
        </w:rPr>
        <w:t xml:space="preserve">, Kevin King, James R Hall, Melissa Petersen, Raymond Palmer, Robert Barber, </w:t>
      </w:r>
      <w:proofErr w:type="spellStart"/>
      <w:r w:rsidRPr="00C347BC">
        <w:rPr>
          <w:lang w:val="en-GB"/>
        </w:rPr>
        <w:t>Yonggang</w:t>
      </w:r>
      <w:proofErr w:type="spellEnd"/>
      <w:r w:rsidRPr="00C347BC">
        <w:rPr>
          <w:lang w:val="en-GB"/>
        </w:rPr>
        <w:t xml:space="preserve"> Shi, Fan Zhang, Rajesh Nandy, Roderick McColl, David Mason, Bradley Christian, Nicole Phillips, Stephanie Large, Joe Lee, Badri </w:t>
      </w:r>
      <w:proofErr w:type="spellStart"/>
      <w:r w:rsidRPr="00C347BC">
        <w:rPr>
          <w:lang w:val="en-GB"/>
        </w:rPr>
        <w:t>Vardarajan</w:t>
      </w:r>
      <w:proofErr w:type="spellEnd"/>
      <w:r w:rsidRPr="00C347BC">
        <w:rPr>
          <w:lang w:val="en-GB"/>
        </w:rPr>
        <w:t xml:space="preserve">, Monica Rivera </w:t>
      </w:r>
      <w:proofErr w:type="spellStart"/>
      <w:r w:rsidRPr="00C347BC">
        <w:rPr>
          <w:lang w:val="en-GB"/>
        </w:rPr>
        <w:t>Mindt</w:t>
      </w:r>
      <w:proofErr w:type="spellEnd"/>
      <w:r w:rsidRPr="00C347BC">
        <w:rPr>
          <w:lang w:val="en-GB"/>
        </w:rPr>
        <w:t xml:space="preserve">, Amrita Cheema, Lisa Barnes, Mark </w:t>
      </w:r>
      <w:proofErr w:type="spellStart"/>
      <w:r w:rsidRPr="00C347BC">
        <w:rPr>
          <w:lang w:val="en-GB"/>
        </w:rPr>
        <w:t>Mapstone</w:t>
      </w:r>
      <w:proofErr w:type="spellEnd"/>
      <w:r w:rsidRPr="00C347BC">
        <w:rPr>
          <w:lang w:val="en-GB"/>
        </w:rPr>
        <w:t xml:space="preserve">, Annie Cohen, Amy Kind, </w:t>
      </w:r>
      <w:proofErr w:type="spellStart"/>
      <w:r w:rsidRPr="00C347BC">
        <w:rPr>
          <w:lang w:val="en-GB"/>
        </w:rPr>
        <w:t>Ozioma</w:t>
      </w:r>
      <w:proofErr w:type="spellEnd"/>
      <w:r w:rsidRPr="00C347BC">
        <w:rPr>
          <w:lang w:val="en-GB"/>
        </w:rPr>
        <w:t xml:space="preserve"> Okonkwo, Raul </w:t>
      </w:r>
      <w:proofErr w:type="spellStart"/>
      <w:r w:rsidRPr="00C347BC">
        <w:rPr>
          <w:lang w:val="en-GB"/>
        </w:rPr>
        <w:t>Vintimilla</w:t>
      </w:r>
      <w:proofErr w:type="spellEnd"/>
      <w:r w:rsidRPr="00C347BC">
        <w:rPr>
          <w:lang w:val="en-GB"/>
        </w:rPr>
        <w:t xml:space="preserve">, </w:t>
      </w:r>
      <w:proofErr w:type="spellStart"/>
      <w:r w:rsidRPr="00C347BC">
        <w:rPr>
          <w:lang w:val="en-GB"/>
        </w:rPr>
        <w:t>Zhengyang</w:t>
      </w:r>
      <w:proofErr w:type="spellEnd"/>
      <w:r w:rsidRPr="00C347BC">
        <w:rPr>
          <w:lang w:val="en-GB"/>
        </w:rPr>
        <w:t xml:space="preserve"> Zhou, Michael Donohue, Rema Raman, Matthew </w:t>
      </w:r>
      <w:proofErr w:type="spellStart"/>
      <w:r w:rsidRPr="00C347BC">
        <w:rPr>
          <w:lang w:val="en-GB"/>
        </w:rPr>
        <w:t>Borzage</w:t>
      </w:r>
      <w:proofErr w:type="spellEnd"/>
      <w:r w:rsidRPr="00C347BC">
        <w:rPr>
          <w:lang w:val="en-GB"/>
        </w:rPr>
        <w:t xml:space="preserve">, Michelle Mielke, Beau </w:t>
      </w:r>
      <w:proofErr w:type="spellStart"/>
      <w:r w:rsidRPr="00C347BC">
        <w:rPr>
          <w:lang w:val="en-GB"/>
        </w:rPr>
        <w:t>Ances</w:t>
      </w:r>
      <w:proofErr w:type="spellEnd"/>
      <w:r w:rsidRPr="00C347BC">
        <w:rPr>
          <w:lang w:val="en-GB"/>
        </w:rPr>
        <w:t xml:space="preserve">, Ganesh Babulal, Jorge </w:t>
      </w:r>
      <w:proofErr w:type="spellStart"/>
      <w:r w:rsidRPr="00C347BC">
        <w:rPr>
          <w:lang w:val="en-GB"/>
        </w:rPr>
        <w:t>Llibre</w:t>
      </w:r>
      <w:proofErr w:type="spellEnd"/>
      <w:r w:rsidRPr="00C347BC">
        <w:rPr>
          <w:lang w:val="en-GB"/>
        </w:rPr>
        <w:t xml:space="preserve">-Guerra, Carl Hill and Rocky </w:t>
      </w:r>
      <w:proofErr w:type="spellStart"/>
      <w:r w:rsidRPr="00C347BC">
        <w:rPr>
          <w:lang w:val="en-GB"/>
        </w:rPr>
        <w:t>Vig</w:t>
      </w:r>
      <w:proofErr w:type="spellEnd"/>
      <w:r w:rsidRPr="00C347BC">
        <w:rPr>
          <w:lang w:val="en-GB"/>
        </w:rPr>
        <w:t>.</w:t>
      </w:r>
    </w:p>
    <w:sectPr w:rsidR="00075760" w:rsidRPr="00075760">
      <w:headerReference w:type="default" r:id="rId6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D949B0" w14:textId="77777777" w:rsidR="00293DA5" w:rsidRDefault="00293DA5" w:rsidP="00293DA5">
      <w:pPr>
        <w:spacing w:after="0" w:line="240" w:lineRule="auto"/>
      </w:pPr>
      <w:r>
        <w:separator/>
      </w:r>
    </w:p>
  </w:endnote>
  <w:endnote w:type="continuationSeparator" w:id="0">
    <w:p w14:paraId="1F4D5EDA" w14:textId="77777777" w:rsidR="00293DA5" w:rsidRDefault="00293DA5" w:rsidP="00293D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10EE22" w14:textId="77777777" w:rsidR="00293DA5" w:rsidRDefault="00293DA5" w:rsidP="00293DA5">
      <w:pPr>
        <w:spacing w:after="0" w:line="240" w:lineRule="auto"/>
      </w:pPr>
      <w:r>
        <w:separator/>
      </w:r>
    </w:p>
  </w:footnote>
  <w:footnote w:type="continuationSeparator" w:id="0">
    <w:p w14:paraId="7A93DA32" w14:textId="77777777" w:rsidR="00293DA5" w:rsidRDefault="00293DA5" w:rsidP="00293D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9545195"/>
      <w:docPartObj>
        <w:docPartGallery w:val="Page Numbers (Top of Page)"/>
        <w:docPartUnique/>
      </w:docPartObj>
    </w:sdtPr>
    <w:sdtEndPr/>
    <w:sdtContent>
      <w:p w14:paraId="3D3401C5" w14:textId="71D13A1E" w:rsidR="00293DA5" w:rsidRDefault="00293DA5">
        <w:pPr>
          <w:pStyle w:val="Topptekst"/>
          <w:jc w:val="right"/>
        </w:pPr>
        <w:r>
          <w:fldChar w:fldCharType="begin"/>
        </w:r>
        <w:r>
          <w:instrText>PAGE   \* MERGEFORMAT</w:instrText>
        </w:r>
        <w:r>
          <w:fldChar w:fldCharType="separate"/>
        </w:r>
        <w:r>
          <w:t>2</w:t>
        </w:r>
        <w:r>
          <w:fldChar w:fldCharType="end"/>
        </w:r>
      </w:p>
    </w:sdtContent>
  </w:sdt>
  <w:p w14:paraId="42A5E06B" w14:textId="77777777" w:rsidR="00293DA5" w:rsidRDefault="00293DA5">
    <w:pPr>
      <w:pStyle w:val="Top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62E2"/>
    <w:rsid w:val="00003264"/>
    <w:rsid w:val="00021D52"/>
    <w:rsid w:val="00050A46"/>
    <w:rsid w:val="00075760"/>
    <w:rsid w:val="000806E7"/>
    <w:rsid w:val="00085033"/>
    <w:rsid w:val="00096137"/>
    <w:rsid w:val="000B60E4"/>
    <w:rsid w:val="000C4DB0"/>
    <w:rsid w:val="001005B5"/>
    <w:rsid w:val="00124A14"/>
    <w:rsid w:val="0016761C"/>
    <w:rsid w:val="00185AF9"/>
    <w:rsid w:val="0018776E"/>
    <w:rsid w:val="001905AF"/>
    <w:rsid w:val="001B2735"/>
    <w:rsid w:val="001D1785"/>
    <w:rsid w:val="001E5683"/>
    <w:rsid w:val="001F5056"/>
    <w:rsid w:val="002033C7"/>
    <w:rsid w:val="00221FDB"/>
    <w:rsid w:val="00233C2E"/>
    <w:rsid w:val="00242E12"/>
    <w:rsid w:val="002826A8"/>
    <w:rsid w:val="002838E2"/>
    <w:rsid w:val="00291555"/>
    <w:rsid w:val="00292A68"/>
    <w:rsid w:val="00293DA5"/>
    <w:rsid w:val="002A3D40"/>
    <w:rsid w:val="002B4567"/>
    <w:rsid w:val="002C2C13"/>
    <w:rsid w:val="002D6791"/>
    <w:rsid w:val="002E47B4"/>
    <w:rsid w:val="00393B14"/>
    <w:rsid w:val="003955BE"/>
    <w:rsid w:val="003A21F4"/>
    <w:rsid w:val="003A3D11"/>
    <w:rsid w:val="003B6783"/>
    <w:rsid w:val="003D39FE"/>
    <w:rsid w:val="003F14D9"/>
    <w:rsid w:val="003F261A"/>
    <w:rsid w:val="003F513B"/>
    <w:rsid w:val="00420E78"/>
    <w:rsid w:val="004229AB"/>
    <w:rsid w:val="00423ED7"/>
    <w:rsid w:val="00441D9A"/>
    <w:rsid w:val="00444FF4"/>
    <w:rsid w:val="0045716A"/>
    <w:rsid w:val="00460A87"/>
    <w:rsid w:val="004659F0"/>
    <w:rsid w:val="004773AE"/>
    <w:rsid w:val="004A0275"/>
    <w:rsid w:val="004C6BDE"/>
    <w:rsid w:val="004F5D54"/>
    <w:rsid w:val="004F7349"/>
    <w:rsid w:val="00561D8D"/>
    <w:rsid w:val="005727E9"/>
    <w:rsid w:val="005776B2"/>
    <w:rsid w:val="00580B82"/>
    <w:rsid w:val="00585B63"/>
    <w:rsid w:val="00597E48"/>
    <w:rsid w:val="005E026B"/>
    <w:rsid w:val="006348E0"/>
    <w:rsid w:val="00647956"/>
    <w:rsid w:val="00647B49"/>
    <w:rsid w:val="00662587"/>
    <w:rsid w:val="00686127"/>
    <w:rsid w:val="006868F8"/>
    <w:rsid w:val="006871A2"/>
    <w:rsid w:val="006A1562"/>
    <w:rsid w:val="006B3898"/>
    <w:rsid w:val="006B594B"/>
    <w:rsid w:val="006E6A26"/>
    <w:rsid w:val="00765F54"/>
    <w:rsid w:val="007716FC"/>
    <w:rsid w:val="00773886"/>
    <w:rsid w:val="00780B84"/>
    <w:rsid w:val="007858C5"/>
    <w:rsid w:val="007A5451"/>
    <w:rsid w:val="007E591A"/>
    <w:rsid w:val="0080792C"/>
    <w:rsid w:val="008167FE"/>
    <w:rsid w:val="00827B19"/>
    <w:rsid w:val="0085068A"/>
    <w:rsid w:val="00855808"/>
    <w:rsid w:val="00863BBC"/>
    <w:rsid w:val="00894099"/>
    <w:rsid w:val="008D30EA"/>
    <w:rsid w:val="008D493B"/>
    <w:rsid w:val="008F5834"/>
    <w:rsid w:val="00903E35"/>
    <w:rsid w:val="009235FF"/>
    <w:rsid w:val="00943598"/>
    <w:rsid w:val="009660F7"/>
    <w:rsid w:val="00980CF4"/>
    <w:rsid w:val="00987D38"/>
    <w:rsid w:val="009B5EF3"/>
    <w:rsid w:val="009D0416"/>
    <w:rsid w:val="009F361F"/>
    <w:rsid w:val="009F579D"/>
    <w:rsid w:val="00A07A4D"/>
    <w:rsid w:val="00A260F2"/>
    <w:rsid w:val="00A43633"/>
    <w:rsid w:val="00A46A86"/>
    <w:rsid w:val="00AB53ED"/>
    <w:rsid w:val="00AB7F57"/>
    <w:rsid w:val="00B07203"/>
    <w:rsid w:val="00B11A53"/>
    <w:rsid w:val="00B16251"/>
    <w:rsid w:val="00B25685"/>
    <w:rsid w:val="00B45314"/>
    <w:rsid w:val="00B50423"/>
    <w:rsid w:val="00B75F05"/>
    <w:rsid w:val="00B817E0"/>
    <w:rsid w:val="00B941BA"/>
    <w:rsid w:val="00B969DC"/>
    <w:rsid w:val="00BB33E5"/>
    <w:rsid w:val="00BB4BF5"/>
    <w:rsid w:val="00BD23B7"/>
    <w:rsid w:val="00BF5D9F"/>
    <w:rsid w:val="00C07F1C"/>
    <w:rsid w:val="00C20F3A"/>
    <w:rsid w:val="00C347BC"/>
    <w:rsid w:val="00C44B64"/>
    <w:rsid w:val="00C52D43"/>
    <w:rsid w:val="00C67AEB"/>
    <w:rsid w:val="00C75CC6"/>
    <w:rsid w:val="00C9302B"/>
    <w:rsid w:val="00CC20BB"/>
    <w:rsid w:val="00CE341F"/>
    <w:rsid w:val="00CE7C81"/>
    <w:rsid w:val="00D055A2"/>
    <w:rsid w:val="00D133FD"/>
    <w:rsid w:val="00D56D83"/>
    <w:rsid w:val="00DA488E"/>
    <w:rsid w:val="00DA5EF7"/>
    <w:rsid w:val="00DC618D"/>
    <w:rsid w:val="00DC6A18"/>
    <w:rsid w:val="00E45D51"/>
    <w:rsid w:val="00E46299"/>
    <w:rsid w:val="00E50AAF"/>
    <w:rsid w:val="00E962E2"/>
    <w:rsid w:val="00EC59C4"/>
    <w:rsid w:val="00ED2118"/>
    <w:rsid w:val="00EF5F54"/>
    <w:rsid w:val="00F128E7"/>
    <w:rsid w:val="00F17305"/>
    <w:rsid w:val="00F202E1"/>
    <w:rsid w:val="00F25345"/>
    <w:rsid w:val="00FE2A79"/>
    <w:rsid w:val="00FE5D0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48F319"/>
  <w15:chartTrackingRefBased/>
  <w15:docId w15:val="{99D1C8F7-35F2-49F0-BA68-DC17D6B9E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62E2"/>
  </w:style>
  <w:style w:type="paragraph" w:styleId="Overskrift1">
    <w:name w:val="heading 1"/>
    <w:basedOn w:val="Normal"/>
    <w:next w:val="Normal"/>
    <w:link w:val="Overskrift1Tegn"/>
    <w:uiPriority w:val="9"/>
    <w:qFormat/>
    <w:rsid w:val="00E962E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E962E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E962E2"/>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E962E2"/>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E962E2"/>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E962E2"/>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E962E2"/>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E962E2"/>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E962E2"/>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E962E2"/>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semiHidden/>
    <w:rsid w:val="00E962E2"/>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semiHidden/>
    <w:rsid w:val="00E962E2"/>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semiHidden/>
    <w:rsid w:val="00E962E2"/>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E962E2"/>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E962E2"/>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E962E2"/>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E962E2"/>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E962E2"/>
    <w:rPr>
      <w:rFonts w:eastAsiaTheme="majorEastAsia" w:cstheme="majorBidi"/>
      <w:color w:val="272727" w:themeColor="text1" w:themeTint="D8"/>
    </w:rPr>
  </w:style>
  <w:style w:type="paragraph" w:styleId="Tittel">
    <w:name w:val="Title"/>
    <w:basedOn w:val="Normal"/>
    <w:next w:val="Normal"/>
    <w:link w:val="TittelTegn"/>
    <w:uiPriority w:val="10"/>
    <w:qFormat/>
    <w:rsid w:val="00E962E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E962E2"/>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E962E2"/>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E962E2"/>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E962E2"/>
    <w:pPr>
      <w:spacing w:before="160"/>
      <w:jc w:val="center"/>
    </w:pPr>
    <w:rPr>
      <w:i/>
      <w:iCs/>
      <w:color w:val="404040" w:themeColor="text1" w:themeTint="BF"/>
    </w:rPr>
  </w:style>
  <w:style w:type="character" w:customStyle="1" w:styleId="SitatTegn">
    <w:name w:val="Sitat Tegn"/>
    <w:basedOn w:val="Standardskriftforavsnitt"/>
    <w:link w:val="Sitat"/>
    <w:uiPriority w:val="29"/>
    <w:rsid w:val="00E962E2"/>
    <w:rPr>
      <w:i/>
      <w:iCs/>
      <w:color w:val="404040" w:themeColor="text1" w:themeTint="BF"/>
    </w:rPr>
  </w:style>
  <w:style w:type="paragraph" w:styleId="Listeavsnitt">
    <w:name w:val="List Paragraph"/>
    <w:basedOn w:val="Normal"/>
    <w:uiPriority w:val="34"/>
    <w:qFormat/>
    <w:rsid w:val="00E962E2"/>
    <w:pPr>
      <w:ind w:left="720"/>
      <w:contextualSpacing/>
    </w:pPr>
  </w:style>
  <w:style w:type="character" w:styleId="Sterkutheving">
    <w:name w:val="Intense Emphasis"/>
    <w:basedOn w:val="Standardskriftforavsnitt"/>
    <w:uiPriority w:val="21"/>
    <w:qFormat/>
    <w:rsid w:val="00E962E2"/>
    <w:rPr>
      <w:i/>
      <w:iCs/>
      <w:color w:val="0F4761" w:themeColor="accent1" w:themeShade="BF"/>
    </w:rPr>
  </w:style>
  <w:style w:type="paragraph" w:styleId="Sterktsitat">
    <w:name w:val="Intense Quote"/>
    <w:basedOn w:val="Normal"/>
    <w:next w:val="Normal"/>
    <w:link w:val="SterktsitatTegn"/>
    <w:uiPriority w:val="30"/>
    <w:qFormat/>
    <w:rsid w:val="00E962E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E962E2"/>
    <w:rPr>
      <w:i/>
      <w:iCs/>
      <w:color w:val="0F4761" w:themeColor="accent1" w:themeShade="BF"/>
    </w:rPr>
  </w:style>
  <w:style w:type="character" w:styleId="Sterkreferanse">
    <w:name w:val="Intense Reference"/>
    <w:basedOn w:val="Standardskriftforavsnitt"/>
    <w:uiPriority w:val="32"/>
    <w:qFormat/>
    <w:rsid w:val="00E962E2"/>
    <w:rPr>
      <w:b/>
      <w:bCs/>
      <w:smallCaps/>
      <w:color w:val="0F4761" w:themeColor="accent1" w:themeShade="BF"/>
      <w:spacing w:val="5"/>
    </w:rPr>
  </w:style>
  <w:style w:type="paragraph" w:styleId="NormalWeb">
    <w:name w:val="Normal (Web)"/>
    <w:basedOn w:val="Normal"/>
    <w:uiPriority w:val="99"/>
    <w:unhideWhenUsed/>
    <w:rsid w:val="00003264"/>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Topptekst">
    <w:name w:val="header"/>
    <w:basedOn w:val="Normal"/>
    <w:link w:val="TopptekstTegn"/>
    <w:uiPriority w:val="99"/>
    <w:unhideWhenUsed/>
    <w:rsid w:val="00293DA5"/>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293DA5"/>
  </w:style>
  <w:style w:type="paragraph" w:styleId="Bunntekst">
    <w:name w:val="footer"/>
    <w:basedOn w:val="Normal"/>
    <w:link w:val="BunntekstTegn"/>
    <w:uiPriority w:val="99"/>
    <w:unhideWhenUsed/>
    <w:rsid w:val="00293DA5"/>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293DA5"/>
  </w:style>
  <w:style w:type="table" w:styleId="Tabellrutenett">
    <w:name w:val="Table Grid"/>
    <w:basedOn w:val="Vanligtabell"/>
    <w:uiPriority w:val="39"/>
    <w:rsid w:val="00780B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kobling">
    <w:name w:val="Hyperlink"/>
    <w:basedOn w:val="Standardskriftforavsnitt"/>
    <w:uiPriority w:val="99"/>
    <w:unhideWhenUsed/>
    <w:rsid w:val="006B3898"/>
    <w:rPr>
      <w:color w:val="467886" w:themeColor="hyperlink"/>
      <w:u w:val="single"/>
    </w:rPr>
  </w:style>
  <w:style w:type="table" w:styleId="Vanligtabell5">
    <w:name w:val="Plain Table 5"/>
    <w:basedOn w:val="Vanligtabell"/>
    <w:uiPriority w:val="45"/>
    <w:rsid w:val="006B3898"/>
    <w:pPr>
      <w:autoSpaceDN w:val="0"/>
      <w:spacing w:after="0" w:line="240" w:lineRule="auto"/>
    </w:pPr>
    <w:rPr>
      <w:rFonts w:ascii="Calibri" w:eastAsia="Calibri" w:hAnsi="Calibri" w:cs="Times New Roma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Utheving">
    <w:name w:val="Emphasis"/>
    <w:basedOn w:val="Standardskriftforavsnitt"/>
    <w:uiPriority w:val="20"/>
    <w:qFormat/>
    <w:rsid w:val="00A260F2"/>
    <w:rPr>
      <w:i/>
      <w:iCs/>
    </w:rPr>
  </w:style>
  <w:style w:type="character" w:customStyle="1" w:styleId="extlink-nobreak">
    <w:name w:val="extlink-nobreak"/>
    <w:basedOn w:val="Standardskriftforavsnitt"/>
    <w:rsid w:val="00A260F2"/>
  </w:style>
  <w:style w:type="character" w:styleId="Ulstomtale">
    <w:name w:val="Unresolved Mention"/>
    <w:basedOn w:val="Standardskriftforavsnitt"/>
    <w:uiPriority w:val="99"/>
    <w:semiHidden/>
    <w:unhideWhenUsed/>
    <w:rsid w:val="00773886"/>
    <w:rPr>
      <w:color w:val="605E5C"/>
      <w:shd w:val="clear" w:color="auto" w:fill="E1DFDD"/>
    </w:rPr>
  </w:style>
  <w:style w:type="character" w:styleId="Merknadsreferanse">
    <w:name w:val="annotation reference"/>
    <w:basedOn w:val="Standardskriftforavsnitt"/>
    <w:uiPriority w:val="99"/>
    <w:semiHidden/>
    <w:unhideWhenUsed/>
    <w:rsid w:val="00773886"/>
    <w:rPr>
      <w:sz w:val="16"/>
      <w:szCs w:val="16"/>
    </w:rPr>
  </w:style>
  <w:style w:type="paragraph" w:styleId="Merknadstekst">
    <w:name w:val="annotation text"/>
    <w:basedOn w:val="Normal"/>
    <w:link w:val="MerknadstekstTegn"/>
    <w:uiPriority w:val="99"/>
    <w:unhideWhenUsed/>
    <w:rsid w:val="00773886"/>
    <w:pPr>
      <w:spacing w:line="240" w:lineRule="auto"/>
    </w:pPr>
    <w:rPr>
      <w:sz w:val="20"/>
      <w:szCs w:val="20"/>
    </w:rPr>
  </w:style>
  <w:style w:type="character" w:customStyle="1" w:styleId="MerknadstekstTegn">
    <w:name w:val="Merknadstekst Tegn"/>
    <w:basedOn w:val="Standardskriftforavsnitt"/>
    <w:link w:val="Merknadstekst"/>
    <w:uiPriority w:val="99"/>
    <w:rsid w:val="00773886"/>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751932">
      <w:bodyDiv w:val="1"/>
      <w:marLeft w:val="0"/>
      <w:marRight w:val="0"/>
      <w:marTop w:val="0"/>
      <w:marBottom w:val="0"/>
      <w:divBdr>
        <w:top w:val="none" w:sz="0" w:space="0" w:color="auto"/>
        <w:left w:val="none" w:sz="0" w:space="0" w:color="auto"/>
        <w:bottom w:val="none" w:sz="0" w:space="0" w:color="auto"/>
        <w:right w:val="none" w:sz="0" w:space="0" w:color="auto"/>
      </w:divBdr>
    </w:div>
    <w:div w:id="594827339">
      <w:bodyDiv w:val="1"/>
      <w:marLeft w:val="0"/>
      <w:marRight w:val="0"/>
      <w:marTop w:val="0"/>
      <w:marBottom w:val="0"/>
      <w:divBdr>
        <w:top w:val="none" w:sz="0" w:space="0" w:color="auto"/>
        <w:left w:val="none" w:sz="0" w:space="0" w:color="auto"/>
        <w:bottom w:val="none" w:sz="0" w:space="0" w:color="auto"/>
        <w:right w:val="none" w:sz="0" w:space="0" w:color="auto"/>
      </w:divBdr>
    </w:div>
    <w:div w:id="1090850905">
      <w:bodyDiv w:val="1"/>
      <w:marLeft w:val="0"/>
      <w:marRight w:val="0"/>
      <w:marTop w:val="0"/>
      <w:marBottom w:val="0"/>
      <w:divBdr>
        <w:top w:val="none" w:sz="0" w:space="0" w:color="auto"/>
        <w:left w:val="none" w:sz="0" w:space="0" w:color="auto"/>
        <w:bottom w:val="none" w:sz="0" w:space="0" w:color="auto"/>
        <w:right w:val="none" w:sz="0" w:space="0" w:color="auto"/>
      </w:divBdr>
    </w:div>
    <w:div w:id="1521551004">
      <w:bodyDiv w:val="1"/>
      <w:marLeft w:val="0"/>
      <w:marRight w:val="0"/>
      <w:marTop w:val="0"/>
      <w:marBottom w:val="0"/>
      <w:divBdr>
        <w:top w:val="none" w:sz="0" w:space="0" w:color="auto"/>
        <w:left w:val="none" w:sz="0" w:space="0" w:color="auto"/>
        <w:bottom w:val="none" w:sz="0" w:space="0" w:color="auto"/>
        <w:right w:val="none" w:sz="0" w:space="0" w:color="auto"/>
      </w:divBdr>
    </w:div>
    <w:div w:id="1669358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dni.loni.usc.edu/" TargetMode="External"/><Relationship Id="rId21" Type="http://schemas.openxmlformats.org/officeDocument/2006/relationships/image" Target="media/image16.png"/><Relationship Id="rId42" Type="http://schemas.openxmlformats.org/officeDocument/2006/relationships/hyperlink" Target="https://www.oasis-brains.org/" TargetMode="External"/><Relationship Id="rId47" Type="http://schemas.openxmlformats.org/officeDocument/2006/relationships/hyperlink" Target="https://wrap.wisc.edu/" TargetMode="External"/><Relationship Id="rId63" Type="http://schemas.openxmlformats.org/officeDocument/2006/relationships/hyperlink" Target="http://adni.loni.usc.edu/wp-content/uploads/how_to_apply/ADNI_Acknowledgement_List.pdf" TargetMode="External"/><Relationship Id="rId68" Type="http://schemas.openxmlformats.org/officeDocument/2006/relationships/hyperlink" Target="http://adni.loni.usc.edu/wp-content/uploads/how_to_apply/ADNI_Acknowledgement_List.pdf" TargetMode="External"/><Relationship Id="rId7" Type="http://schemas.openxmlformats.org/officeDocument/2006/relationships/image" Target="media/image2.png"/><Relationship Id="rId71"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hyperlink" Target="http://www.ufbi.umu.se/english" TargetMode="Externa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hyperlink" Target="mailto:a.m.fjell@psykologi.uio.no" TargetMode="External"/><Relationship Id="rId37" Type="http://schemas.openxmlformats.org/officeDocument/2006/relationships/hyperlink" Target="mailto:andersmf@psykologi.uio.no" TargetMode="External"/><Relationship Id="rId40" Type="http://schemas.openxmlformats.org/officeDocument/2006/relationships/hyperlink" Target="mailto:pjlamontagne@wustl.edu" TargetMode="External"/><Relationship Id="rId45" Type="http://schemas.openxmlformats.org/officeDocument/2006/relationships/hyperlink" Target="mailto:ennifer.tremblay-mercier@douglas.mcgill.ca" TargetMode="External"/><Relationship Id="rId53" Type="http://schemas.openxmlformats.org/officeDocument/2006/relationships/hyperlink" Target="mailto:jack.clifford@mayo.edu" TargetMode="External"/><Relationship Id="rId58" Type="http://schemas.openxmlformats.org/officeDocument/2006/relationships/hyperlink" Target="https://aibl.csiro.au/research/" TargetMode="External"/><Relationship Id="rId66" Type="http://schemas.openxmlformats.org/officeDocument/2006/relationships/image" Target="media/image21.png"/><Relationship Id="rId5" Type="http://schemas.openxmlformats.org/officeDocument/2006/relationships/endnotes" Target="endnotes.xml"/><Relationship Id="rId61" Type="http://schemas.openxmlformats.org/officeDocument/2006/relationships/hyperlink" Target="http://www.share-eric.eu" TargetMode="Externa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hyperlink" Target="mailto:michael.weiner@ucsf.edu" TargetMode="External"/><Relationship Id="rId30" Type="http://schemas.openxmlformats.org/officeDocument/2006/relationships/hyperlink" Target="mailto:lars.nyberg@umu.se" TargetMode="External"/><Relationship Id="rId35" Type="http://schemas.openxmlformats.org/officeDocument/2006/relationships/hyperlink" Target="mailto:habs@mgh.harvard.edu" TargetMode="External"/><Relationship Id="rId43" Type="http://schemas.openxmlformats.org/officeDocument/2006/relationships/hyperlink" Target="https://prevent-alzheimer.net/?page_id=42&amp;lang=en" TargetMode="External"/><Relationship Id="rId48" Type="http://schemas.openxmlformats.org/officeDocument/2006/relationships/hyperlink" Target="mailto:wrap@medicine.wisc.edu" TargetMode="External"/><Relationship Id="rId56" Type="http://schemas.openxmlformats.org/officeDocument/2006/relationships/hyperlink" Target="mailto:ferruccilu@grc.nia.nih.gov" TargetMode="External"/><Relationship Id="rId64" Type="http://schemas.openxmlformats.org/officeDocument/2006/relationships/hyperlink" Target="http://www.aibl.csiro.au" TargetMode="External"/><Relationship Id="rId69" Type="http://schemas.openxmlformats.org/officeDocument/2006/relationships/header" Target="header1.xml"/><Relationship Id="rId8" Type="http://schemas.openxmlformats.org/officeDocument/2006/relationships/image" Target="media/image3.png"/><Relationship Id="rId51" Type="http://schemas.openxmlformats.org/officeDocument/2006/relationships/hyperlink" Target="https://www.google.com/search?q=mcsaadrcdatasharing%40mayo.edu&amp;client=firefox-b-d&amp;hs=b5TU&amp;sca_esv=e373368215e95de4&amp;channel=entpr&amp;sxsrf=ANbL-n4x9dLs7EYYukrU2ozGrkEy63vVqw%3A1768222281876&amp;ei=Se5kaY-gNarYwPAP4euuqQo&amp;ved=2ahUKEwj7mYurhYaSAxXfSFUIHXL1ID4QgK4QegQIBRAB&amp;uact=5&amp;oq=MCSA+study+contact+us+mayo&amp;gs_lp=Egxnd3Mtd2l6LXNlcnAiGk1DU0Egc3R1ZHkgY29udGFjdCB1cyBtYXlvMgUQIRigATIFECEYoAEyBRAhGKABSOwMUJQHWJILcAF4AZABAJgBcaABigOqAQM0LjG4AQPIAQD4AQGYAgagAqIDwgIKEAAYRxjWBBiwA5gDAIgGAZAGApIHAzUuMaAHhw2yBwM0LjG4B50DwgcDMC42yAcKgAgB&amp;sclient=gws-wiz-serp&amp;mstk=AUtExfC4Fxtg3K_M7WKx04yfX0bpl99xkUWFgR0f-PFpP7F8C5qNPWGd-UTXzzSXDvFnNHcozWw4sKCveIm3PbYPuDKBabWfP_HU3H1JRZRd0H2qV8scU0oJIuCLM63HZgywUH5lJSdPJ3BlV8EooOh6WQGGcTwYTDNYC9s30tUapHYwYN0KoCU_vT-7m457YPvlv3M92AFcESk0L7k_T10QqK9G3eoK2jEcCUe8lS2NF08TQM5kmY4_2bIXWiUd68YOAJhL9fKkzxwaV8g2OU5ElZGB&amp;csui=3" TargetMode="External"/><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hyperlink" Target="https://habs.mgh.harvard.edu" TargetMode="External"/><Relationship Id="rId38" Type="http://schemas.openxmlformats.org/officeDocument/2006/relationships/hyperlink" Target="mailto:k.b.walhovd@psykologi.uio.no" TargetMode="External"/><Relationship Id="rId46" Type="http://schemas.openxmlformats.org/officeDocument/2006/relationships/hyperlink" Target="https://openpreventad.loris.ca/contact/" TargetMode="External"/><Relationship Id="rId59" Type="http://schemas.openxmlformats.org/officeDocument/2006/relationships/hyperlink" Target="mailto:christopher.rowe@austin.org.au" TargetMode="External"/><Relationship Id="rId67" Type="http://schemas.openxmlformats.org/officeDocument/2006/relationships/image" Target="media/image22.png"/><Relationship Id="rId20" Type="http://schemas.openxmlformats.org/officeDocument/2006/relationships/image" Target="media/image15.png"/><Relationship Id="rId41" Type="http://schemas.openxmlformats.org/officeDocument/2006/relationships/hyperlink" Target="mailto:dmarcus@wustl.edu" TargetMode="External"/><Relationship Id="rId54" Type="http://schemas.openxmlformats.org/officeDocument/2006/relationships/hyperlink" Target="https://www.blsa.nih.gov/" TargetMode="External"/><Relationship Id="rId62" Type="http://schemas.openxmlformats.org/officeDocument/2006/relationships/hyperlink" Target="https://adni.loni.usc.edu/" TargetMode="External"/><Relationship Id="rId7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hyperlink" Target="mailto:ida@loni.usc.edu" TargetMode="External"/><Relationship Id="rId36" Type="http://schemas.openxmlformats.org/officeDocument/2006/relationships/hyperlink" Target="http://lcbc.uio.no" TargetMode="External"/><Relationship Id="rId49" Type="http://schemas.openxmlformats.org/officeDocument/2006/relationships/hyperlink" Target="mailto:scj@medicine.wisc.edu" TargetMode="External"/><Relationship Id="rId57" Type="http://schemas.openxmlformats.org/officeDocument/2006/relationships/hyperlink" Target="mailto:resnicks@grc.nia.nih.gov" TargetMode="External"/><Relationship Id="rId10" Type="http://schemas.openxmlformats.org/officeDocument/2006/relationships/image" Target="media/image5.png"/><Relationship Id="rId31" Type="http://schemas.openxmlformats.org/officeDocument/2006/relationships/hyperlink" Target="https://www.med.uio.no/klinmed/english/research/groups/delirium/index.html" TargetMode="External"/><Relationship Id="rId44" Type="http://schemas.openxmlformats.org/officeDocument/2006/relationships/hyperlink" Target="https://openpreventad.loris.ca/" TargetMode="External"/><Relationship Id="rId52" Type="http://schemas.openxmlformats.org/officeDocument/2006/relationships/hyperlink" Target="https://neurodegenerationresearch.eu/cohort/the-mayo-clinic-study-of-aging/peter8@mayo.edu" TargetMode="External"/><Relationship Id="rId60" Type="http://schemas.openxmlformats.org/officeDocument/2006/relationships/hyperlink" Target="http://www.aibl.csiro.au/" TargetMode="External"/><Relationship Id="rId65" Type="http://schemas.openxmlformats.org/officeDocument/2006/relationships/hyperlink" Target="http://www.douglas.qc.ca/" TargetMode="External"/><Relationship Id="rId4" Type="http://schemas.openxmlformats.org/officeDocument/2006/relationships/footnotes" Target="footnote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hyperlink" Target="https://www.oasis-brains.org/" TargetMode="External"/><Relationship Id="rId34" Type="http://schemas.openxmlformats.org/officeDocument/2006/relationships/hyperlink" Target="mailto:reisa@rics.bwh.harvard.edu" TargetMode="External"/><Relationship Id="rId50" Type="http://schemas.openxmlformats.org/officeDocument/2006/relationships/hyperlink" Target="https://www.gaaindata.org/partner/MCSA" TargetMode="External"/><Relationship Id="rId55" Type="http://schemas.openxmlformats.org/officeDocument/2006/relationships/hyperlink" Target="mailto:BLSAData@mail.nih.gov"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1540</TotalTime>
  <Pages>35</Pages>
  <Words>12570</Words>
  <Characters>66623</Characters>
  <Application>Microsoft Office Word</Application>
  <DocSecurity>0</DocSecurity>
  <Lines>555</Lines>
  <Paragraphs>158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79035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 Martin Fjell</dc:creator>
  <cp:keywords/>
  <dc:description/>
  <cp:lastModifiedBy>Anders Martin Fjell</cp:lastModifiedBy>
  <cp:revision>122</cp:revision>
  <dcterms:created xsi:type="dcterms:W3CDTF">2025-11-21T06:51:00Z</dcterms:created>
  <dcterms:modified xsi:type="dcterms:W3CDTF">2026-01-23T06:48:00Z</dcterms:modified>
</cp:coreProperties>
</file>