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Times New Roman" w:hAnsi="Times New Roman"/>
          <w:b/>
          <w:bCs w:val="0"/>
          <w:sz w:val="36"/>
          <w:szCs w:val="36"/>
        </w:rPr>
      </w:pPr>
      <w:r>
        <w:rPr>
          <w:rFonts w:hint="eastAsia" w:ascii="Times New Roman" w:hAnsi="Times New Roman"/>
          <w:b/>
          <w:bCs w:val="0"/>
          <w:sz w:val="36"/>
          <w:szCs w:val="36"/>
        </w:rPr>
        <w:t>Prediction of COVID-19 prognosis by heterogeneity analysis based on chest CT scans</w:t>
      </w:r>
    </w:p>
    <w:p>
      <w:pPr>
        <w:spacing w:line="360" w:lineRule="auto"/>
        <w:rPr>
          <w:rFonts w:ascii="Times New Roman" w:hAnsi="Times New Roman" w:cs="Times New Roman"/>
          <w:b/>
          <w:sz w:val="22"/>
          <w:szCs w:val="24"/>
          <w:lang w:val="zh-CN"/>
        </w:rPr>
      </w:pPr>
    </w:p>
    <w:p>
      <w:pPr>
        <w:pStyle w:val="4"/>
        <w:spacing w:line="360" w:lineRule="auto"/>
        <w:jc w:val="both"/>
        <w:rPr>
          <w:rFonts w:ascii="Times New Roman" w:hAnsi="Times New Roman"/>
          <w:sz w:val="24"/>
          <w:szCs w:val="36"/>
          <w:lang w:eastAsia="zh-CN"/>
        </w:rPr>
      </w:pPr>
      <w:bookmarkStart w:id="0" w:name="_Hlk500610973"/>
      <w:r>
        <w:rPr>
          <w:rFonts w:ascii="Times New Roman" w:hAnsi="Times New Roman"/>
          <w:sz w:val="24"/>
          <w:szCs w:val="36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6665595</wp:posOffset>
            </wp:positionH>
            <wp:positionV relativeFrom="paragraph">
              <wp:posOffset>202565</wp:posOffset>
            </wp:positionV>
            <wp:extent cx="96520" cy="76200"/>
            <wp:effectExtent l="0" t="0" r="17780" b="0"/>
            <wp:wrapNone/>
            <wp:docPr id="3" name="图片 3" descr="re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resource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/>
          <w:sz w:val="24"/>
          <w:szCs w:val="36"/>
          <w:lang w:eastAsia="zh-CN"/>
        </w:rPr>
        <w:t>Bo Yang</w:t>
      </w:r>
      <w:r>
        <w:rPr>
          <w:rFonts w:hint="eastAsia" w:ascii="Times New Roman" w:hAnsi="Times New Roman"/>
          <w:sz w:val="24"/>
          <w:szCs w:val="36"/>
          <w:vertAlign w:val="superscript"/>
          <w:lang w:val="en-US" w:eastAsia="zh-CN"/>
        </w:rPr>
        <w:t>1,3</w:t>
      </w:r>
      <w:r>
        <w:rPr>
          <w:rFonts w:hint="eastAsia" w:ascii="Times New Roman" w:hAnsi="Times New Roman"/>
          <w:sz w:val="24"/>
          <w:szCs w:val="36"/>
          <w:lang w:eastAsia="zh-CN"/>
        </w:rPr>
        <w:t>，</w:t>
      </w:r>
      <w:r>
        <w:rPr>
          <w:rFonts w:hint="eastAsia" w:ascii="Times New Roman" w:hAnsi="Times New Roman"/>
          <w:sz w:val="24"/>
          <w:szCs w:val="36"/>
          <w:lang w:val="en-US" w:eastAsia="zh-CN"/>
        </w:rPr>
        <w:t>Bei Zhang</w:t>
      </w:r>
      <w:r>
        <w:rPr>
          <w:rFonts w:hint="eastAsia" w:ascii="Times New Roman" w:hAnsi="Times New Roman"/>
          <w:sz w:val="24"/>
          <w:szCs w:val="36"/>
          <w:vertAlign w:val="superscript"/>
          <w:lang w:val="en-US" w:eastAsia="zh-CN"/>
        </w:rPr>
        <w:t>2,3</w:t>
      </w:r>
      <w:r>
        <w:rPr>
          <w:rFonts w:hint="eastAsia" w:ascii="Times New Roman" w:hAnsi="Times New Roman"/>
          <w:sz w:val="24"/>
          <w:szCs w:val="36"/>
          <w:vertAlign w:val="baseline"/>
          <w:lang w:val="en-US" w:eastAsia="zh-CN"/>
        </w:rPr>
        <w:t>,</w:t>
      </w:r>
      <w:r>
        <w:rPr>
          <w:rFonts w:hint="eastAsia" w:ascii="Times New Roman" w:hAnsi="Times New Roman"/>
          <w:sz w:val="24"/>
          <w:szCs w:val="36"/>
          <w:lang w:eastAsia="zh-CN"/>
        </w:rPr>
        <w:t xml:space="preserve"> Jiani Zou</w:t>
      </w:r>
      <w:r>
        <w:rPr>
          <w:rFonts w:hint="eastAsia" w:ascii="Times New Roman" w:hAnsi="Times New Roman"/>
          <w:sz w:val="24"/>
          <w:szCs w:val="36"/>
          <w:vertAlign w:val="superscript"/>
          <w:lang w:val="en-US" w:eastAsia="zh-CN"/>
        </w:rPr>
        <w:t>1</w:t>
      </w:r>
      <w:r>
        <w:rPr>
          <w:rFonts w:hint="eastAsia" w:ascii="Times New Roman" w:hAnsi="Times New Roman"/>
          <w:sz w:val="24"/>
          <w:szCs w:val="36"/>
          <w:lang w:eastAsia="zh-CN"/>
        </w:rPr>
        <w:t>，Lichen Gao</w:t>
      </w:r>
      <w:r>
        <w:rPr>
          <w:rFonts w:hint="eastAsia" w:ascii="Times New Roman" w:hAnsi="Times New Roman"/>
          <w:sz w:val="24"/>
          <w:szCs w:val="36"/>
          <w:vertAlign w:val="superscript"/>
          <w:lang w:val="en-US" w:eastAsia="zh-CN"/>
        </w:rPr>
        <w:t>1</w:t>
      </w:r>
      <w:r>
        <w:rPr>
          <w:rFonts w:hint="eastAsia" w:ascii="Times New Roman" w:hAnsi="Times New Roman"/>
          <w:sz w:val="24"/>
          <w:szCs w:val="36"/>
          <w:lang w:eastAsia="zh-CN"/>
        </w:rPr>
        <w:t>，Jian Zhang</w:t>
      </w:r>
      <w:r>
        <w:rPr>
          <w:rFonts w:hint="eastAsia" w:ascii="Times New Roman" w:hAnsi="Times New Roman"/>
          <w:sz w:val="24"/>
          <w:szCs w:val="36"/>
          <w:vertAlign w:val="superscript"/>
          <w:lang w:val="en-US" w:eastAsia="zh-CN"/>
        </w:rPr>
        <w:t>1</w:t>
      </w:r>
      <w:r>
        <w:rPr>
          <w:rFonts w:hint="eastAsia" w:ascii="Times New Roman" w:hAnsi="Times New Roman"/>
          <w:sz w:val="24"/>
          <w:szCs w:val="36"/>
          <w:lang w:eastAsia="zh-CN"/>
        </w:rPr>
        <w:t>，Huaiming Qiu</w:t>
      </w:r>
      <w:r>
        <w:rPr>
          <w:rFonts w:hint="eastAsia" w:ascii="Times New Roman" w:hAnsi="Times New Roman"/>
          <w:b/>
          <w:bCs/>
          <w:sz w:val="24"/>
          <w:szCs w:val="36"/>
          <w:vertAlign w:val="superscript"/>
          <w:lang w:val="en-US" w:eastAsia="zh-CN"/>
        </w:rPr>
        <w:t>1,</w:t>
      </w:r>
      <w:r>
        <w:rPr>
          <w:rFonts w:hint="eastAsia" w:ascii="Times New Roman" w:hAnsi="Times New Roman"/>
          <w:sz w:val="24"/>
          <w:szCs w:val="36"/>
          <w:vertAlign w:val="superscript"/>
          <w:lang w:eastAsia="zh-CN"/>
        </w:rPr>
        <w:t>*</w:t>
      </w:r>
      <w:r>
        <w:rPr>
          <w:rFonts w:hint="eastAsia" w:ascii="Times New Roman" w:hAnsi="Times New Roman"/>
          <w:sz w:val="24"/>
          <w:szCs w:val="36"/>
          <w:lang w:eastAsia="zh-CN"/>
        </w:rPr>
        <w:t>，Wencai Huang</w:t>
      </w:r>
      <w:r>
        <w:rPr>
          <w:rFonts w:hint="eastAsia" w:ascii="Times New Roman" w:hAnsi="Times New Roman"/>
          <w:b/>
          <w:bCs/>
          <w:sz w:val="24"/>
          <w:szCs w:val="36"/>
          <w:vertAlign w:val="superscript"/>
          <w:lang w:val="en-US" w:eastAsia="zh-CN"/>
        </w:rPr>
        <w:t>1,</w:t>
      </w:r>
      <w:r>
        <w:rPr>
          <w:rFonts w:hint="eastAsia" w:ascii="Times New Roman" w:hAnsi="Times New Roman"/>
          <w:b/>
          <w:bCs/>
          <w:sz w:val="24"/>
          <w:szCs w:val="36"/>
          <w:vertAlign w:val="superscript"/>
          <w:lang w:eastAsia="zh-CN"/>
        </w:rPr>
        <w:t>*</w:t>
      </w:r>
      <w:r>
        <w:rPr>
          <w:rFonts w:ascii="Times New Roman" w:hAnsi="Times New Roman"/>
          <w:sz w:val="24"/>
          <w:szCs w:val="36"/>
          <w:lang w:eastAsia="zh-CN"/>
        </w:rPr>
        <w:t xml:space="preserve"> </w:t>
      </w:r>
      <w:bookmarkEnd w:id="0"/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hint="eastAsia"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materials</w:t>
      </w:r>
    </w:p>
    <w:p>
      <w:pPr>
        <w:rPr>
          <w:rFonts w:ascii="Times New Roman" w:hAnsi="Times New Roman" w:cs="Times New Roman"/>
        </w:rPr>
      </w:pPr>
    </w:p>
    <w:tbl>
      <w:tblPr>
        <w:tblStyle w:val="6"/>
        <w:tblW w:w="860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979"/>
        <w:gridCol w:w="1551"/>
        <w:gridCol w:w="943"/>
        <w:gridCol w:w="1073"/>
        <w:gridCol w:w="107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985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Parameters</w:t>
            </w:r>
          </w:p>
        </w:tc>
        <w:tc>
          <w:tcPr>
            <w:tcW w:w="197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76" w:lineRule="auto"/>
              <w:ind w:firstLine="210" w:firstLineChars="10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Specificity (%)</w:t>
            </w:r>
          </w:p>
        </w:tc>
        <w:tc>
          <w:tcPr>
            <w:tcW w:w="1551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Sensitivity (%)</w:t>
            </w:r>
          </w:p>
        </w:tc>
        <w:tc>
          <w:tcPr>
            <w:tcW w:w="94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hint="eastAsia" w:ascii="Times New Roman" w:hAnsi="Times New Roman" w:cs="Times New Roman"/>
                <w:i/>
              </w:rPr>
              <w:t>Cut</w:t>
            </w:r>
            <w:r>
              <w:rPr>
                <w:rFonts w:ascii="Times New Roman" w:hAnsi="Times New Roman" w:cs="Times New Roman"/>
                <w:i/>
              </w:rPr>
              <w:t>-off</w:t>
            </w:r>
          </w:p>
        </w:tc>
        <w:tc>
          <w:tcPr>
            <w:tcW w:w="107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hint="eastAsia" w:ascii="Times New Roman" w:hAnsi="Times New Roman" w:cs="Times New Roman"/>
                <w:i/>
              </w:rPr>
              <w:t>A</w:t>
            </w:r>
            <w:r>
              <w:rPr>
                <w:rFonts w:ascii="Times New Roman" w:hAnsi="Times New Roman" w:cs="Times New Roman"/>
                <w:i/>
              </w:rPr>
              <w:t>UC</w:t>
            </w:r>
          </w:p>
        </w:tc>
        <w:tc>
          <w:tcPr>
            <w:tcW w:w="107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hint="eastAsia"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  <w:i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single" w:color="auto" w:sz="12" w:space="0"/>
              <w:bottom w:val="nil"/>
              <w:right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CORE</w:t>
            </w:r>
          </w:p>
        </w:tc>
        <w:tc>
          <w:tcPr>
            <w:tcW w:w="1979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5</w:t>
            </w:r>
            <w:r>
              <w:rPr>
                <w:rFonts w:ascii="Times New Roman" w:hAnsi="Times New Roman" w:cs="Times New Roman"/>
                <w:sz w:val="18"/>
              </w:rPr>
              <w:t>6.52</w:t>
            </w:r>
          </w:p>
        </w:tc>
        <w:tc>
          <w:tcPr>
            <w:tcW w:w="1551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8</w:t>
            </w:r>
            <w:r>
              <w:rPr>
                <w:rFonts w:ascii="Times New Roman" w:hAnsi="Times New Roman" w:cs="Times New Roman"/>
                <w:sz w:val="18"/>
              </w:rPr>
              <w:t>8.24</w:t>
            </w:r>
          </w:p>
        </w:tc>
        <w:tc>
          <w:tcPr>
            <w:tcW w:w="94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.4476</w:t>
            </w:r>
          </w:p>
        </w:tc>
        <w:tc>
          <w:tcPr>
            <w:tcW w:w="107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.753</w:t>
            </w:r>
          </w:p>
        </w:tc>
        <w:tc>
          <w:tcPr>
            <w:tcW w:w="1073" w:type="dxa"/>
            <w:tcBorders>
              <w:top w:val="single" w:color="auto" w:sz="12" w:space="0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.0002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bottom w:val="nil"/>
              <w:right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GGO_kurtosis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8</w:t>
            </w:r>
            <w:r>
              <w:rPr>
                <w:rFonts w:ascii="Times New Roman" w:hAnsi="Times New Roman" w:cs="Times New Roman"/>
                <w:sz w:val="18"/>
              </w:rPr>
              <w:t>3.33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5</w:t>
            </w:r>
            <w:r>
              <w:rPr>
                <w:rFonts w:ascii="Times New Roman" w:hAnsi="Times New Roman" w:cs="Times New Roman"/>
                <w:sz w:val="18"/>
              </w:rPr>
              <w:t>0.00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.3333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.614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.1761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bottom w:val="nil"/>
              <w:right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GGO_skewness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6</w:t>
            </w:r>
            <w:r>
              <w:rPr>
                <w:rFonts w:ascii="Times New Roman" w:hAnsi="Times New Roman" w:cs="Times New Roman"/>
                <w:sz w:val="18"/>
              </w:rPr>
              <w:t>6.67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7</w:t>
            </w:r>
            <w:r>
              <w:rPr>
                <w:rFonts w:ascii="Times New Roman" w:hAnsi="Times New Roman" w:cs="Times New Roman"/>
                <w:sz w:val="18"/>
              </w:rPr>
              <w:t>8.12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.4479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.706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.0094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bottom w:val="nil"/>
              <w:right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GGO_mode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7</w:t>
            </w:r>
            <w:r>
              <w:rPr>
                <w:rFonts w:ascii="Times New Roman" w:hAnsi="Times New Roman" w:cs="Times New Roman"/>
                <w:sz w:val="18"/>
              </w:rPr>
              <w:t>7.78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5</w:t>
            </w:r>
            <w:r>
              <w:rPr>
                <w:rFonts w:ascii="Times New Roman" w:hAnsi="Times New Roman" w:cs="Times New Roman"/>
                <w:sz w:val="18"/>
              </w:rPr>
              <w:t>9.38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.3715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.707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.0059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bottom w:val="nil"/>
              <w:right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GGO_mean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8</w:t>
            </w:r>
            <w:r>
              <w:rPr>
                <w:rFonts w:ascii="Times New Roman" w:hAnsi="Times New Roman" w:cs="Times New Roman"/>
                <w:sz w:val="18"/>
              </w:rPr>
              <w:t>3.33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6</w:t>
            </w:r>
            <w:r>
              <w:rPr>
                <w:rFonts w:ascii="Times New Roman" w:hAnsi="Times New Roman" w:cs="Times New Roman"/>
                <w:sz w:val="18"/>
              </w:rPr>
              <w:t>2.5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.4583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.742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.0008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bottom w:val="nil"/>
              <w:right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CLO_kurtosis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6</w:t>
            </w:r>
            <w:r>
              <w:rPr>
                <w:rFonts w:ascii="Times New Roman" w:hAnsi="Times New Roman" w:cs="Times New Roman"/>
                <w:sz w:val="18"/>
              </w:rPr>
              <w:t>5.00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6</w:t>
            </w:r>
            <w:r>
              <w:rPr>
                <w:rFonts w:ascii="Times New Roman" w:hAnsi="Times New Roman" w:cs="Times New Roman"/>
                <w:sz w:val="18"/>
              </w:rPr>
              <w:t>5.38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.3038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.579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.3778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bottom w:val="nil"/>
              <w:right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CLO_skewness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4</w:t>
            </w:r>
            <w:r>
              <w:rPr>
                <w:rFonts w:ascii="Times New Roman" w:hAnsi="Times New Roman" w:cs="Times New Roman"/>
                <w:sz w:val="18"/>
              </w:rPr>
              <w:t>5.00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7</w:t>
            </w:r>
            <w:r>
              <w:rPr>
                <w:rFonts w:ascii="Times New Roman" w:hAnsi="Times New Roman" w:cs="Times New Roman"/>
                <w:sz w:val="18"/>
              </w:rPr>
              <w:t>3.08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.1808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.563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.4698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bottom w:val="nil"/>
              <w:right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CLO_mode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8</w:t>
            </w:r>
            <w:r>
              <w:rPr>
                <w:rFonts w:ascii="Times New Roman" w:hAnsi="Times New Roman" w:cs="Times New Roman"/>
                <w:sz w:val="18"/>
              </w:rPr>
              <w:t>0.00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5</w:t>
            </w:r>
            <w:r>
              <w:rPr>
                <w:rFonts w:ascii="Times New Roman" w:hAnsi="Times New Roman" w:cs="Times New Roman"/>
                <w:sz w:val="18"/>
              </w:rPr>
              <w:t>7.69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.3769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.680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.024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CLO_mean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70.00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76.92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0.4692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0.746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0</w:t>
            </w:r>
            <w:r>
              <w:rPr>
                <w:rFonts w:ascii="Times New Roman" w:hAnsi="Times New Roman" w:cs="Times New Roman"/>
                <w:sz w:val="18"/>
              </w:rPr>
              <w:t>.001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Table.S1</w:t>
      </w:r>
      <w:r>
        <w:rPr>
          <w:rFonts w:ascii="Times New Roman" w:hAnsi="Times New Roman" w:cs="Times New Roman"/>
        </w:rPr>
        <w:t xml:space="preserve"> Statistical values of histogram parameters for ROC analysis in COVID-19 patient classification (mild/moderate </w:t>
      </w:r>
      <w:r>
        <w:rPr>
          <w:rFonts w:ascii="Times New Roman" w:hAnsi="Times New Roman" w:cs="Times New Roman"/>
          <w:i/>
          <w:iCs/>
        </w:rPr>
        <w:t>vs</w:t>
      </w:r>
      <w:r>
        <w:rPr>
          <w:rFonts w:ascii="Times New Roman" w:hAnsi="Times New Roman" w:cs="Times New Roman"/>
        </w:rPr>
        <w:t xml:space="preserve"> severe type) GGO, ground-glass opacity; CLO, Consolidation opacity. *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&lt;0.05</w:t>
      </w:r>
    </w:p>
    <w:p>
      <w:pPr>
        <w:rPr>
          <w:rFonts w:ascii="Times New Roman" w:hAnsi="Times New Roman" w:cs="Times New Roman"/>
        </w:rPr>
      </w:pPr>
      <w:bookmarkStart w:id="1" w:name="_GoBack"/>
      <w:bookmarkEnd w:id="1"/>
    </w:p>
    <w:p>
      <w:pPr>
        <w:jc w:val="left"/>
        <w:rPr>
          <w:rFonts w:ascii="Times New Roman" w:hAnsi="Times New Roman" w:cs="Times New Roman"/>
        </w:rPr>
      </w:pPr>
    </w:p>
    <w:tbl>
      <w:tblPr>
        <w:tblStyle w:val="6"/>
        <w:tblW w:w="1143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268"/>
        <w:gridCol w:w="1701"/>
        <w:gridCol w:w="283"/>
        <w:gridCol w:w="1701"/>
        <w:gridCol w:w="2268"/>
        <w:gridCol w:w="12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985" w:type="dxa"/>
            <w:vMerge w:val="restart"/>
            <w:tcBorders>
              <w:top w:val="single" w:color="auto" w:sz="12" w:space="0"/>
            </w:tcBorders>
          </w:tcPr>
          <w:p>
            <w:pPr>
              <w:spacing w:line="600" w:lineRule="auto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Parameters</w:t>
            </w:r>
          </w:p>
        </w:tc>
        <w:tc>
          <w:tcPr>
            <w:tcW w:w="4252" w:type="dxa"/>
            <w:gridSpan w:val="3"/>
            <w:tcBorders>
              <w:top w:val="single" w:color="auto" w:sz="12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mean</w:t>
            </w: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±std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top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Odds ratio (OR)</w:t>
            </w:r>
          </w:p>
        </w:tc>
        <w:tc>
          <w:tcPr>
            <w:tcW w:w="2268" w:type="dxa"/>
            <w:vMerge w:val="restart"/>
            <w:tcBorders>
              <w:top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5% CI</w:t>
            </w:r>
          </w:p>
        </w:tc>
        <w:tc>
          <w:tcPr>
            <w:tcW w:w="1225" w:type="dxa"/>
            <w:vMerge w:val="restart"/>
            <w:tcBorders>
              <w:top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 xml:space="preserve"> 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985" w:type="dxa"/>
            <w:vMerge w:val="continue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Survival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（n=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42</w:t>
            </w: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）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Deceased</w:t>
            </w: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（n=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15</w:t>
            </w: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）</w:t>
            </w:r>
          </w:p>
        </w:tc>
        <w:tc>
          <w:tcPr>
            <w:tcW w:w="283" w:type="dxa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  <w:tc>
          <w:tcPr>
            <w:tcW w:w="2268" w:type="dxa"/>
            <w:vMerge w:val="continue"/>
            <w:tcBorders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  <w:tc>
          <w:tcPr>
            <w:tcW w:w="1225" w:type="dxa"/>
            <w:vMerge w:val="continue"/>
            <w:tcBorders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ge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62.33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18.50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75.47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16.99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.085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0.990 to 1.189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ender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/A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/A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10.716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0.546 to 210.351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GGO_kurtosis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3.50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1.10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3.18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0.81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.607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1.383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41.829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.02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GGO_skewness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0.35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0.52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0.11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.53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.122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0.019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0.773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ind w:firstLine="220" w:firstLineChars="10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.026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GGO_mode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.60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6.62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9.45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3.43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.566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1.425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8.925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.007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GGO_mean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9.25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6.17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9.55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2.59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.254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0.097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0.665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.005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CLO_kurtosis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.12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0.90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.92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0.40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.703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0.357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8.116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.504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CLO_skewness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-0.32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0.64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-0.05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0.35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.185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0.472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21.507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.234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CLO_mode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12.68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5.32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16.59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7.83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.609</w:t>
            </w:r>
          </w:p>
        </w:tc>
        <w:tc>
          <w:tcPr>
            <w:tcW w:w="2268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0.383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0.968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.036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single" w:color="auto" w:sz="12" w:space="0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CLO_mean</w:t>
            </w:r>
          </w:p>
        </w:tc>
        <w:tc>
          <w:tcPr>
            <w:tcW w:w="2268" w:type="dxa"/>
            <w:tcBorders>
              <w:top w:val="nil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11.55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5.11</w:t>
            </w:r>
          </w:p>
        </w:tc>
        <w:tc>
          <w:tcPr>
            <w:tcW w:w="1984" w:type="dxa"/>
            <w:gridSpan w:val="2"/>
            <w:tcBorders>
              <w:top w:val="nil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17.41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7.63</w:t>
            </w:r>
          </w:p>
        </w:tc>
        <w:tc>
          <w:tcPr>
            <w:tcW w:w="1701" w:type="dxa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.016</w:t>
            </w:r>
          </w:p>
        </w:tc>
        <w:tc>
          <w:tcPr>
            <w:tcW w:w="2268" w:type="dxa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1.206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3.371</w:t>
            </w:r>
          </w:p>
        </w:tc>
        <w:tc>
          <w:tcPr>
            <w:tcW w:w="1225" w:type="dxa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.007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*</w:t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Table.S2</w:t>
      </w:r>
      <w:r>
        <w:rPr>
          <w:rFonts w:ascii="Times New Roman" w:hAnsi="Times New Roman" w:cs="Times New Roman"/>
        </w:rPr>
        <w:t xml:space="preserve"> Statistical values of Cox survival model for histogram parameters in patients with COVID-19. GGO, ground-glass opacity; CLO, Consolidation opacity. *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</w:t>
      </w: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tbl>
      <w:tblPr>
        <w:tblStyle w:val="6"/>
        <w:tblW w:w="1143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268"/>
        <w:gridCol w:w="1701"/>
        <w:gridCol w:w="283"/>
        <w:gridCol w:w="2043"/>
        <w:gridCol w:w="1926"/>
        <w:gridCol w:w="12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985" w:type="dxa"/>
            <w:vMerge w:val="restart"/>
            <w:tcBorders>
              <w:top w:val="single" w:color="auto" w:sz="12" w:space="0"/>
            </w:tcBorders>
          </w:tcPr>
          <w:p>
            <w:pPr>
              <w:spacing w:line="600" w:lineRule="auto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Parameters</w:t>
            </w:r>
          </w:p>
        </w:tc>
        <w:tc>
          <w:tcPr>
            <w:tcW w:w="4252" w:type="dxa"/>
            <w:gridSpan w:val="3"/>
            <w:tcBorders>
              <w:top w:val="single" w:color="auto" w:sz="12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mean</w:t>
            </w: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±std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 xml:space="preserve"> </w:t>
            </w:r>
          </w:p>
        </w:tc>
        <w:tc>
          <w:tcPr>
            <w:tcW w:w="2043" w:type="dxa"/>
            <w:vMerge w:val="restart"/>
            <w:tcBorders>
              <w:top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 xml:space="preserve"> Odds ratio (OR)</w:t>
            </w:r>
          </w:p>
        </w:tc>
        <w:tc>
          <w:tcPr>
            <w:tcW w:w="1926" w:type="dxa"/>
            <w:vMerge w:val="restart"/>
            <w:tcBorders>
              <w:top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5% CI</w:t>
            </w:r>
          </w:p>
        </w:tc>
        <w:tc>
          <w:tcPr>
            <w:tcW w:w="1225" w:type="dxa"/>
            <w:vMerge w:val="restart"/>
            <w:tcBorders>
              <w:top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 xml:space="preserve"> 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985" w:type="dxa"/>
            <w:vMerge w:val="continue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Prolonged LOS</w:t>
            </w: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（n=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22</w:t>
            </w: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）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Normal LOS</w:t>
            </w: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（n=</w:t>
            </w:r>
            <w:r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  <w:t>20</w:t>
            </w:r>
            <w:r>
              <w:rPr>
                <w:rFonts w:hint="eastAsia" w:ascii="Times New Roman" w:hAnsi="Times New Roman" w:cs="Times New Roman"/>
                <w:b/>
                <w:bCs/>
                <w:i/>
                <w:sz w:val="22"/>
                <w:szCs w:val="24"/>
              </w:rPr>
              <w:t>）</w:t>
            </w:r>
          </w:p>
        </w:tc>
        <w:tc>
          <w:tcPr>
            <w:tcW w:w="283" w:type="dxa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  <w:tc>
          <w:tcPr>
            <w:tcW w:w="2043" w:type="dxa"/>
            <w:vMerge w:val="continue"/>
            <w:tcBorders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  <w:tc>
          <w:tcPr>
            <w:tcW w:w="1225" w:type="dxa"/>
            <w:vMerge w:val="continue"/>
            <w:tcBorders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ge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58.50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17.15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66.55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19.44</w:t>
            </w:r>
          </w:p>
        </w:tc>
        <w:tc>
          <w:tcPr>
            <w:tcW w:w="2043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0.972</w:t>
            </w:r>
          </w:p>
        </w:tc>
        <w:tc>
          <w:tcPr>
            <w:tcW w:w="1926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0.903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1.047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.455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ender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/A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/A</w:t>
            </w:r>
          </w:p>
        </w:tc>
        <w:tc>
          <w:tcPr>
            <w:tcW w:w="2043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.193</w:t>
            </w:r>
          </w:p>
        </w:tc>
        <w:tc>
          <w:tcPr>
            <w:tcW w:w="1926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0.153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9.277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.866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GGO_kurtosis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3.74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1.36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3.23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0.64</w:t>
            </w:r>
          </w:p>
        </w:tc>
        <w:tc>
          <w:tcPr>
            <w:tcW w:w="2043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.416</w:t>
            </w:r>
          </w:p>
        </w:tc>
        <w:tc>
          <w:tcPr>
            <w:tcW w:w="1926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0.041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4.184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.456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GGO_skewness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0.54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0.46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0.14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0.51</w:t>
            </w:r>
          </w:p>
        </w:tc>
        <w:tc>
          <w:tcPr>
            <w:tcW w:w="2043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13.927</w:t>
            </w:r>
          </w:p>
        </w:tc>
        <w:tc>
          <w:tcPr>
            <w:tcW w:w="1926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0.01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ab/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19484.806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ind w:firstLine="220" w:firstLineChars="10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.476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GGO_mode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9.12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7.83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8.03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5.12</w:t>
            </w:r>
          </w:p>
        </w:tc>
        <w:tc>
          <w:tcPr>
            <w:tcW w:w="2043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.290</w:t>
            </w:r>
          </w:p>
        </w:tc>
        <w:tc>
          <w:tcPr>
            <w:tcW w:w="1926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0.076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1.113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GGO_mean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9.67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7.39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8.79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4.63</w:t>
            </w:r>
          </w:p>
        </w:tc>
        <w:tc>
          <w:tcPr>
            <w:tcW w:w="2043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.155</w:t>
            </w:r>
          </w:p>
        </w:tc>
        <w:tc>
          <w:tcPr>
            <w:tcW w:w="1926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0.551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17.613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.199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CLO_kurtosis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3.25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1.158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2.95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0.44</w:t>
            </w:r>
          </w:p>
        </w:tc>
        <w:tc>
          <w:tcPr>
            <w:tcW w:w="2043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.11</w:t>
            </w:r>
          </w:p>
        </w:tc>
        <w:tc>
          <w:tcPr>
            <w:tcW w:w="1926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0.445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.017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_skewness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-0.30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0.79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-0.33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0.43</w:t>
            </w:r>
          </w:p>
        </w:tc>
        <w:tc>
          <w:tcPr>
            <w:tcW w:w="2043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.202</w:t>
            </w:r>
          </w:p>
        </w:tc>
        <w:tc>
          <w:tcPr>
            <w:tcW w:w="1926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0.019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2.136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.184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CLO_mode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12.94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6.60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12.37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3.42</w:t>
            </w:r>
          </w:p>
        </w:tc>
        <w:tc>
          <w:tcPr>
            <w:tcW w:w="2043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.439</w:t>
            </w:r>
          </w:p>
        </w:tc>
        <w:tc>
          <w:tcPr>
            <w:tcW w:w="1926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0.571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3.626</w:t>
            </w:r>
          </w:p>
        </w:tc>
        <w:tc>
          <w:tcPr>
            <w:tcW w:w="1225" w:type="dxa"/>
            <w:tcBorders>
              <w:top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.440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nil"/>
              <w:bottom w:val="single" w:color="auto" w:sz="12" w:space="0"/>
            </w:tcBorders>
          </w:tcPr>
          <w:p>
            <w:pPr>
              <w:ind w:firstLine="330" w:firstLineChars="15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CLO_mean</w:t>
            </w:r>
          </w:p>
        </w:tc>
        <w:tc>
          <w:tcPr>
            <w:tcW w:w="2268" w:type="dxa"/>
            <w:tcBorders>
              <w:top w:val="nil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11.77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6.50</w:t>
            </w:r>
          </w:p>
        </w:tc>
        <w:tc>
          <w:tcPr>
            <w:tcW w:w="1984" w:type="dxa"/>
            <w:gridSpan w:val="2"/>
            <w:tcBorders>
              <w:top w:val="nil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11.29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2.86</w:t>
            </w:r>
          </w:p>
        </w:tc>
        <w:tc>
          <w:tcPr>
            <w:tcW w:w="2043" w:type="dxa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.965</w:t>
            </w:r>
          </w:p>
        </w:tc>
        <w:tc>
          <w:tcPr>
            <w:tcW w:w="1926" w:type="dxa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0.273 </w:t>
            </w:r>
            <w:r>
              <w:rPr>
                <w:rFonts w:hint="eastAsia" w:ascii="Times New Roman" w:hAnsi="Times New Roman" w:cs="Times New Roman"/>
                <w:sz w:val="22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3.410</w:t>
            </w:r>
          </w:p>
        </w:tc>
        <w:tc>
          <w:tcPr>
            <w:tcW w:w="1225" w:type="dxa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.956</w:t>
            </w:r>
          </w:p>
        </w:tc>
      </w:tr>
    </w:tbl>
    <w:p>
      <w:pPr>
        <w:jc w:val="left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Table.S3</w:t>
      </w:r>
      <w:r>
        <w:rPr>
          <w:rFonts w:ascii="Times New Roman" w:hAnsi="Times New Roman" w:cs="Times New Roman"/>
        </w:rPr>
        <w:t xml:space="preserve"> Statistical values of Cox proportional hazards regression model for predicting median length of hospital stay (LOS) in survival patients with CORV-2019. GGO, ground-glass opacity; CLO, Consolidation opacity. *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&lt;0.05</w:t>
      </w: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6809740" cy="399923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09740" cy="399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</w:t>
      </w:r>
      <w:r>
        <w:rPr>
          <w:rFonts w:hint="eastAsia" w:ascii="Times New Roman" w:hAnsi="Times New Roman" w:cs="Times New Roman"/>
          <w:b/>
        </w:rPr>
        <w:t>igure</w:t>
      </w:r>
      <w:r>
        <w:rPr>
          <w:rFonts w:ascii="Times New Roman" w:hAnsi="Times New Roman" w:cs="Times New Roman"/>
          <w:b/>
        </w:rPr>
        <w:t>.S1</w:t>
      </w:r>
      <w:r>
        <w:rPr>
          <w:rFonts w:ascii="Times New Roman" w:hAnsi="Times New Roman" w:cs="Times New Roman"/>
        </w:rPr>
        <w:t xml:space="preserve"> Calibration curve for 30-day risk of death using the nomogram for COVID-19 patient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6645910" cy="38684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6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</w:rPr>
      </w:pPr>
    </w:p>
    <w:p>
      <w:pPr>
        <w:spacing w:line="480" w:lineRule="auto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</w:t>
      </w:r>
      <w:r>
        <w:rPr>
          <w:rFonts w:hint="eastAsia" w:ascii="Times New Roman" w:hAnsi="Times New Roman" w:cs="Times New Roman"/>
          <w:b/>
        </w:rPr>
        <w:t>igure</w:t>
      </w:r>
      <w:r>
        <w:rPr>
          <w:rFonts w:ascii="Times New Roman" w:hAnsi="Times New Roman" w:cs="Times New Roman"/>
          <w:b/>
        </w:rPr>
        <w:t>.S2</w:t>
      </w:r>
      <w:r>
        <w:rPr>
          <w:rFonts w:ascii="Times New Roman" w:hAnsi="Times New Roman" w:cs="Times New Roman"/>
        </w:rPr>
        <w:t xml:space="preserve"> Calibration curve for prolonged LOS (&gt;30 days) using the nomogram for COVID-19 survival patients.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E34"/>
    <w:rsid w:val="00172CA5"/>
    <w:rsid w:val="00263E34"/>
    <w:rsid w:val="00292ACD"/>
    <w:rsid w:val="005D7F09"/>
    <w:rsid w:val="0082574F"/>
    <w:rsid w:val="00A80377"/>
    <w:rsid w:val="00B55537"/>
    <w:rsid w:val="00D36184"/>
    <w:rsid w:val="00EA12FA"/>
    <w:rsid w:val="00F40EA2"/>
    <w:rsid w:val="25CA0334"/>
    <w:rsid w:val="731E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  <w:lang w:val="zh-CN" w:eastAsia="zh-CN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tiff"/><Relationship Id="rId6" Type="http://schemas.openxmlformats.org/officeDocument/2006/relationships/image" Target="media/image2.png"/><Relationship Id="rId5" Type="http://schemas.openxmlformats.org/officeDocument/2006/relationships/image" Target="media/image1.sv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393</Words>
  <Characters>2241</Characters>
  <Lines>18</Lines>
  <Paragraphs>5</Paragraphs>
  <TotalTime>1</TotalTime>
  <ScaleCrop>false</ScaleCrop>
  <LinksUpToDate>false</LinksUpToDate>
  <CharactersWithSpaces>2629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2020-06-08T19:36:00Z</dcterms:created>
  <dc:creator>Hao Wu</dc:creator>
  <cp:lastModifiedBy>杨赫赫</cp:lastModifiedBy>
  <dcterms:modified xsi:type="dcterms:W3CDTF">2020-10-18T16:24:16Z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