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Pr>
          <w:rFonts w:ascii="Calibri" w:eastAsia="Calibri" w:hAnsi="Calibri" w:cs="Calibri"/>
          <w:b/>
          <w:color w:val="000000"/>
          <w:sz w:val="22"/>
          <w:szCs w:val="22"/>
          <w:lang w:val="en-GB"/>
        </w:rPr>
        <w:t xml:space="preserve">CONSORT 2025 checklist of information to include when reporting a randomised trial*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CONSORT 2025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Identification as a randomised trial </w:t>
            </w:r>
          </w:p>
        </w:tc>
        <w:tc>
          <w:tcPr>
            <w:tcW w:w="1417" w:type="dxa"/>
          </w:tcPr>
          <w:p w14:paraId="682CEBAD"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1–2 (Title page and Abstract)</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1–2 (Abstract — structured)</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14–15 (Trial registration). ClinicalTrials.gov, NCT07554248, registered 28 April 2026 (retrospectively registered). https://clinicaltrials.gov/study/NCT07554248</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Not applicable — no separate trial-specific study </w:t>
            </w:r>
            <w:r>
              <w:rPr>
                <w:rFonts w:ascii="Calibri" w:eastAsia="Calibri" w:hAnsi="Calibri" w:cs="Calibri"/>
                <w:color w:val="000000"/>
                <w:sz w:val="22"/>
                <w:szCs w:val="22"/>
                <w:lang w:val="en-GB"/>
              </w:rPr>
              <w:lastRenderedPageBreak/>
              <w:t>protocol document; the broader research project was approved by the institutional ethics committee (SKE 01-31/2023)</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lastRenderedPageBreak/>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14–15 (Availability of data and materials). The anonymised processed dataset is available in the </w:t>
            </w:r>
            <w:proofErr w:type="spellStart"/>
            <w:r>
              <w:rPr>
                <w:rFonts w:ascii="Calibri" w:eastAsia="Calibri" w:hAnsi="Calibri" w:cs="Calibri"/>
                <w:color w:val="000000"/>
                <w:sz w:val="22"/>
                <w:szCs w:val="22"/>
                <w:lang w:val="en-GB"/>
              </w:rPr>
              <w:t>Zenodo</w:t>
            </w:r>
            <w:proofErr w:type="spellEnd"/>
            <w:r>
              <w:rPr>
                <w:rFonts w:ascii="Calibri" w:eastAsia="Calibri" w:hAnsi="Calibri" w:cs="Calibri"/>
                <w:color w:val="000000"/>
                <w:sz w:val="22"/>
                <w:szCs w:val="22"/>
                <w:lang w:val="en-GB"/>
              </w:rPr>
              <w:t xml:space="preserve"> repository: https://doi.org/10.5281/zenodo.19651175</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14–15 (Funding)</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14–15 (Competing interests)</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lastRenderedPageBreak/>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Scientific background and rationale</w:t>
            </w:r>
          </w:p>
        </w:tc>
        <w:tc>
          <w:tcPr>
            <w:tcW w:w="1417" w:type="dxa"/>
          </w:tcPr>
          <w:p w14:paraId="3333AA56"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2–4 (Introduction — Background and rationale)</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Specific objectives related to benefits and harms</w:t>
            </w:r>
          </w:p>
        </w:tc>
        <w:tc>
          <w:tcPr>
            <w:tcW w:w="1417" w:type="dxa"/>
          </w:tcPr>
          <w:p w14:paraId="70B2DB0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3–4 (Introduction — Objectives)</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basic science kinematic study with healthy adolescent swimmers; no patient or public involvement in study design, conduct, or reporting</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4–6 (Methods — Study Design). Randomised crossover trial; 1:1 </w:t>
            </w:r>
            <w:r>
              <w:rPr>
                <w:rFonts w:ascii="Calibri" w:eastAsia="Calibri" w:hAnsi="Calibri" w:cs="Calibri"/>
                <w:color w:val="000000"/>
                <w:sz w:val="22"/>
                <w:szCs w:val="22"/>
                <w:lang w:val="en-GB"/>
              </w:rPr>
              <w:lastRenderedPageBreak/>
              <w:t>allocation; exploratory framework</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lastRenderedPageBreak/>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no changes to the protocol after the trial commenced</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5–6 (Methods). Indoor swimming pool at </w:t>
            </w:r>
            <w:proofErr w:type="spellStart"/>
            <w:r>
              <w:rPr>
                <w:rFonts w:ascii="Calibri" w:eastAsia="Calibri" w:hAnsi="Calibri" w:cs="Calibri"/>
                <w:color w:val="000000"/>
                <w:sz w:val="22"/>
                <w:szCs w:val="22"/>
                <w:lang w:val="en-GB"/>
              </w:rPr>
              <w:t>Koncertowa</w:t>
            </w:r>
            <w:proofErr w:type="spellEnd"/>
            <w:r>
              <w:rPr>
                <w:rFonts w:ascii="Calibri" w:eastAsia="Calibri" w:hAnsi="Calibri" w:cs="Calibri"/>
                <w:color w:val="000000"/>
                <w:sz w:val="22"/>
                <w:szCs w:val="22"/>
                <w:lang w:val="en-GB"/>
              </w:rPr>
              <w:t xml:space="preserve"> 4, 02-785 Warsaw, Poland (Józef Piłsudski University of Physical Education)</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Eligibility criteria for participants</w:t>
            </w:r>
          </w:p>
        </w:tc>
        <w:tc>
          <w:tcPr>
            <w:tcW w:w="1417" w:type="dxa"/>
          </w:tcPr>
          <w:p w14:paraId="3128EB9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4–5 (Methods — Participants). 32 adolescent swimmers (15 girls, 17 boys); age ≈13 years; </w:t>
            </w:r>
            <w:r>
              <w:rPr>
                <w:rFonts w:ascii="Calibri" w:eastAsia="Calibri" w:hAnsi="Calibri" w:cs="Calibri"/>
                <w:color w:val="000000"/>
                <w:sz w:val="22"/>
                <w:szCs w:val="22"/>
                <w:lang w:val="en-GB"/>
              </w:rPr>
              <w:lastRenderedPageBreak/>
              <w:t>≥2 years of regular training; exclusion: injury, age-criteria not met, insufficient training experience</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5–6 (Methods). All exercise sessions were supervised by two experienced swimming coaches certified at Level I by the Polish Swimming Federation</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Intervention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Intervention and comparator with sufficient details to allow replication. If relevant, where additional materials describing the intervention and comparator (e.g., intervention manual) can be accessed</w:t>
            </w:r>
          </w:p>
        </w:tc>
        <w:tc>
          <w:tcPr>
            <w:tcW w:w="1417" w:type="dxa"/>
          </w:tcPr>
          <w:p w14:paraId="3D06E337"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5–6 (Methods — Exercise Conditions / Procedures)</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6–8 (Methods — Outcomes). </w:t>
            </w:r>
            <w:r>
              <w:rPr>
                <w:rFonts w:ascii="Calibri" w:eastAsia="Calibri" w:hAnsi="Calibri" w:cs="Calibri"/>
                <w:color w:val="000000"/>
                <w:sz w:val="22"/>
                <w:szCs w:val="22"/>
                <w:lang w:val="en-GB"/>
              </w:rPr>
              <w:lastRenderedPageBreak/>
              <w:t xml:space="preserve">Primary: front crawl kinematic variables measured by accelerometer (ωmaxR, </w:t>
            </w:r>
            <w:proofErr w:type="spellStart"/>
            <w:r>
              <w:rPr>
                <w:rFonts w:ascii="Calibri" w:eastAsia="Calibri" w:hAnsi="Calibri" w:cs="Calibri"/>
                <w:color w:val="000000"/>
                <w:sz w:val="22"/>
                <w:szCs w:val="22"/>
                <w:lang w:val="en-GB"/>
              </w:rPr>
              <w:t>AmaxR</w:t>
            </w:r>
            <w:proofErr w:type="spellEnd"/>
            <w:r>
              <w:rPr>
                <w:rFonts w:ascii="Calibri" w:eastAsia="Calibri" w:hAnsi="Calibri" w:cs="Calibri"/>
                <w:color w:val="000000"/>
                <w:sz w:val="22"/>
                <w:szCs w:val="22"/>
                <w:lang w:val="en-GB"/>
              </w:rPr>
              <w:t>, ωmaxY, atmax, ωmaxP, asmax, avmax). Secondary: 50 m time and stroke length</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lastRenderedPageBreak/>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low-intensity training in healthy adolescent swimmers; no harms anticipated or observed</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4–5 (Methods — Sample size). A priori power analysis </w:t>
            </w:r>
            <w:r>
              <w:rPr>
                <w:rFonts w:ascii="Calibri" w:eastAsia="Calibri" w:hAnsi="Calibri" w:cs="Calibri"/>
                <w:color w:val="000000"/>
                <w:sz w:val="22"/>
                <w:szCs w:val="22"/>
                <w:lang w:val="en-GB"/>
              </w:rPr>
              <w:lastRenderedPageBreak/>
              <w:t>(G*Power) determined N = 32 as adequate</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Explanation of any interim analyses and stopping guidelines</w:t>
            </w:r>
          </w:p>
        </w:tc>
        <w:tc>
          <w:tcPr>
            <w:tcW w:w="1417" w:type="dxa"/>
          </w:tcPr>
          <w:p w14:paraId="74EBB045"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no interim analyses or stopping guidelines</w:t>
            </w: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Who generated the random allocation sequence and the method used</w:t>
            </w:r>
          </w:p>
        </w:tc>
        <w:tc>
          <w:tcPr>
            <w:tcW w:w="1417" w:type="dxa"/>
          </w:tcPr>
          <w:p w14:paraId="50468870"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4–6 (Methods — Study Design). Random allocation sequence generated by MS using simple randomisation with the RAND() function in Microsoft Excel</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4–6 (Methods — Study Design). Simple </w:t>
            </w:r>
            <w:r>
              <w:rPr>
                <w:rFonts w:ascii="Calibri" w:eastAsia="Calibri" w:hAnsi="Calibri" w:cs="Calibri"/>
                <w:color w:val="000000"/>
                <w:sz w:val="22"/>
                <w:szCs w:val="22"/>
                <w:lang w:val="en-GB"/>
              </w:rPr>
              <w:lastRenderedPageBreak/>
              <w:t>randomisation</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Pr>
                <w:rFonts w:ascii="Calibri" w:eastAsia="Calibri" w:hAnsi="Calibri" w:cs="Calibri"/>
                <w:color w:val="000000"/>
                <w:sz w:val="22"/>
                <w:szCs w:val="22"/>
                <w:lang w:val="en-GB"/>
              </w:rPr>
              <w:lastRenderedPageBreak/>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4–6 (Methods — Study Design). No formal allocation concealment mechanism implemented; acknowledged as a study limitation</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4–6 (Methods — Study Design). MS, together with a certified Level I swimming coach (Polish Swimming Federation), enrolled participants and assigned them to the intervention sequences </w:t>
            </w:r>
            <w:r>
              <w:rPr>
                <w:rFonts w:ascii="Calibri" w:eastAsia="Calibri" w:hAnsi="Calibri" w:cs="Calibri"/>
                <w:color w:val="000000"/>
                <w:sz w:val="22"/>
                <w:szCs w:val="22"/>
                <w:lang w:val="en-GB"/>
              </w:rPr>
              <w:lastRenderedPageBreak/>
              <w:t>according to the pre-generated allocation list</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lastRenderedPageBreak/>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4–6 (Methods — Study Design). No masking (blinding) of participants, coaches, or assessors performed, owing to the nature of the interventions</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no blinding implemented</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7–9 (Methods — Statistical Analysis). Includes ANOVA model with prior experience </w:t>
            </w:r>
            <w:r>
              <w:rPr>
                <w:rFonts w:ascii="Calibri" w:eastAsia="Calibri" w:hAnsi="Calibri" w:cs="Calibri"/>
                <w:color w:val="000000"/>
                <w:sz w:val="22"/>
                <w:szCs w:val="22"/>
                <w:lang w:val="en-GB"/>
              </w:rPr>
              <w:lastRenderedPageBreak/>
              <w:t>as a between-subjects factor; tests of normality and sphericity</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no additional ad-hoc analyses performed</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How missing data were handled in the analysis</w:t>
            </w:r>
          </w:p>
        </w:tc>
        <w:tc>
          <w:tcPr>
            <w:tcW w:w="1417" w:type="dxa"/>
          </w:tcPr>
          <w:p w14:paraId="295B560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no missing data; all 32 participants completed both conditions</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no subgroup or sensitivity analyses</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For each group, the numbers of participants who were randomly assigned, received intended intervention, and were analysed for the primary outcome</w:t>
            </w:r>
          </w:p>
        </w:tc>
        <w:tc>
          <w:tcPr>
            <w:tcW w:w="1417" w:type="dxa"/>
          </w:tcPr>
          <w:p w14:paraId="5DEF8EC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Figure 3 (CONSORT 2025 flow diagram)</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Figure 3 (CONSORT </w:t>
            </w:r>
            <w:r>
              <w:rPr>
                <w:rFonts w:ascii="Calibri" w:eastAsia="Calibri" w:hAnsi="Calibri" w:cs="Calibri"/>
                <w:color w:val="000000"/>
                <w:sz w:val="22"/>
                <w:szCs w:val="22"/>
                <w:lang w:val="en-GB"/>
              </w:rPr>
              <w:lastRenderedPageBreak/>
              <w:t>2025 flow diagram). Of 34 swimmers initially assessed for eligibility, 2 were excluded (unable to attend testing day due to acute illness); 32 were randomised; all completed both exercise conditions and were included in the analysis (no losses, no exclusions post-randomisation)</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lastRenderedPageBreak/>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4–6 (Methods). Recruitment </w:t>
            </w:r>
            <w:r>
              <w:rPr>
                <w:rFonts w:ascii="Calibri" w:eastAsia="Calibri" w:hAnsi="Calibri" w:cs="Calibri"/>
                <w:color w:val="000000"/>
                <w:sz w:val="22"/>
                <w:szCs w:val="22"/>
                <w:lang w:val="en-GB"/>
              </w:rPr>
              <w:lastRenderedPageBreak/>
              <w:t>and data collection: 14–21 June 2024</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If relevant, why the trial ended or was stopped</w:t>
            </w:r>
          </w:p>
        </w:tc>
        <w:tc>
          <w:tcPr>
            <w:tcW w:w="1417" w:type="dxa"/>
          </w:tcPr>
          <w:p w14:paraId="105B15A1"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trial completed as planned</w:t>
            </w: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Intervention and comparator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Intervention and comparator as they were actually administered (e.g., where appropriate, who delivered the intervention/comparator, how participants adhered, whether they were delivered as intended [fidelity]) </w:t>
            </w:r>
          </w:p>
        </w:tc>
        <w:tc>
          <w:tcPr>
            <w:tcW w:w="1417" w:type="dxa"/>
          </w:tcPr>
          <w:p w14:paraId="33641150"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8–10 (Methods / Results). All 32 participants completed both exercise conditions as planned</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Concomitant care received during the trial for each group</w:t>
            </w:r>
          </w:p>
        </w:tc>
        <w:tc>
          <w:tcPr>
            <w:tcW w:w="1417" w:type="dxa"/>
          </w:tcPr>
          <w:p w14:paraId="0A4B9B49"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p. 4–6 (Methods). During the 1-week washout period, all participants continued their regular swimming training programme (7–8 sessions per week of </w:t>
            </w:r>
            <w:r>
              <w:rPr>
                <w:rFonts w:ascii="Calibri" w:eastAsia="Calibri" w:hAnsi="Calibri" w:cs="Calibri"/>
                <w:color w:val="000000"/>
                <w:sz w:val="22"/>
                <w:szCs w:val="22"/>
                <w:lang w:val="en-GB"/>
              </w:rPr>
              <w:lastRenderedPageBreak/>
              <w:t>standard club training); no additional tethered swimming training during washout</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lastRenderedPageBreak/>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4–5 (Methods — Participants); Table 1 (baseline by sex); Table 2 (baseline by allocation sequence)</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8–11 (Results); Tables and Figures</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All harms or unintended events in each group </w:t>
            </w:r>
          </w:p>
        </w:tc>
        <w:tc>
          <w:tcPr>
            <w:tcW w:w="1417" w:type="dxa"/>
          </w:tcPr>
          <w:p w14:paraId="72B82CF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Not applicable — no harms or unintended events observed</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Not applicable — </w:t>
            </w:r>
            <w:r>
              <w:rPr>
                <w:rFonts w:ascii="Calibri" w:eastAsia="Calibri" w:hAnsi="Calibri" w:cs="Calibri"/>
                <w:color w:val="000000"/>
                <w:sz w:val="22"/>
                <w:szCs w:val="22"/>
                <w:lang w:val="en-GB"/>
              </w:rPr>
              <w:lastRenderedPageBreak/>
              <w:t>no ancillary analyses performed</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lastRenderedPageBreak/>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10–14 (Discussion — Interpretation)</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77777777" w:rsidR="00B36D6D" w:rsidRPr="009C6FD6" w:rsidRDefault="00B36D6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p. 10–15 (Discussion — Limitations and Generalisability)</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Pr>
            <w:rStyle w:val="Hipercze"/>
            <w:rFonts w:ascii="Calibri" w:hAnsi="Calibri" w:cs="Calibri"/>
            <w:color w:val="0070C0"/>
            <w:sz w:val="20"/>
          </w:rPr>
          <w:t>www.consort-spirit.org</w:t>
        </w:r>
      </w:hyperlink>
      <w:r>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Pr>
          <w:rFonts w:ascii="Calibri" w:hAnsi="Calibri" w:cs="Calibri"/>
          <w:sz w:val="20"/>
        </w:rPr>
        <w:t xml:space="preserve">Citation: Hopewell S, Chan AW, Collins GS, Hróbjartsson A, Moher D, Schulz KF, et al. CONSORT 2025 Statement: updated guideline for reporting randomised trials. BMJ. 2025; 388:e081123. </w:t>
      </w:r>
      <w:hyperlink r:id="rId9" w:history="1">
        <w:r>
          <w:rPr>
            <w:rStyle w:val="Hipercze"/>
            <w:rFonts w:ascii="Calibri" w:hAnsi="Calibri" w:cs="Calibri"/>
            <w:color w:val="0070C0"/>
            <w:sz w:val="20"/>
          </w:rPr>
          <w:t>https://dx.doi.org/10.1136/bmj-2024-081123</w:t>
        </w:r>
      </w:hyperlink>
      <w:r>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Pr>
          <w:rFonts w:ascii="Calibri" w:hAnsi="Calibri" w:cs="Calibri"/>
          <w:sz w:val="20"/>
        </w:rPr>
        <w:br/>
        <w:t>© 2025 Hopewell et al. This is an Open Access article distributed under the terms of the Creative Commons Attribution License (</w:t>
      </w:r>
      <w:hyperlink r:id="rId10" w:history="1">
        <w:r>
          <w:rPr>
            <w:rStyle w:val="Hipercze"/>
            <w:rFonts w:ascii="Calibri" w:hAnsi="Calibri" w:cs="Calibri"/>
            <w:color w:val="0070C0"/>
            <w:sz w:val="20"/>
          </w:rPr>
          <w:t>https://creativecommons.org/licenses/by/4.0/</w:t>
        </w:r>
      </w:hyperlink>
      <w:r>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CBEA" w14:textId="77777777" w:rsidR="00666959" w:rsidRDefault="00666959" w:rsidP="00B70CED">
      <w:pPr>
        <w:spacing w:line="240" w:lineRule="auto"/>
      </w:pPr>
      <w:r>
        <w:separator/>
      </w:r>
    </w:p>
  </w:endnote>
  <w:endnote w:type="continuationSeparator" w:id="0">
    <w:p w14:paraId="4D216FCF" w14:textId="77777777" w:rsidR="00666959" w:rsidRDefault="00666959"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Stopka"/>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8CF7" w14:textId="77777777" w:rsidR="00666959" w:rsidRDefault="00666959" w:rsidP="00B70CED">
      <w:pPr>
        <w:spacing w:line="240" w:lineRule="auto"/>
      </w:pPr>
      <w:r>
        <w:separator/>
      </w:r>
    </w:p>
  </w:footnote>
  <w:footnote w:type="continuationSeparator" w:id="0">
    <w:p w14:paraId="1948E8CE" w14:textId="77777777" w:rsidR="00666959" w:rsidRDefault="00666959"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66959"/>
    <w:rsid w:val="00681302"/>
    <w:rsid w:val="00686208"/>
    <w:rsid w:val="006942F5"/>
    <w:rsid w:val="00696760"/>
    <w:rsid w:val="00696CFF"/>
    <w:rsid w:val="006A1C20"/>
    <w:rsid w:val="006A61B0"/>
    <w:rsid w:val="006B2754"/>
    <w:rsid w:val="006B32F4"/>
    <w:rsid w:val="006B65AB"/>
    <w:rsid w:val="006B7191"/>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AB"/>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spacing w:after="160" w:line="259" w:lineRule="auto"/>
      <w:outlineLvl w:val="0"/>
    </w:pPr>
    <w:rPr>
      <w:rFonts w:ascii="Calibri" w:eastAsia="Calibri" w:hAnsi="Calibri" w:cs="Calibri"/>
      <w:b/>
      <w:color w:val="000000"/>
      <w:sz w:val="22"/>
      <w:szCs w:val="22"/>
    </w:rPr>
  </w:style>
  <w:style w:type="paragraph" w:styleId="Nagwek2">
    <w:name w:val="heading 2"/>
    <w:basedOn w:val="Normalny"/>
    <w:next w:val="Normalny"/>
    <w:uiPriority w:val="9"/>
    <w:semiHidden/>
    <w:unhideWhenUsed/>
    <w:qFormat/>
    <w:pPr>
      <w:keepNext/>
      <w:keepLines/>
      <w:spacing w:before="40"/>
      <w:outlineLvl w:val="1"/>
    </w:pPr>
    <w:rPr>
      <w:rFonts w:ascii="Calibri" w:eastAsia="Calibri" w:hAnsi="Calibri" w:cs="Calibri"/>
      <w:color w:val="2F5496"/>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pPr>
      <w:spacing w:line="240" w:lineRule="auto"/>
    </w:pPr>
    <w:tblPr>
      <w:tblStyleRowBandSize w:val="1"/>
      <w:tblStyleColBandSize w:val="1"/>
    </w:tblPr>
  </w:style>
  <w:style w:type="table" w:customStyle="1" w:styleId="a0">
    <w:basedOn w:val="Standardowy"/>
    <w:tblPr>
      <w:tblStyleRowBandSize w:val="1"/>
      <w:tblStyleColBandSize w:val="1"/>
      <w:tblCellMar>
        <w:left w:w="115" w:type="dxa"/>
        <w:right w:w="115" w:type="dxa"/>
      </w:tblCellMar>
    </w:tblPr>
  </w:style>
  <w:style w:type="table" w:customStyle="1" w:styleId="a1">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rsid w:val="00BF3C2F"/>
    <w:rPr>
      <w:color w:val="CC0000"/>
      <w:u w:val="single"/>
    </w:rPr>
  </w:style>
  <w:style w:type="paragraph" w:styleId="Tematkomentarza">
    <w:name w:val="annotation subject"/>
    <w:basedOn w:val="Tekstkomentarza"/>
    <w:next w:val="Tekstkomentarza"/>
    <w:link w:val="TematkomentarzaZnak"/>
    <w:uiPriority w:val="99"/>
    <w:semiHidden/>
    <w:unhideWhenUsed/>
    <w:rsid w:val="00E279B6"/>
    <w:rPr>
      <w:b/>
      <w:bCs/>
    </w:rPr>
  </w:style>
  <w:style w:type="character" w:customStyle="1" w:styleId="TematkomentarzaZnak">
    <w:name w:val="Temat komentarza Znak"/>
    <w:basedOn w:val="TekstkomentarzaZnak"/>
    <w:link w:val="Tematkomentarza"/>
    <w:uiPriority w:val="99"/>
    <w:semiHidden/>
    <w:rsid w:val="00E279B6"/>
    <w:rPr>
      <w:b/>
      <w:bCs/>
      <w:sz w:val="20"/>
      <w:szCs w:val="20"/>
    </w:rPr>
  </w:style>
  <w:style w:type="paragraph" w:customStyle="1" w:styleId="EndNoteBibliographyTitle">
    <w:name w:val="EndNote Bibliography Title"/>
    <w:basedOn w:val="Normalny"/>
    <w:link w:val="EndNoteBibliographyTitleChar"/>
    <w:rsid w:val="00657676"/>
    <w:pPr>
      <w:jc w:val="center"/>
    </w:pPr>
    <w:rPr>
      <w:noProof/>
      <w:lang w:val="en-GB"/>
    </w:rPr>
  </w:style>
  <w:style w:type="character" w:customStyle="1" w:styleId="EndNoteBibliographyTitleChar">
    <w:name w:val="EndNote Bibliography Title Char"/>
    <w:basedOn w:val="Domylnaczcionkaakapitu"/>
    <w:link w:val="EndNoteBibliographyTitle"/>
    <w:rsid w:val="00657676"/>
    <w:rPr>
      <w:noProof/>
      <w:lang w:val="en-GB"/>
    </w:rPr>
  </w:style>
  <w:style w:type="paragraph" w:customStyle="1" w:styleId="EndNoteBibliography">
    <w:name w:val="EndNote Bibliography"/>
    <w:basedOn w:val="Normalny"/>
    <w:link w:val="EndNoteBibliographyChar"/>
    <w:rsid w:val="00657676"/>
    <w:pPr>
      <w:spacing w:line="240" w:lineRule="auto"/>
    </w:pPr>
    <w:rPr>
      <w:noProof/>
      <w:lang w:val="en-GB"/>
    </w:rPr>
  </w:style>
  <w:style w:type="character" w:customStyle="1" w:styleId="EndNoteBibliographyChar">
    <w:name w:val="EndNote Bibliography Char"/>
    <w:basedOn w:val="Domylnaczcionkaakapitu"/>
    <w:link w:val="EndNoteBibliography"/>
    <w:rsid w:val="00657676"/>
    <w:rPr>
      <w:noProof/>
      <w:lang w:val="en-GB"/>
    </w:rPr>
  </w:style>
  <w:style w:type="character" w:styleId="Nierozpoznanawzmianka">
    <w:name w:val="Unresolved Mention"/>
    <w:basedOn w:val="Domylnaczcionkaakapitu"/>
    <w:uiPriority w:val="99"/>
    <w:semiHidden/>
    <w:unhideWhenUsed/>
    <w:rsid w:val="00657676"/>
    <w:rPr>
      <w:color w:val="605E5C"/>
      <w:shd w:val="clear" w:color="auto" w:fill="E1DFDD"/>
    </w:rPr>
  </w:style>
  <w:style w:type="character" w:customStyle="1" w:styleId="cf01">
    <w:name w:val="cf01"/>
    <w:basedOn w:val="Domylnaczcionkaakapitu"/>
    <w:rsid w:val="00C645F1"/>
    <w:rPr>
      <w:rFonts w:ascii="Segoe UI" w:hAnsi="Segoe UI" w:cs="Segoe UI" w:hint="default"/>
      <w:sz w:val="18"/>
      <w:szCs w:val="18"/>
    </w:rPr>
  </w:style>
  <w:style w:type="paragraph" w:styleId="Tekstdymka">
    <w:name w:val="Balloon Text"/>
    <w:basedOn w:val="Normalny"/>
    <w:link w:val="TekstdymkaZnak"/>
    <w:uiPriority w:val="99"/>
    <w:semiHidden/>
    <w:unhideWhenUsed/>
    <w:rsid w:val="00F8204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04E"/>
    <w:rPr>
      <w:rFonts w:ascii="Segoe UI" w:hAnsi="Segoe UI" w:cs="Segoe UI"/>
      <w:sz w:val="18"/>
      <w:szCs w:val="18"/>
    </w:rPr>
  </w:style>
  <w:style w:type="paragraph" w:styleId="Akapitzlist">
    <w:name w:val="List Paragraph"/>
    <w:basedOn w:val="Normalny"/>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Nagwek">
    <w:name w:val="header"/>
    <w:basedOn w:val="Normalny"/>
    <w:link w:val="NagwekZnak"/>
    <w:uiPriority w:val="99"/>
    <w:unhideWhenUsed/>
    <w:rsid w:val="00B70CED"/>
    <w:pPr>
      <w:tabs>
        <w:tab w:val="center" w:pos="4513"/>
        <w:tab w:val="right" w:pos="9026"/>
      </w:tabs>
      <w:spacing w:line="240" w:lineRule="auto"/>
    </w:pPr>
  </w:style>
  <w:style w:type="character" w:customStyle="1" w:styleId="NagwekZnak">
    <w:name w:val="Nagłówek Znak"/>
    <w:basedOn w:val="Domylnaczcionkaakapitu"/>
    <w:link w:val="Nagwek"/>
    <w:uiPriority w:val="99"/>
    <w:rsid w:val="00B70CED"/>
  </w:style>
  <w:style w:type="paragraph" w:styleId="Stopka">
    <w:name w:val="footer"/>
    <w:basedOn w:val="Normalny"/>
    <w:link w:val="StopkaZnak"/>
    <w:uiPriority w:val="99"/>
    <w:unhideWhenUsed/>
    <w:rsid w:val="00B70CED"/>
    <w:pPr>
      <w:tabs>
        <w:tab w:val="center" w:pos="4513"/>
        <w:tab w:val="right" w:pos="9026"/>
      </w:tabs>
      <w:spacing w:line="240" w:lineRule="auto"/>
    </w:pPr>
  </w:style>
  <w:style w:type="character" w:customStyle="1" w:styleId="StopkaZnak">
    <w:name w:val="Stopka Znak"/>
    <w:basedOn w:val="Domylnaczcionkaakapitu"/>
    <w:link w:val="Stopka"/>
    <w:uiPriority w:val="99"/>
    <w:rsid w:val="00B70CED"/>
  </w:style>
  <w:style w:type="paragraph" w:styleId="Poprawka">
    <w:name w:val="Revision"/>
    <w:hidden/>
    <w:uiPriority w:val="99"/>
    <w:semiHidden/>
    <w:rsid w:val="0050444B"/>
    <w:pPr>
      <w:spacing w:line="240" w:lineRule="auto"/>
    </w:pPr>
  </w:style>
  <w:style w:type="character" w:customStyle="1" w:styleId="apple-converted-space">
    <w:name w:val="apple-converted-space"/>
    <w:basedOn w:val="Domylnaczcionkaakapitu"/>
    <w:rsid w:val="00893C4F"/>
  </w:style>
  <w:style w:type="character" w:styleId="UyteHipercze">
    <w:name w:val="FollowedHyperlink"/>
    <w:basedOn w:val="Domylnaczcionkaakapitu"/>
    <w:uiPriority w:val="99"/>
    <w:semiHidden/>
    <w:unhideWhenUsed/>
    <w:rsid w:val="00E120C7"/>
    <w:rPr>
      <w:color w:val="800080" w:themeColor="followedHyperlink"/>
      <w:u w:val="single"/>
    </w:rPr>
  </w:style>
  <w:style w:type="paragraph" w:styleId="NormalnyWeb">
    <w:name w:val="Normal (Web)"/>
    <w:basedOn w:val="Normalny"/>
    <w:uiPriority w:val="99"/>
    <w:unhideWhenUsed/>
    <w:rsid w:val="00435A53"/>
    <w:pPr>
      <w:spacing w:before="100" w:beforeAutospacing="1" w:after="100" w:afterAutospacing="1" w:line="240" w:lineRule="auto"/>
    </w:pPr>
    <w:rPr>
      <w:color w:val="auto"/>
      <w:lang w:val="en-CA" w:eastAsia="en-US"/>
    </w:rPr>
  </w:style>
  <w:style w:type="table" w:styleId="Tabela-Siatka">
    <w:name w:val="Table Grid"/>
    <w:basedOn w:val="Standardowy"/>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ny"/>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1627</Words>
  <Characters>9291</Characters>
  <Application>Microsoft Office Word</Application>
  <DocSecurity>0</DocSecurity>
  <Lines>344</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Maciej Skorulski</cp:lastModifiedBy>
  <cp:revision>2</cp:revision>
  <cp:lastPrinted>2024-03-26T08:52:00Z</cp:lastPrinted>
  <dcterms:created xsi:type="dcterms:W3CDTF">2026-05-07T13:12:00Z</dcterms:created>
  <dcterms:modified xsi:type="dcterms:W3CDTF">2026-05-07T13:12:00Z</dcterms:modified>
</cp:coreProperties>
</file>