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61B50" w14:textId="5940110E" w:rsidR="00072067" w:rsidRPr="003A288F" w:rsidRDefault="00A53444" w:rsidP="009F76E7">
      <w:pPr>
        <w:pStyle w:val="Default"/>
        <w:spacing w:line="360" w:lineRule="auto"/>
        <w:rPr>
          <w:rFonts w:ascii="等线" w:eastAsia="等线" w:cs="等线"/>
          <w:sz w:val="21"/>
          <w:szCs w:val="21"/>
        </w:rPr>
      </w:pPr>
      <w:r>
        <w:rPr>
          <w:b/>
          <w:bCs/>
          <w:sz w:val="23"/>
          <w:szCs w:val="23"/>
        </w:rPr>
        <w:t>Supplementary Figures and Figure legends</w:t>
      </w:r>
    </w:p>
    <w:p w14:paraId="3CCE653F" w14:textId="5A962B35" w:rsidR="001B298D" w:rsidRDefault="003A288F" w:rsidP="009F76E7">
      <w:pPr>
        <w:pStyle w:val="Default"/>
        <w:spacing w:line="360" w:lineRule="auto"/>
        <w:jc w:val="center"/>
      </w:pPr>
      <w:r w:rsidRPr="00E5654E">
        <w:rPr>
          <w:noProof/>
          <w:color w:val="auto"/>
        </w:rPr>
        <w:drawing>
          <wp:inline distT="0" distB="0" distL="0" distR="0" wp14:anchorId="0E8E9911" wp14:editId="6A7CC5AB">
            <wp:extent cx="3552825" cy="2414905"/>
            <wp:effectExtent l="0" t="0" r="9525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241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046CCA" w14:textId="6F61A87C" w:rsidR="00D33BAE" w:rsidRPr="00D33BAE" w:rsidRDefault="00D33BAE" w:rsidP="00D33BAE">
      <w:pPr>
        <w:pStyle w:val="Default"/>
        <w:ind w:firstLineChars="1200" w:firstLine="2880"/>
        <w:rPr>
          <w:rFonts w:ascii="Arial" w:hAnsi="Arial" w:cs="Arial"/>
        </w:rPr>
      </w:pPr>
      <w:r w:rsidRPr="00D33BAE">
        <w:rPr>
          <w:rFonts w:ascii="Arial" w:hAnsi="Arial" w:cs="Arial"/>
        </w:rPr>
        <w:t xml:space="preserve">c </w:t>
      </w:r>
      <w:r>
        <w:rPr>
          <w:rFonts w:ascii="Arial" w:hAnsi="Arial" w:cs="Arial"/>
        </w:rPr>
        <w:t xml:space="preserve">                   </w:t>
      </w:r>
      <w:r w:rsidRPr="00D33BAE">
        <w:rPr>
          <w:rFonts w:ascii="Arial" w:hAnsi="Arial" w:cs="Arial"/>
        </w:rPr>
        <w:t>d</w:t>
      </w:r>
    </w:p>
    <w:p w14:paraId="05C31A21" w14:textId="1054FDBD" w:rsidR="00072067" w:rsidRPr="00E5654E" w:rsidRDefault="001B298D" w:rsidP="009F76E7">
      <w:pPr>
        <w:pStyle w:val="Default"/>
        <w:spacing w:line="360" w:lineRule="auto"/>
        <w:jc w:val="center"/>
        <w:rPr>
          <w:rFonts w:eastAsia="宋体"/>
          <w:b/>
          <w:bCs/>
          <w:color w:val="auto"/>
        </w:rPr>
      </w:pPr>
      <w:r w:rsidRPr="001B298D">
        <w:t xml:space="preserve"> </w:t>
      </w:r>
      <w:r>
        <w:rPr>
          <w:noProof/>
        </w:rPr>
        <w:drawing>
          <wp:inline distT="0" distB="0" distL="0" distR="0" wp14:anchorId="666A55E9" wp14:editId="1E1B7A8D">
            <wp:extent cx="1615440" cy="2821842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04"/>
                    <a:stretch/>
                  </pic:blipFill>
                  <pic:spPr bwMode="auto">
                    <a:xfrm>
                      <a:off x="0" y="0"/>
                      <a:ext cx="1615440" cy="2821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86EB9A4" wp14:editId="10A66A39">
            <wp:extent cx="1713230" cy="2877771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89"/>
                    <a:stretch/>
                  </pic:blipFill>
                  <pic:spPr bwMode="auto">
                    <a:xfrm>
                      <a:off x="0" y="0"/>
                      <a:ext cx="1713230" cy="2877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A5FECF" w14:textId="17BDCBF2" w:rsidR="00072067" w:rsidRPr="00FA2AA6" w:rsidRDefault="00A53444" w:rsidP="009F76E7">
      <w:pPr>
        <w:pStyle w:val="Default"/>
        <w:spacing w:line="360" w:lineRule="auto"/>
        <w:jc w:val="both"/>
        <w:rPr>
          <w:color w:val="FF0000"/>
        </w:rPr>
      </w:pPr>
      <w:r w:rsidRPr="00E5654E">
        <w:rPr>
          <w:rFonts w:eastAsia="宋体"/>
          <w:b/>
          <w:bCs/>
          <w:color w:val="auto"/>
        </w:rPr>
        <w:t>Fig. S1</w:t>
      </w:r>
      <w:r w:rsidR="00922302" w:rsidRPr="00E5654E">
        <w:rPr>
          <w:rFonts w:eastAsia="宋体"/>
          <w:b/>
          <w:bCs/>
          <w:color w:val="auto"/>
        </w:rPr>
        <w:t>.</w:t>
      </w:r>
      <w:r w:rsidRPr="00E5654E">
        <w:rPr>
          <w:rFonts w:eastAsia="宋体"/>
          <w:b/>
          <w:bCs/>
          <w:color w:val="auto"/>
        </w:rPr>
        <w:t xml:space="preserve"> </w:t>
      </w:r>
      <w:r w:rsidR="00710442" w:rsidRPr="00710442">
        <w:rPr>
          <w:rFonts w:eastAsia="宋体"/>
          <w:b/>
          <w:bCs/>
          <w:color w:val="auto"/>
        </w:rPr>
        <w:t xml:space="preserve">Effects of different concentrations of PTUPB on mRNA expression of </w:t>
      </w:r>
      <w:r w:rsidR="00710442" w:rsidRPr="00710442">
        <w:rPr>
          <w:rFonts w:eastAsia="宋体"/>
          <w:b/>
          <w:bCs/>
          <w:i/>
          <w:iCs/>
          <w:color w:val="auto"/>
        </w:rPr>
        <w:t>TIMP1</w:t>
      </w:r>
      <w:r w:rsidR="00710442">
        <w:rPr>
          <w:rFonts w:eastAsia="宋体" w:hint="eastAsia"/>
          <w:b/>
          <w:bCs/>
          <w:color w:val="auto"/>
        </w:rPr>
        <w:t>,</w:t>
      </w:r>
      <w:r w:rsidR="00710442">
        <w:rPr>
          <w:rFonts w:eastAsia="宋体"/>
          <w:b/>
          <w:bCs/>
          <w:color w:val="auto"/>
        </w:rPr>
        <w:t xml:space="preserve"> </w:t>
      </w:r>
      <w:r w:rsidR="00710442" w:rsidRPr="00710442">
        <w:rPr>
          <w:rFonts w:eastAsia="宋体"/>
          <w:b/>
          <w:bCs/>
          <w:i/>
          <w:iCs/>
          <w:color w:val="auto"/>
        </w:rPr>
        <w:t>MMP9</w:t>
      </w:r>
      <w:r w:rsidR="00D86702">
        <w:rPr>
          <w:rFonts w:eastAsia="宋体"/>
          <w:b/>
          <w:bCs/>
          <w:i/>
          <w:iCs/>
          <w:color w:val="auto"/>
        </w:rPr>
        <w:t>,</w:t>
      </w:r>
      <w:r w:rsidR="00710442">
        <w:rPr>
          <w:rFonts w:eastAsia="宋体"/>
          <w:b/>
          <w:bCs/>
          <w:color w:val="auto"/>
        </w:rPr>
        <w:t xml:space="preserve"> </w:t>
      </w:r>
      <w:r w:rsidR="00710442" w:rsidRPr="00710442">
        <w:rPr>
          <w:rFonts w:eastAsia="宋体"/>
          <w:b/>
          <w:bCs/>
          <w:color w:val="auto"/>
        </w:rPr>
        <w:t xml:space="preserve">and </w:t>
      </w:r>
      <w:r w:rsidR="00710442" w:rsidRPr="00710442">
        <w:rPr>
          <w:rFonts w:eastAsia="宋体"/>
          <w:b/>
          <w:bCs/>
          <w:i/>
          <w:iCs/>
          <w:color w:val="auto"/>
        </w:rPr>
        <w:t xml:space="preserve">CDH1 </w:t>
      </w:r>
      <w:r w:rsidR="00710442" w:rsidRPr="00710442">
        <w:rPr>
          <w:rFonts w:eastAsia="宋体"/>
          <w:b/>
          <w:bCs/>
          <w:color w:val="auto"/>
        </w:rPr>
        <w:t>in A549 cells</w:t>
      </w:r>
      <w:r w:rsidRPr="00E5654E">
        <w:rPr>
          <w:rFonts w:eastAsia="宋体" w:hint="eastAsia"/>
          <w:b/>
          <w:bCs/>
          <w:color w:val="auto"/>
        </w:rPr>
        <w:t>.</w:t>
      </w:r>
      <w:r w:rsidRPr="00E5654E">
        <w:rPr>
          <w:rFonts w:eastAsia="宋体"/>
          <w:color w:val="auto"/>
        </w:rPr>
        <w:t xml:space="preserve"> </w:t>
      </w:r>
      <w:r w:rsidRPr="00E5654E">
        <w:rPr>
          <w:color w:val="auto"/>
        </w:rPr>
        <w:t xml:space="preserve">A549 cells were treated with serial concentrations of PTUPB (0, 0.1, 1, and 10 μM) for 12 h. The </w:t>
      </w:r>
      <w:r w:rsidRPr="00E5654E">
        <w:rPr>
          <w:i/>
          <w:iCs/>
          <w:color w:val="auto"/>
        </w:rPr>
        <w:t>TIMP1</w:t>
      </w:r>
      <w:r w:rsidRPr="00E5654E">
        <w:rPr>
          <w:color w:val="auto"/>
        </w:rPr>
        <w:t xml:space="preserve"> </w:t>
      </w:r>
      <w:r w:rsidRPr="00E5654E">
        <w:rPr>
          <w:rFonts w:hint="eastAsia"/>
          <w:color w:val="auto"/>
        </w:rPr>
        <w:t>mRNA</w:t>
      </w:r>
      <w:r w:rsidR="00172345" w:rsidRPr="00E5654E">
        <w:rPr>
          <w:color w:val="auto"/>
        </w:rPr>
        <w:t xml:space="preserve"> (a)</w:t>
      </w:r>
      <w:r w:rsidRPr="00E5654E">
        <w:rPr>
          <w:color w:val="auto"/>
        </w:rPr>
        <w:t xml:space="preserve"> and </w:t>
      </w:r>
      <w:r w:rsidR="00072067" w:rsidRPr="00E5654E">
        <w:rPr>
          <w:i/>
          <w:iCs/>
          <w:color w:val="auto"/>
        </w:rPr>
        <w:t>CDH1</w:t>
      </w:r>
      <w:r w:rsidRPr="00E5654E">
        <w:rPr>
          <w:i/>
          <w:iCs/>
          <w:color w:val="auto"/>
        </w:rPr>
        <w:t xml:space="preserve"> </w:t>
      </w:r>
      <w:r w:rsidRPr="00E5654E">
        <w:rPr>
          <w:rFonts w:hint="eastAsia"/>
          <w:color w:val="auto"/>
        </w:rPr>
        <w:t>mRNA</w:t>
      </w:r>
      <w:r w:rsidR="00172345" w:rsidRPr="00E5654E">
        <w:rPr>
          <w:color w:val="auto"/>
        </w:rPr>
        <w:t xml:space="preserve"> (b)</w:t>
      </w:r>
      <w:r w:rsidRPr="00E5654E">
        <w:rPr>
          <w:color w:val="auto"/>
        </w:rPr>
        <w:t xml:space="preserve"> were detected</w:t>
      </w:r>
      <w:r w:rsidRPr="00E5654E">
        <w:rPr>
          <w:bCs/>
          <w:color w:val="auto"/>
        </w:rPr>
        <w:t xml:space="preserve"> by real-time PCR</w:t>
      </w:r>
      <w:r w:rsidR="001421D9" w:rsidRPr="00E5654E">
        <w:rPr>
          <w:bCs/>
          <w:color w:val="auto"/>
        </w:rPr>
        <w:t xml:space="preserve"> (</w:t>
      </w:r>
      <w:r w:rsidR="001421D9" w:rsidRPr="00E5654E">
        <w:rPr>
          <w:bCs/>
          <w:i/>
          <w:iCs/>
          <w:color w:val="auto"/>
        </w:rPr>
        <w:t>n</w:t>
      </w:r>
      <w:r w:rsidR="001421D9" w:rsidRPr="00E5654E">
        <w:rPr>
          <w:bCs/>
          <w:color w:val="auto"/>
        </w:rPr>
        <w:t>=3)</w:t>
      </w:r>
      <w:r w:rsidRPr="00E5654E">
        <w:rPr>
          <w:color w:val="auto"/>
        </w:rPr>
        <w:t>.</w:t>
      </w:r>
      <w:r w:rsidR="001421D9" w:rsidRPr="00E5654E">
        <w:rPr>
          <w:color w:val="auto"/>
        </w:rPr>
        <w:t xml:space="preserve"> </w:t>
      </w:r>
      <w:r w:rsidR="00D33BAE" w:rsidRPr="00D33BAE">
        <w:rPr>
          <w:color w:val="FF0000"/>
        </w:rPr>
        <w:t>Cells were treated with PTUPB (</w:t>
      </w:r>
      <w:r w:rsidR="00D33BAE">
        <w:rPr>
          <w:color w:val="FF0000"/>
        </w:rPr>
        <w:t xml:space="preserve">0.1, </w:t>
      </w:r>
      <w:r w:rsidR="00D33BAE" w:rsidRPr="00D33BAE">
        <w:rPr>
          <w:color w:val="FF0000"/>
        </w:rPr>
        <w:t>1</w:t>
      </w:r>
      <w:r w:rsidR="00D33BAE">
        <w:rPr>
          <w:color w:val="FF0000"/>
        </w:rPr>
        <w:t>, 10</w:t>
      </w:r>
      <w:r w:rsidR="00D33BAE" w:rsidRPr="00D33BAE">
        <w:rPr>
          <w:color w:val="FF0000"/>
        </w:rPr>
        <w:t xml:space="preserve"> μM) for 1 h before the treatment with TGF-β1 (10 ng/mL). The mRNA expressions of </w:t>
      </w:r>
      <w:r w:rsidR="00D33BAE" w:rsidRPr="00D33BAE">
        <w:rPr>
          <w:i/>
          <w:iCs/>
          <w:color w:val="FF0000"/>
        </w:rPr>
        <w:t>MMP9</w:t>
      </w:r>
      <w:r w:rsidR="00D33BAE" w:rsidRPr="00D33BAE">
        <w:rPr>
          <w:color w:val="FF0000"/>
        </w:rPr>
        <w:t xml:space="preserve"> (</w:t>
      </w:r>
      <w:r w:rsidR="00D33BAE">
        <w:rPr>
          <w:color w:val="FF0000"/>
        </w:rPr>
        <w:t>c</w:t>
      </w:r>
      <w:r w:rsidR="00D33BAE" w:rsidRPr="00D33BAE">
        <w:rPr>
          <w:color w:val="FF0000"/>
        </w:rPr>
        <w:t xml:space="preserve">) and </w:t>
      </w:r>
      <w:r w:rsidR="00D33BAE" w:rsidRPr="00D33BAE">
        <w:rPr>
          <w:i/>
          <w:iCs/>
          <w:color w:val="FF0000"/>
        </w:rPr>
        <w:t>TIMP1</w:t>
      </w:r>
      <w:r w:rsidR="00D33BAE" w:rsidRPr="00D33BAE">
        <w:rPr>
          <w:color w:val="FF0000"/>
        </w:rPr>
        <w:t xml:space="preserve"> (</w:t>
      </w:r>
      <w:r w:rsidR="00D33BAE">
        <w:rPr>
          <w:color w:val="FF0000"/>
        </w:rPr>
        <w:t>d</w:t>
      </w:r>
      <w:r w:rsidR="00D33BAE" w:rsidRPr="00D33BAE">
        <w:rPr>
          <w:color w:val="FF0000"/>
        </w:rPr>
        <w:t xml:space="preserve">) in A549 cells were detected by real-time PCR after TGF-β1 stimulation for 12 h (n=3). </w:t>
      </w:r>
      <w:r w:rsidR="001421D9" w:rsidRPr="00FA2AA6">
        <w:rPr>
          <w:color w:val="FF0000"/>
        </w:rPr>
        <w:t>Data are expressed as</w:t>
      </w:r>
      <w:r w:rsidR="001421D9" w:rsidRPr="00FA2AA6">
        <w:rPr>
          <w:rFonts w:hint="eastAsia"/>
          <w:color w:val="FF0000"/>
        </w:rPr>
        <w:t xml:space="preserve"> </w:t>
      </w:r>
      <w:r w:rsidR="001421D9" w:rsidRPr="00FA2AA6">
        <w:rPr>
          <w:color w:val="FF0000"/>
        </w:rPr>
        <w:t>the mean ± SD. Differences between two</w:t>
      </w:r>
      <w:r w:rsidR="001421D9" w:rsidRPr="00FA2AA6">
        <w:rPr>
          <w:rFonts w:hint="eastAsia"/>
          <w:color w:val="FF0000"/>
        </w:rPr>
        <w:t xml:space="preserve"> </w:t>
      </w:r>
      <w:r w:rsidR="001421D9" w:rsidRPr="00FA2AA6">
        <w:rPr>
          <w:color w:val="FF0000"/>
        </w:rPr>
        <w:t xml:space="preserve">groups were determined by unpaired </w:t>
      </w:r>
      <w:r w:rsidR="001421D9" w:rsidRPr="00FA2AA6">
        <w:rPr>
          <w:i/>
          <w:iCs/>
          <w:color w:val="FF0000"/>
        </w:rPr>
        <w:t>t</w:t>
      </w:r>
      <w:r w:rsidR="001421D9" w:rsidRPr="00FA2AA6">
        <w:rPr>
          <w:color w:val="FF0000"/>
        </w:rPr>
        <w:t>-test.</w:t>
      </w:r>
      <w:r w:rsidR="00FA2AA6" w:rsidRPr="00FA2AA6">
        <w:rPr>
          <w:color w:val="FF0000"/>
        </w:rPr>
        <w:t xml:space="preserve"> Differences among multiple groups were performed using ANOVA. Tukey’s test was used as a post hoc test to make pairwise comparisons. * </w:t>
      </w:r>
      <w:r w:rsidR="00FA2AA6" w:rsidRPr="00FA2AA6">
        <w:rPr>
          <w:i/>
          <w:iCs/>
          <w:color w:val="FF0000"/>
        </w:rPr>
        <w:t>P</w:t>
      </w:r>
      <w:r w:rsidR="00FA2AA6" w:rsidRPr="00FA2AA6">
        <w:rPr>
          <w:color w:val="FF0000"/>
        </w:rPr>
        <w:t xml:space="preserve"> &lt; 0.05, ** </w:t>
      </w:r>
      <w:r w:rsidR="00FA2AA6" w:rsidRPr="00FA2AA6">
        <w:rPr>
          <w:i/>
          <w:iCs/>
          <w:color w:val="FF0000"/>
        </w:rPr>
        <w:t xml:space="preserve">P </w:t>
      </w:r>
      <w:r w:rsidR="00FA2AA6" w:rsidRPr="00FA2AA6">
        <w:rPr>
          <w:color w:val="FF0000"/>
        </w:rPr>
        <w:t xml:space="preserve">&lt; 0.01 and *** </w:t>
      </w:r>
      <w:r w:rsidR="00FA2AA6" w:rsidRPr="00FA2AA6">
        <w:rPr>
          <w:i/>
          <w:iCs/>
          <w:color w:val="FF0000"/>
        </w:rPr>
        <w:t>P</w:t>
      </w:r>
      <w:r w:rsidR="00FA2AA6" w:rsidRPr="00FA2AA6">
        <w:rPr>
          <w:color w:val="FF0000"/>
        </w:rPr>
        <w:t xml:space="preserve"> &lt; 0.001.</w:t>
      </w:r>
    </w:p>
    <w:p w14:paraId="77B1AABF" w14:textId="77777777" w:rsidR="009F76E7" w:rsidRPr="00E5654E" w:rsidRDefault="009F76E7" w:rsidP="009F76E7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E5654E">
        <w:br w:type="page"/>
      </w:r>
    </w:p>
    <w:p w14:paraId="75E2D245" w14:textId="77777777" w:rsidR="00D275AD" w:rsidRDefault="00D275AD" w:rsidP="00D275AD">
      <w:pPr>
        <w:pStyle w:val="Default"/>
        <w:spacing w:line="360" w:lineRule="auto"/>
        <w:jc w:val="both"/>
        <w:rPr>
          <w:color w:val="auto"/>
        </w:rPr>
      </w:pPr>
      <w:r>
        <w:rPr>
          <w:noProof/>
        </w:rPr>
        <w:lastRenderedPageBreak/>
        <w:drawing>
          <wp:inline distT="0" distB="0" distL="0" distR="0" wp14:anchorId="180D6EE3" wp14:editId="5663BD73">
            <wp:extent cx="6645910" cy="2696845"/>
            <wp:effectExtent l="0" t="0" r="254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69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A98985" w14:textId="6DB1DB6E" w:rsidR="00D275AD" w:rsidRPr="007102F9" w:rsidRDefault="00D275AD" w:rsidP="00D275AD">
      <w:pPr>
        <w:pStyle w:val="Default"/>
        <w:spacing w:line="360" w:lineRule="auto"/>
        <w:jc w:val="both"/>
        <w:rPr>
          <w:rFonts w:eastAsia="宋体"/>
          <w:color w:val="FF0000"/>
        </w:rPr>
      </w:pPr>
      <w:r w:rsidRPr="007102F9">
        <w:rPr>
          <w:rFonts w:eastAsia="宋体"/>
          <w:b/>
          <w:bCs/>
          <w:color w:val="FF0000"/>
        </w:rPr>
        <w:t>Fig. S</w:t>
      </w:r>
      <w:r>
        <w:rPr>
          <w:rFonts w:eastAsia="宋体"/>
          <w:b/>
          <w:bCs/>
          <w:color w:val="FF0000"/>
        </w:rPr>
        <w:t>2</w:t>
      </w:r>
      <w:r w:rsidRPr="007102F9">
        <w:rPr>
          <w:rFonts w:eastAsia="宋体"/>
          <w:b/>
          <w:bCs/>
          <w:color w:val="FF0000"/>
        </w:rPr>
        <w:t>.</w:t>
      </w:r>
      <w:r w:rsidRPr="007102F9">
        <w:rPr>
          <w:b/>
          <w:color w:val="FF0000"/>
        </w:rPr>
        <w:t xml:space="preserve"> Prophylactic treatment of PTUPB</w:t>
      </w:r>
      <w:r w:rsidRPr="007102F9">
        <w:rPr>
          <w:rFonts w:eastAsia="宋体"/>
          <w:b/>
          <w:bCs/>
          <w:color w:val="FF0000"/>
        </w:rPr>
        <w:t xml:space="preserve"> ha</w:t>
      </w:r>
      <w:r w:rsidR="00D86702">
        <w:rPr>
          <w:rFonts w:eastAsia="宋体"/>
          <w:b/>
          <w:bCs/>
          <w:color w:val="FF0000"/>
        </w:rPr>
        <w:t>s</w:t>
      </w:r>
      <w:r w:rsidRPr="007102F9">
        <w:rPr>
          <w:rFonts w:eastAsia="宋体"/>
          <w:b/>
          <w:bCs/>
          <w:color w:val="FF0000"/>
        </w:rPr>
        <w:t xml:space="preserve"> no effect on</w:t>
      </w:r>
      <w:r w:rsidRPr="007102F9">
        <w:rPr>
          <w:b/>
          <w:color w:val="FF0000"/>
        </w:rPr>
        <w:t xml:space="preserve"> </w:t>
      </w:r>
      <w:r w:rsidRPr="007102F9">
        <w:rPr>
          <w:rFonts w:hint="eastAsia"/>
          <w:b/>
          <w:color w:val="FF0000"/>
        </w:rPr>
        <w:t>the</w:t>
      </w:r>
      <w:r w:rsidRPr="007102F9">
        <w:rPr>
          <w:b/>
          <w:color w:val="FF0000"/>
        </w:rPr>
        <w:t xml:space="preserve"> PI3K and MAPK signaling pathways of AECs.</w:t>
      </w:r>
      <w:r w:rsidRPr="007102F9">
        <w:rPr>
          <w:color w:val="FF0000"/>
        </w:rPr>
        <w:t xml:space="preserve"> </w:t>
      </w:r>
      <w:r w:rsidRPr="007102F9">
        <w:rPr>
          <w:rFonts w:eastAsia="宋体"/>
          <w:color w:val="FF0000"/>
        </w:rPr>
        <w:t>Cells were treated with PTUPB (1 μM) for 1 h before the treatment with TGF-β1 (10 ng/mL).</w:t>
      </w:r>
      <w:r w:rsidR="00D86702">
        <w:rPr>
          <w:rFonts w:eastAsia="宋体"/>
          <w:color w:val="FF0000"/>
        </w:rPr>
        <w:t xml:space="preserve"> </w:t>
      </w:r>
      <w:r w:rsidRPr="007102F9">
        <w:rPr>
          <w:rFonts w:eastAsia="宋体"/>
          <w:color w:val="FF0000"/>
        </w:rPr>
        <w:t xml:space="preserve">Thirty </w:t>
      </w:r>
      <w:r w:rsidR="00D86702">
        <w:rPr>
          <w:rFonts w:eastAsia="宋体"/>
          <w:color w:val="FF0000"/>
        </w:rPr>
        <w:t>m</w:t>
      </w:r>
      <w:r w:rsidRPr="007102F9">
        <w:rPr>
          <w:rFonts w:eastAsia="宋体"/>
          <w:color w:val="FF0000"/>
        </w:rPr>
        <w:t xml:space="preserve">inutes after the TGF-β1 administration, the protein expressions of </w:t>
      </w:r>
      <w:r>
        <w:rPr>
          <w:rFonts w:eastAsia="宋体"/>
          <w:color w:val="FF0000"/>
        </w:rPr>
        <w:t>p-PI3K (</w:t>
      </w:r>
      <w:r>
        <w:rPr>
          <w:rFonts w:eastAsia="宋体" w:hint="eastAsia"/>
          <w:color w:val="FF0000"/>
        </w:rPr>
        <w:t>p</w:t>
      </w:r>
      <w:r>
        <w:rPr>
          <w:rFonts w:eastAsia="宋体"/>
          <w:color w:val="FF0000"/>
        </w:rPr>
        <w:t>85</w:t>
      </w:r>
      <w:r>
        <w:rPr>
          <w:rFonts w:eastAsia="宋体" w:hint="eastAsia"/>
          <w:color w:val="FF0000"/>
        </w:rPr>
        <w:t>),</w:t>
      </w:r>
      <w:r>
        <w:rPr>
          <w:rFonts w:eastAsia="宋体"/>
          <w:color w:val="FF0000"/>
        </w:rPr>
        <w:t xml:space="preserve"> </w:t>
      </w:r>
      <w:r>
        <w:rPr>
          <w:rFonts w:eastAsia="宋体" w:hint="eastAsia"/>
          <w:color w:val="FF0000"/>
        </w:rPr>
        <w:t>p</w:t>
      </w:r>
      <w:r>
        <w:rPr>
          <w:rFonts w:eastAsia="宋体"/>
          <w:color w:val="FF0000"/>
        </w:rPr>
        <w:t>-MAPK (p42/44),</w:t>
      </w:r>
      <w:r w:rsidRPr="007102F9">
        <w:rPr>
          <w:rFonts w:eastAsia="宋体"/>
          <w:color w:val="FF0000"/>
        </w:rPr>
        <w:t xml:space="preserve"> and </w:t>
      </w:r>
      <w:r>
        <w:rPr>
          <w:rFonts w:eastAsia="宋体"/>
          <w:color w:val="FF0000"/>
        </w:rPr>
        <w:t>MAPK (p42/44)</w:t>
      </w:r>
      <w:r w:rsidRPr="007102F9">
        <w:rPr>
          <w:rFonts w:eastAsia="宋体"/>
          <w:color w:val="FF0000"/>
        </w:rPr>
        <w:t xml:space="preserve"> in MLE12 cells (</w:t>
      </w:r>
      <w:r>
        <w:rPr>
          <w:rFonts w:eastAsia="宋体"/>
          <w:color w:val="FF0000"/>
        </w:rPr>
        <w:t>a</w:t>
      </w:r>
      <w:r w:rsidRPr="007102F9">
        <w:rPr>
          <w:rFonts w:eastAsia="宋体"/>
          <w:color w:val="FF0000"/>
        </w:rPr>
        <w:t>-</w:t>
      </w:r>
      <w:r>
        <w:rPr>
          <w:rFonts w:eastAsia="宋体"/>
          <w:color w:val="FF0000"/>
        </w:rPr>
        <w:t>c</w:t>
      </w:r>
      <w:r w:rsidRPr="007102F9">
        <w:rPr>
          <w:rFonts w:eastAsia="宋体"/>
          <w:color w:val="FF0000"/>
        </w:rPr>
        <w:t xml:space="preserve">, </w:t>
      </w:r>
      <w:r w:rsidRPr="00D86702">
        <w:rPr>
          <w:rFonts w:eastAsia="宋体"/>
          <w:i/>
          <w:iCs/>
          <w:color w:val="FF0000"/>
        </w:rPr>
        <w:t>n</w:t>
      </w:r>
      <w:r w:rsidR="00D86702">
        <w:rPr>
          <w:rFonts w:eastAsia="宋体"/>
          <w:i/>
          <w:iCs/>
          <w:color w:val="FF0000"/>
        </w:rPr>
        <w:t xml:space="preserve"> </w:t>
      </w:r>
      <w:r w:rsidRPr="007102F9">
        <w:rPr>
          <w:rFonts w:eastAsia="宋体"/>
          <w:color w:val="FF0000"/>
        </w:rPr>
        <w:t>=</w:t>
      </w:r>
      <w:r w:rsidR="00D86702">
        <w:rPr>
          <w:rFonts w:eastAsia="宋体"/>
          <w:color w:val="FF0000"/>
        </w:rPr>
        <w:t xml:space="preserve"> </w:t>
      </w:r>
      <w:r w:rsidRPr="007102F9">
        <w:rPr>
          <w:rFonts w:eastAsia="宋体"/>
          <w:color w:val="FF0000"/>
        </w:rPr>
        <w:t>3) were detected by western blotting. Data are expressed as the mean ± SD. Differences among multiple groups were performed using ANOVA. Tukey’s test was used as a post hoc test to make pairwise comparisons.</w:t>
      </w:r>
      <w:r w:rsidR="00AA0922" w:rsidRPr="00AA0922">
        <w:rPr>
          <w:color w:val="FF0000"/>
        </w:rPr>
        <w:t xml:space="preserve"> </w:t>
      </w:r>
      <w:r w:rsidR="00AA0922" w:rsidRPr="00FA2AA6">
        <w:rPr>
          <w:color w:val="FF0000"/>
        </w:rPr>
        <w:t xml:space="preserve">* </w:t>
      </w:r>
      <w:r w:rsidR="00AA0922" w:rsidRPr="00FA2AA6">
        <w:rPr>
          <w:i/>
          <w:iCs/>
          <w:color w:val="FF0000"/>
        </w:rPr>
        <w:t>P</w:t>
      </w:r>
      <w:r w:rsidR="00AA0922" w:rsidRPr="00FA2AA6">
        <w:rPr>
          <w:color w:val="FF0000"/>
        </w:rPr>
        <w:t xml:space="preserve"> &lt; 0.05</w:t>
      </w:r>
    </w:p>
    <w:p w14:paraId="6AB9D30F" w14:textId="77777777" w:rsidR="00D275AD" w:rsidRDefault="00D275AD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br w:type="page"/>
      </w:r>
    </w:p>
    <w:p w14:paraId="5682881A" w14:textId="6FC16E85" w:rsidR="00172345" w:rsidRPr="00E5654E" w:rsidRDefault="00DD37B0" w:rsidP="009F76E7">
      <w:pPr>
        <w:pStyle w:val="Default"/>
        <w:spacing w:line="360" w:lineRule="auto"/>
        <w:jc w:val="center"/>
        <w:rPr>
          <w:color w:val="auto"/>
        </w:rPr>
      </w:pPr>
      <w:r w:rsidRPr="00E5654E">
        <w:rPr>
          <w:noProof/>
          <w:color w:val="auto"/>
        </w:rPr>
        <w:lastRenderedPageBreak/>
        <w:drawing>
          <wp:inline distT="0" distB="0" distL="0" distR="0" wp14:anchorId="2648BC7B" wp14:editId="5CED983D">
            <wp:extent cx="5274310" cy="2221865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2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1762BA" w14:textId="5B37EFB7" w:rsidR="001E48E2" w:rsidRDefault="00172345" w:rsidP="009F76E7">
      <w:pPr>
        <w:pStyle w:val="Default"/>
        <w:spacing w:line="360" w:lineRule="auto"/>
        <w:jc w:val="both"/>
        <w:rPr>
          <w:color w:val="auto"/>
        </w:rPr>
      </w:pPr>
      <w:r w:rsidRPr="00E5654E">
        <w:rPr>
          <w:rFonts w:eastAsia="宋体"/>
          <w:b/>
          <w:bCs/>
          <w:color w:val="auto"/>
        </w:rPr>
        <w:t>Fig. S</w:t>
      </w:r>
      <w:r w:rsidR="00D275AD">
        <w:rPr>
          <w:rFonts w:eastAsia="宋体"/>
          <w:b/>
          <w:bCs/>
          <w:color w:val="auto"/>
        </w:rPr>
        <w:t>3</w:t>
      </w:r>
      <w:r w:rsidR="00922302" w:rsidRPr="00E5654E">
        <w:rPr>
          <w:rFonts w:eastAsia="宋体"/>
          <w:b/>
          <w:bCs/>
          <w:color w:val="auto"/>
        </w:rPr>
        <w:t>.</w:t>
      </w:r>
      <w:r w:rsidRPr="00E5654E">
        <w:rPr>
          <w:rFonts w:hint="eastAsia"/>
          <w:color w:val="auto"/>
        </w:rPr>
        <w:t xml:space="preserve"> </w:t>
      </w:r>
      <w:r w:rsidRPr="00D86702">
        <w:rPr>
          <w:b/>
          <w:color w:val="FF0000"/>
        </w:rPr>
        <w:t>Prophylactic treatment of PTUPB</w:t>
      </w:r>
      <w:r w:rsidRPr="00D86702">
        <w:rPr>
          <w:rFonts w:eastAsia="宋体"/>
          <w:b/>
          <w:bCs/>
          <w:color w:val="FF0000"/>
        </w:rPr>
        <w:t xml:space="preserve"> ha</w:t>
      </w:r>
      <w:r w:rsidR="00D86702" w:rsidRPr="00D86702">
        <w:rPr>
          <w:rFonts w:eastAsia="宋体"/>
          <w:b/>
          <w:bCs/>
          <w:color w:val="FF0000"/>
        </w:rPr>
        <w:t>s</w:t>
      </w:r>
      <w:r w:rsidRPr="00D86702">
        <w:rPr>
          <w:rFonts w:eastAsia="宋体"/>
          <w:b/>
          <w:bCs/>
          <w:color w:val="FF0000"/>
        </w:rPr>
        <w:t xml:space="preserve"> </w:t>
      </w:r>
      <w:r w:rsidRPr="00E5654E">
        <w:rPr>
          <w:rFonts w:eastAsia="宋体"/>
          <w:b/>
          <w:bCs/>
          <w:color w:val="auto"/>
        </w:rPr>
        <w:t>no effect on total Smads protein in AECs.</w:t>
      </w:r>
      <w:r w:rsidRPr="00E5654E">
        <w:rPr>
          <w:color w:val="auto"/>
        </w:rPr>
        <w:t xml:space="preserve"> </w:t>
      </w:r>
      <w:r w:rsidRPr="00E5654E">
        <w:rPr>
          <w:rFonts w:eastAsia="宋体"/>
          <w:color w:val="auto"/>
        </w:rPr>
        <w:t xml:space="preserve">Cells were treated with PTUPB (1 μM) for 1 h before the treatment with TGF-β1 (10 ng/mL). Thirty </w:t>
      </w:r>
      <w:r w:rsidR="00D86702">
        <w:rPr>
          <w:rFonts w:eastAsia="宋体"/>
          <w:color w:val="auto"/>
        </w:rPr>
        <w:t>m</w:t>
      </w:r>
      <w:r w:rsidRPr="00E5654E">
        <w:rPr>
          <w:rFonts w:eastAsia="宋体"/>
          <w:color w:val="auto"/>
        </w:rPr>
        <w:t>inutes after the TGF-β1 administration, the protein expressions of Smad2 and Smad3 in A549 cells (a-</w:t>
      </w:r>
      <w:r w:rsidR="00DD37B0" w:rsidRPr="00E5654E">
        <w:rPr>
          <w:rFonts w:eastAsia="宋体"/>
          <w:color w:val="auto"/>
        </w:rPr>
        <w:t>b</w:t>
      </w:r>
      <w:r w:rsidRPr="00E5654E">
        <w:rPr>
          <w:rFonts w:eastAsia="宋体"/>
          <w:color w:val="auto"/>
        </w:rPr>
        <w:t xml:space="preserve">, </w:t>
      </w:r>
      <w:r w:rsidRPr="00E5654E">
        <w:rPr>
          <w:rFonts w:eastAsia="宋体"/>
          <w:i/>
          <w:iCs/>
          <w:color w:val="auto"/>
        </w:rPr>
        <w:t>n</w:t>
      </w:r>
      <w:r w:rsidR="00D86702">
        <w:rPr>
          <w:rFonts w:eastAsia="宋体"/>
          <w:i/>
          <w:iCs/>
          <w:color w:val="auto"/>
        </w:rPr>
        <w:t xml:space="preserve"> </w:t>
      </w:r>
      <w:r w:rsidRPr="00E5654E">
        <w:rPr>
          <w:rFonts w:eastAsia="宋体"/>
          <w:color w:val="auto"/>
        </w:rPr>
        <w:t>=</w:t>
      </w:r>
      <w:r w:rsidR="00D86702">
        <w:rPr>
          <w:rFonts w:eastAsia="宋体"/>
          <w:color w:val="auto"/>
        </w:rPr>
        <w:t xml:space="preserve"> </w:t>
      </w:r>
      <w:r w:rsidRPr="00E5654E">
        <w:rPr>
          <w:rFonts w:eastAsia="宋体"/>
          <w:color w:val="auto"/>
        </w:rPr>
        <w:t>3) and MLE12 cells (</w:t>
      </w:r>
      <w:r w:rsidR="00DD37B0" w:rsidRPr="00E5654E">
        <w:rPr>
          <w:rFonts w:eastAsia="宋体" w:hint="eastAsia"/>
          <w:color w:val="auto"/>
        </w:rPr>
        <w:t>c</w:t>
      </w:r>
      <w:r w:rsidRPr="00E5654E">
        <w:rPr>
          <w:rFonts w:eastAsia="宋体"/>
          <w:color w:val="auto"/>
        </w:rPr>
        <w:t>-</w:t>
      </w:r>
      <w:r w:rsidR="00DD37B0" w:rsidRPr="00E5654E">
        <w:rPr>
          <w:rFonts w:eastAsia="宋体"/>
          <w:color w:val="auto"/>
        </w:rPr>
        <w:t>d</w:t>
      </w:r>
      <w:r w:rsidRPr="00E5654E">
        <w:rPr>
          <w:rFonts w:eastAsia="宋体"/>
          <w:color w:val="auto"/>
        </w:rPr>
        <w:t xml:space="preserve">, </w:t>
      </w:r>
      <w:r w:rsidRPr="00E5654E">
        <w:rPr>
          <w:rFonts w:eastAsia="宋体"/>
          <w:i/>
          <w:iCs/>
          <w:color w:val="auto"/>
        </w:rPr>
        <w:t>n</w:t>
      </w:r>
      <w:r w:rsidR="00D86702">
        <w:rPr>
          <w:rFonts w:eastAsia="宋体"/>
          <w:i/>
          <w:iCs/>
          <w:color w:val="auto"/>
        </w:rPr>
        <w:t xml:space="preserve"> </w:t>
      </w:r>
      <w:r w:rsidRPr="00E5654E">
        <w:rPr>
          <w:rFonts w:eastAsia="宋体"/>
          <w:color w:val="auto"/>
        </w:rPr>
        <w:t>=</w:t>
      </w:r>
      <w:r w:rsidR="00D86702">
        <w:rPr>
          <w:rFonts w:eastAsia="宋体"/>
          <w:color w:val="auto"/>
        </w:rPr>
        <w:t xml:space="preserve"> </w:t>
      </w:r>
      <w:r w:rsidRPr="00E5654E">
        <w:rPr>
          <w:rFonts w:eastAsia="宋体"/>
          <w:color w:val="auto"/>
        </w:rPr>
        <w:t>3) were detected by western blotting.</w:t>
      </w:r>
      <w:r w:rsidRPr="00E5654E">
        <w:rPr>
          <w:color w:val="auto"/>
        </w:rPr>
        <w:t xml:space="preserve"> Data are expressed as the mean ± SD. Differences among multiple groups were performed using ANOVA. Tukey’s test was used as a post hoc test to make pairwise comparisons.</w:t>
      </w:r>
    </w:p>
    <w:p w14:paraId="42BF7B65" w14:textId="4B67CD74" w:rsidR="007102F9" w:rsidRDefault="007102F9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sectPr w:rsidR="007102F9" w:rsidSect="009F76E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A0E910" w14:textId="77777777" w:rsidR="00674087" w:rsidRDefault="00674087" w:rsidP="00A53444">
      <w:r>
        <w:separator/>
      </w:r>
    </w:p>
  </w:endnote>
  <w:endnote w:type="continuationSeparator" w:id="0">
    <w:p w14:paraId="37CC4E23" w14:textId="77777777" w:rsidR="00674087" w:rsidRDefault="00674087" w:rsidP="00A534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E9496A" w14:textId="77777777" w:rsidR="00674087" w:rsidRDefault="00674087" w:rsidP="00A53444">
      <w:r>
        <w:separator/>
      </w:r>
    </w:p>
  </w:footnote>
  <w:footnote w:type="continuationSeparator" w:id="0">
    <w:p w14:paraId="61C7446E" w14:textId="77777777" w:rsidR="00674087" w:rsidRDefault="00674087" w:rsidP="00A534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U2sDSxNDI3MTIwNDRR0lEKTi0uzszPAykwNKoFAGYyXRwtAAAA"/>
  </w:docVars>
  <w:rsids>
    <w:rsidRoot w:val="00335E19"/>
    <w:rsid w:val="00063119"/>
    <w:rsid w:val="00072067"/>
    <w:rsid w:val="00084CEC"/>
    <w:rsid w:val="001421D9"/>
    <w:rsid w:val="00172345"/>
    <w:rsid w:val="001B298D"/>
    <w:rsid w:val="001E48E2"/>
    <w:rsid w:val="001F012E"/>
    <w:rsid w:val="002F3C32"/>
    <w:rsid w:val="00335E19"/>
    <w:rsid w:val="003A288F"/>
    <w:rsid w:val="004F3D5B"/>
    <w:rsid w:val="00674087"/>
    <w:rsid w:val="006C452A"/>
    <w:rsid w:val="007102F9"/>
    <w:rsid w:val="00710442"/>
    <w:rsid w:val="0086181B"/>
    <w:rsid w:val="008C7DF9"/>
    <w:rsid w:val="00922302"/>
    <w:rsid w:val="009F677B"/>
    <w:rsid w:val="009F76E7"/>
    <w:rsid w:val="00A53444"/>
    <w:rsid w:val="00AA0922"/>
    <w:rsid w:val="00AD3126"/>
    <w:rsid w:val="00BE76CF"/>
    <w:rsid w:val="00C524F8"/>
    <w:rsid w:val="00CD4B18"/>
    <w:rsid w:val="00D275AD"/>
    <w:rsid w:val="00D33BAE"/>
    <w:rsid w:val="00D55E3B"/>
    <w:rsid w:val="00D86702"/>
    <w:rsid w:val="00DD37B0"/>
    <w:rsid w:val="00E5654E"/>
    <w:rsid w:val="00F52552"/>
    <w:rsid w:val="00FA2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6890FD"/>
  <w15:chartTrackingRefBased/>
  <w15:docId w15:val="{5FE8048A-DB5B-495F-9A66-04E395A9C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34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34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34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3444"/>
    <w:rPr>
      <w:sz w:val="18"/>
      <w:szCs w:val="18"/>
    </w:rPr>
  </w:style>
  <w:style w:type="paragraph" w:customStyle="1" w:styleId="Default">
    <w:name w:val="Default"/>
    <w:rsid w:val="00A53444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A5344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534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3</Pages>
  <Words>292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晨宇</dc:creator>
  <cp:keywords/>
  <dc:description/>
  <cp:lastModifiedBy>周 勇</cp:lastModifiedBy>
  <cp:revision>21</cp:revision>
  <dcterms:created xsi:type="dcterms:W3CDTF">2021-09-05T09:58:00Z</dcterms:created>
  <dcterms:modified xsi:type="dcterms:W3CDTF">2022-04-01T12:09:00Z</dcterms:modified>
</cp:coreProperties>
</file>