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61B50" w14:textId="5940110E" w:rsidR="00072067" w:rsidRPr="003A288F" w:rsidRDefault="00A53444" w:rsidP="009F76E7">
      <w:pPr>
        <w:pStyle w:val="Default"/>
        <w:spacing w:line="360" w:lineRule="auto"/>
        <w:rPr>
          <w:rFonts w:ascii="等线" w:eastAsia="等线" w:cs="等线"/>
          <w:sz w:val="21"/>
          <w:szCs w:val="21"/>
        </w:rPr>
      </w:pPr>
      <w:r>
        <w:rPr>
          <w:b/>
          <w:bCs/>
          <w:sz w:val="23"/>
          <w:szCs w:val="23"/>
        </w:rPr>
        <w:t>Supplementary Figures and Figure legends</w:t>
      </w:r>
    </w:p>
    <w:p w14:paraId="05C31A21" w14:textId="4FB81992" w:rsidR="00072067" w:rsidRPr="00E5654E" w:rsidRDefault="003A288F" w:rsidP="009F76E7">
      <w:pPr>
        <w:pStyle w:val="Default"/>
        <w:spacing w:line="360" w:lineRule="auto"/>
        <w:jc w:val="center"/>
        <w:rPr>
          <w:rFonts w:eastAsia="宋体"/>
          <w:b/>
          <w:bCs/>
          <w:color w:val="auto"/>
        </w:rPr>
      </w:pPr>
      <w:r w:rsidRPr="00E5654E">
        <w:rPr>
          <w:noProof/>
          <w:color w:val="auto"/>
        </w:rPr>
        <w:drawing>
          <wp:inline distT="0" distB="0" distL="0" distR="0" wp14:anchorId="0E8E9911" wp14:editId="6A7CC5AB">
            <wp:extent cx="3552825" cy="2414905"/>
            <wp:effectExtent l="0" t="0" r="952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2825" cy="241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A5FECF" w14:textId="5E83E37E" w:rsidR="00072067" w:rsidRPr="00E5654E" w:rsidRDefault="00A53444" w:rsidP="009F76E7">
      <w:pPr>
        <w:pStyle w:val="Default"/>
        <w:spacing w:line="360" w:lineRule="auto"/>
        <w:jc w:val="both"/>
        <w:rPr>
          <w:color w:val="auto"/>
        </w:rPr>
      </w:pPr>
      <w:r w:rsidRPr="00E5654E">
        <w:rPr>
          <w:rFonts w:eastAsia="宋体"/>
          <w:b/>
          <w:bCs/>
          <w:color w:val="auto"/>
        </w:rPr>
        <w:t>Fig. S1</w:t>
      </w:r>
      <w:r w:rsidR="00922302" w:rsidRPr="00E5654E">
        <w:rPr>
          <w:rFonts w:eastAsia="宋体"/>
          <w:b/>
          <w:bCs/>
          <w:color w:val="auto"/>
        </w:rPr>
        <w:t>.</w:t>
      </w:r>
      <w:r w:rsidRPr="00E5654E">
        <w:rPr>
          <w:rFonts w:eastAsia="宋体"/>
          <w:b/>
          <w:bCs/>
          <w:color w:val="auto"/>
        </w:rPr>
        <w:t xml:space="preserve"> Different concentrations of PTUPB have no effect on the mRNA expression</w:t>
      </w:r>
      <w:r w:rsidR="00072067" w:rsidRPr="00E5654E">
        <w:rPr>
          <w:rFonts w:eastAsia="宋体"/>
          <w:b/>
          <w:bCs/>
          <w:color w:val="auto"/>
        </w:rPr>
        <w:t>s</w:t>
      </w:r>
      <w:r w:rsidRPr="00E5654E">
        <w:rPr>
          <w:rFonts w:eastAsia="宋体"/>
          <w:b/>
          <w:bCs/>
          <w:color w:val="auto"/>
        </w:rPr>
        <w:t xml:space="preserve"> of </w:t>
      </w:r>
      <w:r w:rsidRPr="00E5654E">
        <w:rPr>
          <w:rFonts w:eastAsia="宋体"/>
          <w:b/>
          <w:bCs/>
          <w:i/>
          <w:iCs/>
          <w:color w:val="auto"/>
        </w:rPr>
        <w:t>TIMP1</w:t>
      </w:r>
      <w:r w:rsidRPr="00E5654E">
        <w:rPr>
          <w:rFonts w:eastAsia="宋体"/>
          <w:b/>
          <w:bCs/>
          <w:color w:val="auto"/>
        </w:rPr>
        <w:t xml:space="preserve"> and </w:t>
      </w:r>
      <w:r w:rsidRPr="00E5654E">
        <w:rPr>
          <w:rFonts w:eastAsia="宋体"/>
          <w:b/>
          <w:bCs/>
          <w:i/>
          <w:iCs/>
          <w:color w:val="auto"/>
        </w:rPr>
        <w:t>CDH1</w:t>
      </w:r>
      <w:r w:rsidRPr="00E5654E">
        <w:rPr>
          <w:rFonts w:eastAsia="宋体"/>
          <w:b/>
          <w:bCs/>
          <w:color w:val="auto"/>
        </w:rPr>
        <w:t xml:space="preserve"> in A549 cells</w:t>
      </w:r>
      <w:r w:rsidRPr="00E5654E">
        <w:rPr>
          <w:rFonts w:eastAsia="宋体" w:hint="eastAsia"/>
          <w:b/>
          <w:bCs/>
          <w:color w:val="auto"/>
        </w:rPr>
        <w:t>.</w:t>
      </w:r>
      <w:r w:rsidRPr="00E5654E">
        <w:rPr>
          <w:rFonts w:eastAsia="宋体"/>
          <w:color w:val="auto"/>
        </w:rPr>
        <w:t xml:space="preserve"> </w:t>
      </w:r>
      <w:r w:rsidRPr="00E5654E">
        <w:rPr>
          <w:color w:val="auto"/>
        </w:rPr>
        <w:t xml:space="preserve">A549 cells were treated with serial concentrations of PTUPB (0, 0.1, 1, and 10 μM) for 12 h. The </w:t>
      </w:r>
      <w:r w:rsidRPr="00E5654E">
        <w:rPr>
          <w:i/>
          <w:iCs/>
          <w:color w:val="auto"/>
        </w:rPr>
        <w:t>TIMP1</w:t>
      </w:r>
      <w:r w:rsidRPr="00E5654E">
        <w:rPr>
          <w:color w:val="auto"/>
        </w:rPr>
        <w:t xml:space="preserve"> </w:t>
      </w:r>
      <w:r w:rsidRPr="00E5654E">
        <w:rPr>
          <w:rFonts w:hint="eastAsia"/>
          <w:color w:val="auto"/>
        </w:rPr>
        <w:t>mRNA</w:t>
      </w:r>
      <w:r w:rsidR="00172345" w:rsidRPr="00E5654E">
        <w:rPr>
          <w:color w:val="auto"/>
        </w:rPr>
        <w:t xml:space="preserve"> (a)</w:t>
      </w:r>
      <w:r w:rsidRPr="00E5654E">
        <w:rPr>
          <w:color w:val="auto"/>
        </w:rPr>
        <w:t xml:space="preserve"> and </w:t>
      </w:r>
      <w:r w:rsidR="00072067" w:rsidRPr="00E5654E">
        <w:rPr>
          <w:i/>
          <w:iCs/>
          <w:color w:val="auto"/>
        </w:rPr>
        <w:t>CDH1</w:t>
      </w:r>
      <w:r w:rsidRPr="00E5654E">
        <w:rPr>
          <w:i/>
          <w:iCs/>
          <w:color w:val="auto"/>
        </w:rPr>
        <w:t xml:space="preserve"> </w:t>
      </w:r>
      <w:r w:rsidRPr="00E5654E">
        <w:rPr>
          <w:rFonts w:hint="eastAsia"/>
          <w:color w:val="auto"/>
        </w:rPr>
        <w:t>mRNA</w:t>
      </w:r>
      <w:r w:rsidR="00172345" w:rsidRPr="00E5654E">
        <w:rPr>
          <w:color w:val="auto"/>
        </w:rPr>
        <w:t xml:space="preserve"> (b)</w:t>
      </w:r>
      <w:r w:rsidRPr="00E5654E">
        <w:rPr>
          <w:color w:val="auto"/>
        </w:rPr>
        <w:t xml:space="preserve"> were detected</w:t>
      </w:r>
      <w:r w:rsidRPr="00E5654E">
        <w:rPr>
          <w:bCs/>
          <w:color w:val="auto"/>
        </w:rPr>
        <w:t xml:space="preserve"> by real-time PCR</w:t>
      </w:r>
      <w:r w:rsidR="001421D9" w:rsidRPr="00E5654E">
        <w:rPr>
          <w:bCs/>
          <w:color w:val="auto"/>
        </w:rPr>
        <w:t xml:space="preserve"> (</w:t>
      </w:r>
      <w:r w:rsidR="001421D9" w:rsidRPr="00E5654E">
        <w:rPr>
          <w:bCs/>
          <w:i/>
          <w:iCs/>
          <w:color w:val="auto"/>
        </w:rPr>
        <w:t>n</w:t>
      </w:r>
      <w:r w:rsidR="001421D9" w:rsidRPr="00E5654E">
        <w:rPr>
          <w:bCs/>
          <w:color w:val="auto"/>
        </w:rPr>
        <w:t>=3)</w:t>
      </w:r>
      <w:r w:rsidRPr="00E5654E">
        <w:rPr>
          <w:color w:val="auto"/>
        </w:rPr>
        <w:t>.</w:t>
      </w:r>
      <w:r w:rsidR="001421D9" w:rsidRPr="00E5654E">
        <w:rPr>
          <w:color w:val="auto"/>
        </w:rPr>
        <w:t xml:space="preserve"> Data are expressed as</w:t>
      </w:r>
      <w:r w:rsidR="001421D9" w:rsidRPr="00E5654E">
        <w:rPr>
          <w:rFonts w:hint="eastAsia"/>
          <w:color w:val="auto"/>
        </w:rPr>
        <w:t xml:space="preserve"> </w:t>
      </w:r>
      <w:r w:rsidR="001421D9" w:rsidRPr="00E5654E">
        <w:rPr>
          <w:color w:val="auto"/>
        </w:rPr>
        <w:t>the mean ± SD. Differences between two</w:t>
      </w:r>
      <w:r w:rsidR="001421D9" w:rsidRPr="00E5654E">
        <w:rPr>
          <w:rFonts w:hint="eastAsia"/>
          <w:color w:val="auto"/>
        </w:rPr>
        <w:t xml:space="preserve"> </w:t>
      </w:r>
      <w:r w:rsidR="001421D9" w:rsidRPr="00E5654E">
        <w:rPr>
          <w:color w:val="auto"/>
        </w:rPr>
        <w:t xml:space="preserve">groups were determined by unpaired </w:t>
      </w:r>
      <w:r w:rsidR="001421D9" w:rsidRPr="00E5654E">
        <w:rPr>
          <w:i/>
          <w:iCs/>
          <w:color w:val="auto"/>
        </w:rPr>
        <w:t>t</w:t>
      </w:r>
      <w:r w:rsidR="001421D9" w:rsidRPr="00E5654E">
        <w:rPr>
          <w:color w:val="auto"/>
        </w:rPr>
        <w:t>-test.</w:t>
      </w:r>
    </w:p>
    <w:p w14:paraId="77B1AABF" w14:textId="77777777" w:rsidR="009F76E7" w:rsidRPr="00E5654E" w:rsidRDefault="009F76E7" w:rsidP="009F76E7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E5654E">
        <w:br w:type="page"/>
      </w:r>
      <w:bookmarkStart w:id="0" w:name="_GoBack"/>
      <w:bookmarkEnd w:id="0"/>
    </w:p>
    <w:p w14:paraId="5682881A" w14:textId="35CC3FA0" w:rsidR="00172345" w:rsidRPr="00E5654E" w:rsidRDefault="00DD37B0" w:rsidP="009F76E7">
      <w:pPr>
        <w:pStyle w:val="Default"/>
        <w:spacing w:line="360" w:lineRule="auto"/>
        <w:jc w:val="center"/>
        <w:rPr>
          <w:color w:val="auto"/>
        </w:rPr>
      </w:pPr>
      <w:r w:rsidRPr="00E5654E">
        <w:rPr>
          <w:noProof/>
          <w:color w:val="auto"/>
        </w:rPr>
        <w:lastRenderedPageBreak/>
        <w:drawing>
          <wp:inline distT="0" distB="0" distL="0" distR="0" wp14:anchorId="2648BC7B" wp14:editId="5CED983D">
            <wp:extent cx="5274310" cy="2221865"/>
            <wp:effectExtent l="0" t="0" r="254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762BA" w14:textId="04BB53BC" w:rsidR="001E48E2" w:rsidRPr="00E5654E" w:rsidRDefault="00172345" w:rsidP="009F76E7">
      <w:pPr>
        <w:pStyle w:val="Default"/>
        <w:spacing w:line="360" w:lineRule="auto"/>
        <w:jc w:val="both"/>
        <w:rPr>
          <w:color w:val="auto"/>
        </w:rPr>
      </w:pPr>
      <w:r w:rsidRPr="00E5654E">
        <w:rPr>
          <w:rFonts w:eastAsia="宋体"/>
          <w:b/>
          <w:bCs/>
          <w:color w:val="auto"/>
        </w:rPr>
        <w:t>Fig. S</w:t>
      </w:r>
      <w:r w:rsidR="006C452A" w:rsidRPr="00E5654E">
        <w:rPr>
          <w:rFonts w:eastAsia="宋体"/>
          <w:b/>
          <w:bCs/>
          <w:color w:val="auto"/>
        </w:rPr>
        <w:t>2</w:t>
      </w:r>
      <w:r w:rsidR="00922302" w:rsidRPr="00E5654E">
        <w:rPr>
          <w:rFonts w:eastAsia="宋体"/>
          <w:b/>
          <w:bCs/>
          <w:color w:val="auto"/>
        </w:rPr>
        <w:t>.</w:t>
      </w:r>
      <w:r w:rsidRPr="00E5654E">
        <w:rPr>
          <w:rFonts w:hint="eastAsia"/>
          <w:color w:val="auto"/>
        </w:rPr>
        <w:t xml:space="preserve"> </w:t>
      </w:r>
      <w:r w:rsidRPr="00E5654E">
        <w:rPr>
          <w:b/>
          <w:color w:val="auto"/>
        </w:rPr>
        <w:t>Prophylactic treatments of PTUPB</w:t>
      </w:r>
      <w:r w:rsidRPr="00E5654E">
        <w:rPr>
          <w:rFonts w:eastAsia="宋体"/>
          <w:b/>
          <w:bCs/>
          <w:color w:val="auto"/>
        </w:rPr>
        <w:t xml:space="preserve"> have no effect on total Smads protein in AECs.</w:t>
      </w:r>
      <w:r w:rsidRPr="00E5654E">
        <w:rPr>
          <w:color w:val="auto"/>
        </w:rPr>
        <w:t xml:space="preserve"> </w:t>
      </w:r>
      <w:r w:rsidRPr="00E5654E">
        <w:rPr>
          <w:rFonts w:eastAsia="宋体"/>
          <w:color w:val="auto"/>
        </w:rPr>
        <w:t>Cells were treated with PTUPB (1 μM) for 1 h before the treatment with TGF-β1 (10 ng/mL). Thirty Minutes after the TGF-β1 administration, the protein expressions of Smad2 and Smad3 in A549 cells (a-</w:t>
      </w:r>
      <w:r w:rsidR="00DD37B0" w:rsidRPr="00E5654E">
        <w:rPr>
          <w:rFonts w:eastAsia="宋体"/>
          <w:color w:val="auto"/>
        </w:rPr>
        <w:t>b</w:t>
      </w:r>
      <w:r w:rsidRPr="00E5654E">
        <w:rPr>
          <w:rFonts w:eastAsia="宋体"/>
          <w:color w:val="auto"/>
        </w:rPr>
        <w:t xml:space="preserve">, </w:t>
      </w:r>
      <w:r w:rsidRPr="00E5654E">
        <w:rPr>
          <w:rFonts w:eastAsia="宋体"/>
          <w:i/>
          <w:iCs/>
          <w:color w:val="auto"/>
        </w:rPr>
        <w:t>n</w:t>
      </w:r>
      <w:r w:rsidRPr="00E5654E">
        <w:rPr>
          <w:rFonts w:eastAsia="宋体"/>
          <w:color w:val="auto"/>
        </w:rPr>
        <w:t>=3) and MLE12 cells (</w:t>
      </w:r>
      <w:r w:rsidR="00DD37B0" w:rsidRPr="00E5654E">
        <w:rPr>
          <w:rFonts w:eastAsia="宋体" w:hint="eastAsia"/>
          <w:color w:val="auto"/>
        </w:rPr>
        <w:t>c</w:t>
      </w:r>
      <w:r w:rsidRPr="00E5654E">
        <w:rPr>
          <w:rFonts w:eastAsia="宋体"/>
          <w:color w:val="auto"/>
        </w:rPr>
        <w:t>-</w:t>
      </w:r>
      <w:r w:rsidR="00DD37B0" w:rsidRPr="00E5654E">
        <w:rPr>
          <w:rFonts w:eastAsia="宋体"/>
          <w:color w:val="auto"/>
        </w:rPr>
        <w:t>d</w:t>
      </w:r>
      <w:r w:rsidRPr="00E5654E">
        <w:rPr>
          <w:rFonts w:eastAsia="宋体"/>
          <w:color w:val="auto"/>
        </w:rPr>
        <w:t xml:space="preserve">, </w:t>
      </w:r>
      <w:r w:rsidRPr="00E5654E">
        <w:rPr>
          <w:rFonts w:eastAsia="宋体"/>
          <w:i/>
          <w:iCs/>
          <w:color w:val="auto"/>
        </w:rPr>
        <w:t>n</w:t>
      </w:r>
      <w:r w:rsidRPr="00E5654E">
        <w:rPr>
          <w:rFonts w:eastAsia="宋体"/>
          <w:color w:val="auto"/>
        </w:rPr>
        <w:t>=3) were detected by western blotting.</w:t>
      </w:r>
      <w:r w:rsidRPr="00E5654E">
        <w:rPr>
          <w:color w:val="auto"/>
        </w:rPr>
        <w:t xml:space="preserve"> Data are expressed as the mean ± SD. Differences among multiple groups were performed using ANOVA. Tukey’s test was used as a post hoc test to make pairwise comparisons.</w:t>
      </w:r>
    </w:p>
    <w:sectPr w:rsidR="001E48E2" w:rsidRPr="00E5654E" w:rsidSect="009F76E7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088C3" w14:textId="77777777" w:rsidR="00D55E3B" w:rsidRDefault="00D55E3B" w:rsidP="00A53444">
      <w:r>
        <w:separator/>
      </w:r>
    </w:p>
  </w:endnote>
  <w:endnote w:type="continuationSeparator" w:id="0">
    <w:p w14:paraId="15B70202" w14:textId="77777777" w:rsidR="00D55E3B" w:rsidRDefault="00D55E3B" w:rsidP="00A53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F85143" w14:textId="77777777" w:rsidR="00D55E3B" w:rsidRDefault="00D55E3B" w:rsidP="00A53444">
      <w:r>
        <w:separator/>
      </w:r>
    </w:p>
  </w:footnote>
  <w:footnote w:type="continuationSeparator" w:id="0">
    <w:p w14:paraId="2DA27329" w14:textId="77777777" w:rsidR="00D55E3B" w:rsidRDefault="00D55E3B" w:rsidP="00A53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U2sDSxNDI3MTIwNDRR0lEKTi0uzszPAykwrwUAjY8AjiwAAAA="/>
  </w:docVars>
  <w:rsids>
    <w:rsidRoot w:val="00335E19"/>
    <w:rsid w:val="00063119"/>
    <w:rsid w:val="00072067"/>
    <w:rsid w:val="001421D9"/>
    <w:rsid w:val="00172345"/>
    <w:rsid w:val="001E48E2"/>
    <w:rsid w:val="001F012E"/>
    <w:rsid w:val="002F3C32"/>
    <w:rsid w:val="00335E19"/>
    <w:rsid w:val="003A288F"/>
    <w:rsid w:val="004F3D5B"/>
    <w:rsid w:val="006C452A"/>
    <w:rsid w:val="00922302"/>
    <w:rsid w:val="009F76E7"/>
    <w:rsid w:val="00A53444"/>
    <w:rsid w:val="00AD3126"/>
    <w:rsid w:val="00CD4B18"/>
    <w:rsid w:val="00D55E3B"/>
    <w:rsid w:val="00DD37B0"/>
    <w:rsid w:val="00E5654E"/>
    <w:rsid w:val="00F5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6890FD"/>
  <w15:chartTrackingRefBased/>
  <w15:docId w15:val="{5FE8048A-DB5B-495F-9A66-04E395A9C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3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34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3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3444"/>
    <w:rPr>
      <w:sz w:val="18"/>
      <w:szCs w:val="18"/>
    </w:rPr>
  </w:style>
  <w:style w:type="paragraph" w:customStyle="1" w:styleId="Default">
    <w:name w:val="Default"/>
    <w:rsid w:val="00A5344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5344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534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143</Words>
  <Characters>818</Characters>
  <Application>Microsoft Office Word</Application>
  <DocSecurity>0</DocSecurity>
  <Lines>6</Lines>
  <Paragraphs>1</Paragraphs>
  <ScaleCrop>false</ScaleCrop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晨宇</dc:creator>
  <cp:keywords/>
  <dc:description/>
  <cp:lastModifiedBy>张 晨宇</cp:lastModifiedBy>
  <cp:revision>12</cp:revision>
  <dcterms:created xsi:type="dcterms:W3CDTF">2021-09-05T09:58:00Z</dcterms:created>
  <dcterms:modified xsi:type="dcterms:W3CDTF">2021-09-24T10:42:00Z</dcterms:modified>
</cp:coreProperties>
</file>