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2864" w14:textId="77777777" w:rsidR="00282C0D" w:rsidRDefault="00282C0D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Interview Guide</w:t>
      </w:r>
    </w:p>
    <w:p w14:paraId="4B4E42E6" w14:textId="77777777" w:rsidR="00282C0D" w:rsidRDefault="00282C0D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p w14:paraId="798CE33C" w14:textId="73F64F54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Example of a </w:t>
      </w: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Clinical Case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: </w:t>
      </w:r>
    </w:p>
    <w:p w14:paraId="7C98DD5C" w14:textId="77777777" w:rsid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68-year-old man, type 2 diabetic, stroke 2 years ago </w:t>
      </w:r>
    </w:p>
    <w:p w14:paraId="7F715B0B" w14:textId="77777777" w:rsid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Treatment: metformin, Eliquis, Irbesartan </w:t>
      </w:r>
    </w:p>
    <w:p w14:paraId="3E297A81" w14:textId="77777777" w:rsid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Allergy: none </w:t>
      </w:r>
    </w:p>
    <w:p w14:paraId="321E163E" w14:textId="7599E25E" w:rsid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He brings his latest blood test showing a glycated 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haemoglobin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level of 7.5%. </w:t>
      </w:r>
    </w:p>
    <w:p w14:paraId="3397CFC3" w14:textId="3E485F95" w:rsid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He does not 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smoke;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he does not drink. </w:t>
      </w:r>
    </w:p>
    <w:p w14:paraId="2CF65E26" w14:textId="47481699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patient has been referred by his dentist for extraction of fractured tooth 16.</w:t>
      </w:r>
    </w:p>
    <w:p w14:paraId="02869A1F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5205B2E8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00D3413A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1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assessed the student's ability to conduct the initial interview with a new oral surgery patient (history-taking)</w:t>
      </w:r>
    </w:p>
    <w:p w14:paraId="4379F6C2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What questions do you ask your patient during the initial interview?</w:t>
      </w:r>
    </w:p>
    <w:p w14:paraId="38FC5327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What is your medical and surgical history?</w:t>
      </w:r>
    </w:p>
    <w:p w14:paraId="430ECE5E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Do you take any medication daily? Do you have your prescription with you?</w:t>
      </w:r>
    </w:p>
    <w:p w14:paraId="2A0FC5C4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Do you have any drug allergies?</w:t>
      </w:r>
    </w:p>
    <w:p w14:paraId="3A22ACF8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Do you smoke?</w:t>
      </w:r>
    </w:p>
    <w:p w14:paraId="5F528BD8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 you have a recent complete blood test?</w:t>
      </w:r>
    </w:p>
    <w:p w14:paraId="7CCBD0EE" w14:textId="77777777" w:rsidR="00203952" w:rsidRPr="00203952" w:rsidRDefault="00203952" w:rsidP="0020395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Are you fasting?</w:t>
      </w:r>
    </w:p>
    <w:p w14:paraId="321B3725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1A3C56D4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591F4382" w14:textId="3340E8FD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2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provided the answers to this interview and tested the student's ability to identify peri-operative risks within those answers:</w:t>
      </w:r>
    </w:p>
    <w:p w14:paraId="1F6DAD7E" w14:textId="77777777" w:rsidR="00203952" w:rsidRPr="00203952" w:rsidRDefault="00203952" w:rsidP="002039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Infectious risk</w:t>
      </w:r>
    </w:p>
    <w:p w14:paraId="4DA57764" w14:textId="77777777" w:rsidR="00203952" w:rsidRPr="00203952" w:rsidRDefault="00203952" w:rsidP="002039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Haemorrhagic risk</w:t>
      </w:r>
    </w:p>
    <w:p w14:paraId="5FE20F24" w14:textId="77777777" w:rsidR="00203952" w:rsidRPr="00203952" w:rsidRDefault="00203952" w:rsidP="002039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Infectious AND haemorrhagic risk</w:t>
      </w:r>
    </w:p>
    <w:p w14:paraId="7E6BD3C8" w14:textId="77777777" w:rsidR="00203952" w:rsidRPr="00203952" w:rsidRDefault="00203952" w:rsidP="0020395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No particular risk</w:t>
      </w:r>
    </w:p>
    <w:p w14:paraId="09A89B97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3B77D48F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2465B3F8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3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was a course-based question somewhat detached from the scenario: the student had to select the population groups corresponding to populations at infectious risk:</w:t>
      </w:r>
    </w:p>
    <w:p w14:paraId="6CB5E8D7" w14:textId="77777777" w:rsidR="00203952" w:rsidRPr="00203952" w:rsidRDefault="00203952" w:rsidP="002039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HIV-positive patient, with a CD4 T-cell count of 400/mm³, without agranulocytosis and without thrombocytopenia</w:t>
      </w:r>
    </w:p>
    <w:p w14:paraId="19B25F58" w14:textId="77777777" w:rsidR="00203952" w:rsidRPr="00203952" w:rsidRDefault="00203952" w:rsidP="002039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Patient with a stent and on Previscan</w:t>
      </w:r>
    </w:p>
    <w:p w14:paraId="6B006159" w14:textId="77777777" w:rsidR="00203952" w:rsidRPr="00203952" w:rsidRDefault="00203952" w:rsidP="002039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lastRenderedPageBreak/>
        <w:t>Patient with penicillin allergy</w:t>
      </w:r>
    </w:p>
    <w:p w14:paraId="08A37DE2" w14:textId="77777777" w:rsidR="00203952" w:rsidRPr="00203952" w:rsidRDefault="00203952" w:rsidP="0020395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Patient with moderate chronic renal failure</w:t>
      </w:r>
    </w:p>
    <w:p w14:paraId="032105D2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5DC569E4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24E8FE0A" w14:textId="29E4956F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4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was 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like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Question 3, but this time concerning populations at haemorrhagic risk:</w:t>
      </w:r>
    </w:p>
    <w:p w14:paraId="19669AAE" w14:textId="77777777" w:rsidR="00203952" w:rsidRPr="00203952" w:rsidRDefault="00203952" w:rsidP="0020395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Haemophiliac patient</w:t>
      </w:r>
    </w:p>
    <w:p w14:paraId="1048D5E9" w14:textId="77777777" w:rsidR="00203952" w:rsidRPr="00203952" w:rsidRDefault="00203952" w:rsidP="0020395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Smoking patient</w:t>
      </w:r>
    </w:p>
    <w:p w14:paraId="5543172C" w14:textId="77777777" w:rsidR="00203952" w:rsidRPr="00203952" w:rsidRDefault="00203952" w:rsidP="0020395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Patient on Previscan</w:t>
      </w:r>
    </w:p>
    <w:p w14:paraId="09DCD06C" w14:textId="77777777" w:rsidR="00203952" w:rsidRPr="00203952" w:rsidRDefault="00203952" w:rsidP="0020395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Patient with a history of infective endocarditis</w:t>
      </w:r>
    </w:p>
    <w:p w14:paraId="7734861D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38C3F39D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350A004B" w14:textId="0A79204B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Question 5 : </w:t>
      </w: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student </w:t>
      </w: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must</w:t>
      </w: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identif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y</w:t>
      </w: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the existing risk(s) for their patient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we assessed their knowledge in managing these risks (antibiotic prophylaxis, etc.):</w:t>
      </w:r>
    </w:p>
    <w:p w14:paraId="5BBA1D87" w14:textId="77777777" w:rsidR="00203952" w:rsidRPr="00203952" w:rsidRDefault="00203952" w:rsidP="0020395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 prescribe antibiotic prophylaxis: 2g of Amoxicillin 1 hour before the procedure</w:t>
      </w:r>
    </w:p>
    <w:p w14:paraId="0E0BAD8C" w14:textId="77777777" w:rsidR="00203952" w:rsidRPr="00203952" w:rsidRDefault="00203952" w:rsidP="0020395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 prescribe antibiotic prophylaxis: 2g of Amoxicillin 1 hour before the procedure, continued until mucosal healing</w:t>
      </w:r>
    </w:p>
    <w:p w14:paraId="710D7DBE" w14:textId="77777777" w:rsidR="00203952" w:rsidRPr="00203952" w:rsidRDefault="00203952" w:rsidP="0020395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 do not prescribe antibiotic prophylaxis</w:t>
      </w:r>
    </w:p>
    <w:p w14:paraId="2D9DD078" w14:textId="77777777" w:rsidR="00203952" w:rsidRPr="00203952" w:rsidRDefault="00203952" w:rsidP="0020395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 prescribe antibiotic prophylaxis: 600mg of Clindamycin 1 hour before the procedure</w:t>
      </w:r>
    </w:p>
    <w:p w14:paraId="1A535B65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7189F5D8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AE5F654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Questions 6, 7 and 8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focused on assessing knowledge of the consumable and non-consumable materials required to perform a tooth extraction:</w:t>
      </w:r>
    </w:p>
    <w:p w14:paraId="3327B6AE" w14:textId="77777777" w:rsidR="00203952" w:rsidRPr="00203952" w:rsidRDefault="00203952" w:rsidP="0020395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Haemostatic materials: Pangen, Surgicel, Exacyl, Vicryl Rapide sutures</w:t>
      </w:r>
    </w:p>
    <w:p w14:paraId="1597F39A" w14:textId="77777777" w:rsidR="00203952" w:rsidRPr="00203952" w:rsidRDefault="00203952" w:rsidP="0020395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Basic surgical tray</w:t>
      </w:r>
    </w:p>
    <w:p w14:paraId="01690BE1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Change the distractors for each clinical case (type of suture, anaesthesia, or unrelated items)</w:t>
      </w:r>
    </w:p>
    <w:p w14:paraId="35F95B4E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1B44FB5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3A308B64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9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assessed theoretical knowledge of peri-operative asepsis rules, namely: pre-operative perioral disinfection and surgical hand washing:</w:t>
      </w:r>
    </w:p>
    <w:p w14:paraId="73604847" w14:textId="77777777" w:rsidR="00203952" w:rsidRPr="00203952" w:rsidRDefault="00203952" w:rsidP="0020395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Surgical hand wash: brush, soap, alcohol-based hand rub (ABHR)</w:t>
      </w:r>
    </w:p>
    <w:p w14:paraId="4FC1BA89" w14:textId="77777777" w:rsidR="00203952" w:rsidRPr="00203952" w:rsidRDefault="00203952" w:rsidP="0020395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Perioral then intraoral disinfection: oral povidone-iodine</w:t>
      </w:r>
    </w:p>
    <w:p w14:paraId="561E0571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21FDE5B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C39A90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10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addressed needlestick and blood exposure incidents (AES protocol):</w:t>
      </w:r>
    </w:p>
    <w:p w14:paraId="630D7056" w14:textId="77777777" w:rsidR="00203952" w:rsidRPr="00203952" w:rsidRDefault="00203952" w:rsidP="0020395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Stop the procedure, notify the team in the operating room</w:t>
      </w:r>
    </w:p>
    <w:p w14:paraId="159B6DE9" w14:textId="77777777" w:rsidR="00203952" w:rsidRPr="00203952" w:rsidRDefault="00203952" w:rsidP="0020395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Place the puncture site in Dakin solution for 10 minutes after washing with soap and rinsing thoroughly</w:t>
      </w:r>
    </w:p>
    <w:p w14:paraId="06D42EE2" w14:textId="77777777" w:rsidR="00203952" w:rsidRPr="00203952" w:rsidRDefault="00203952" w:rsidP="0020395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If the patient's serological status is unknown, take a sample as soon as possible</w:t>
      </w:r>
    </w:p>
    <w:p w14:paraId="1517402A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lastRenderedPageBreak/>
        <w:pict w14:anchorId="1322B80F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805373E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Questions 11 and 12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concerned presyncope/lipothymia (definition, initial management, follow-up, etc.)</w:t>
      </w:r>
    </w:p>
    <w:p w14:paraId="3B2510E7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 13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tested the student's knowledge of post-extraction instructions to give to the patient.</w:t>
      </w:r>
    </w:p>
    <w:p w14:paraId="18063D6B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Questions 14 and 15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assessed the student's management of post-operative complications (infectious and haemorrhagic).</w:t>
      </w:r>
    </w:p>
    <w:p w14:paraId="426F00FF" w14:textId="77777777" w:rsidR="00203952" w:rsidRPr="00203952" w:rsidRDefault="00965C7C" w:rsidP="0020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965C7C">
        <w:rPr>
          <w:rFonts w:ascii="Times New Roman" w:eastAsia="Times New Roman" w:hAnsi="Times New Roman" w:cs="Times New Roman"/>
          <w:noProof/>
          <w:sz w:val="24"/>
          <w:szCs w:val="24"/>
          <w:lang w:val="en-GB" w:eastAsia="fr-FR"/>
          <w14:ligatures w14:val="standardContextual"/>
        </w:rPr>
        <w:pict w14:anchorId="42EE124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7860949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Appendix 2: Satisfaction Questionnaire</w:t>
      </w:r>
    </w:p>
    <w:p w14:paraId="2C1EF669" w14:textId="77777777" w:rsidR="00203952" w:rsidRPr="00203952" w:rsidRDefault="00203952" w:rsidP="002039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You have completed a teaching session in the form of a serious game.</w:t>
      </w:r>
    </w:p>
    <w:p w14:paraId="3ADFD929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Gender</w:t>
      </w:r>
    </w:p>
    <w:p w14:paraId="389ACA85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Age</w:t>
      </w:r>
    </w:p>
    <w:p w14:paraId="255814E1" w14:textId="2723F571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Did the teaching </w:t>
      </w:r>
      <w:r w:rsidR="00EC17EE"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deliver</w:t>
      </w: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the form of a serious game interest you? Yes / Rather yes / Rather no / No</w:t>
      </w:r>
    </w:p>
    <w:p w14:paraId="3F25B6EF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Was the teaching presented in the form of a serious game clear and pedagogically effective? Yes / Rather yes / Rather no / No</w:t>
      </w:r>
    </w:p>
    <w:p w14:paraId="24E7B555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How would you rate the consistency between the simulation session content and the topic addressed? Very satisfactory = 10 — Very unsatisfactory = 0</w:t>
      </w:r>
    </w:p>
    <w:p w14:paraId="682454CB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What is your overall assessment of the serious game? Very satisfactory = 10 — Very unsatisfactory = 0</w:t>
      </w:r>
    </w:p>
    <w:p w14:paraId="54D5E48F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What is your assessment of the lecture-based teaching provided in the module? Very satisfactory = 10 — Very unsatisfactory = 0</w:t>
      </w:r>
    </w:p>
    <w:p w14:paraId="2CAE229C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How would you describe the place of this serious game-based teaching in your training programme? Very useful / Useful / Not very useful / Useless</w:t>
      </w:r>
    </w:p>
    <w:p w14:paraId="2F727A4A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 your opinion, is the serious game-based teaching appropriate for your training? Yes / Rather yes / Rather no / No</w:t>
      </w:r>
    </w:p>
    <w:p w14:paraId="55CA2486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 you think the serious game will help you approach the clinical situations encountered during your clinical placements? Very confidently / Confidently / Not very confidently / Not at all confidently</w:t>
      </w:r>
    </w:p>
    <w:p w14:paraId="46E818FF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 you think the serious game session will help you approach the clinical situations encountered in your professional life? Very confidently / Confidently / Not very confidently / Not at all confidently</w:t>
      </w:r>
    </w:p>
    <w:p w14:paraId="5113D331" w14:textId="77777777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Do you think the serious game-based teaching has allowed you to develop skills that complement those gained through traditional theoretical teaching (lectures, online resources)? Yes / Rather yes / Rather no / No If so, why:</w:t>
      </w:r>
    </w:p>
    <w:p w14:paraId="0099CF81" w14:textId="298BC5D8" w:rsidR="00203952" w:rsidRPr="00203952" w:rsidRDefault="00203952" w:rsidP="0020395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0395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Open comment</w:t>
      </w:r>
    </w:p>
    <w:p w14:paraId="634796D8" w14:textId="77777777" w:rsidR="00C43485" w:rsidRPr="00203952" w:rsidRDefault="00C43485" w:rsidP="00203952">
      <w:pPr>
        <w:rPr>
          <w:lang w:val="en-GB"/>
        </w:rPr>
      </w:pPr>
    </w:p>
    <w:sectPr w:rsidR="00C43485" w:rsidRPr="0020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2C6D"/>
    <w:multiLevelType w:val="multilevel"/>
    <w:tmpl w:val="0308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96639"/>
    <w:multiLevelType w:val="multilevel"/>
    <w:tmpl w:val="C65A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10534"/>
    <w:multiLevelType w:val="multilevel"/>
    <w:tmpl w:val="7860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9505F"/>
    <w:multiLevelType w:val="hybridMultilevel"/>
    <w:tmpl w:val="366AD446"/>
    <w:lvl w:ilvl="0" w:tplc="2D7424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3628"/>
    <w:multiLevelType w:val="multilevel"/>
    <w:tmpl w:val="C4E4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73F50"/>
    <w:multiLevelType w:val="hybridMultilevel"/>
    <w:tmpl w:val="39CA79BA"/>
    <w:lvl w:ilvl="0" w:tplc="42EE06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A3EED"/>
    <w:multiLevelType w:val="multilevel"/>
    <w:tmpl w:val="9CB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70528"/>
    <w:multiLevelType w:val="multilevel"/>
    <w:tmpl w:val="E76A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F487E"/>
    <w:multiLevelType w:val="hybridMultilevel"/>
    <w:tmpl w:val="969E9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634C4"/>
    <w:multiLevelType w:val="multilevel"/>
    <w:tmpl w:val="E402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616CE"/>
    <w:multiLevelType w:val="multilevel"/>
    <w:tmpl w:val="07C0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84D87"/>
    <w:multiLevelType w:val="multilevel"/>
    <w:tmpl w:val="D936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0341E8"/>
    <w:multiLevelType w:val="hybridMultilevel"/>
    <w:tmpl w:val="A9EA0266"/>
    <w:lvl w:ilvl="0" w:tplc="90823A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30F60"/>
    <w:multiLevelType w:val="hybridMultilevel"/>
    <w:tmpl w:val="330CA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E3C59"/>
    <w:multiLevelType w:val="multilevel"/>
    <w:tmpl w:val="E29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B4FC5"/>
    <w:multiLevelType w:val="hybridMultilevel"/>
    <w:tmpl w:val="DF520954"/>
    <w:lvl w:ilvl="0" w:tplc="42EE06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7034A"/>
    <w:multiLevelType w:val="multilevel"/>
    <w:tmpl w:val="CBB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0B52DB"/>
    <w:multiLevelType w:val="hybridMultilevel"/>
    <w:tmpl w:val="4E765338"/>
    <w:lvl w:ilvl="0" w:tplc="42EE06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51982">
    <w:abstractNumId w:val="13"/>
  </w:num>
  <w:num w:numId="2" w16cid:durableId="1314605115">
    <w:abstractNumId w:val="8"/>
  </w:num>
  <w:num w:numId="3" w16cid:durableId="1653754362">
    <w:abstractNumId w:val="12"/>
  </w:num>
  <w:num w:numId="4" w16cid:durableId="35323922">
    <w:abstractNumId w:val="15"/>
  </w:num>
  <w:num w:numId="5" w16cid:durableId="1415735437">
    <w:abstractNumId w:val="17"/>
  </w:num>
  <w:num w:numId="6" w16cid:durableId="1369337383">
    <w:abstractNumId w:val="5"/>
  </w:num>
  <w:num w:numId="7" w16cid:durableId="835654056">
    <w:abstractNumId w:val="3"/>
  </w:num>
  <w:num w:numId="8" w16cid:durableId="768426107">
    <w:abstractNumId w:val="1"/>
  </w:num>
  <w:num w:numId="9" w16cid:durableId="1893810349">
    <w:abstractNumId w:val="16"/>
  </w:num>
  <w:num w:numId="10" w16cid:durableId="28454850">
    <w:abstractNumId w:val="11"/>
  </w:num>
  <w:num w:numId="11" w16cid:durableId="564797856">
    <w:abstractNumId w:val="10"/>
  </w:num>
  <w:num w:numId="12" w16cid:durableId="1968463715">
    <w:abstractNumId w:val="9"/>
  </w:num>
  <w:num w:numId="13" w16cid:durableId="730889700">
    <w:abstractNumId w:val="6"/>
  </w:num>
  <w:num w:numId="14" w16cid:durableId="2123380696">
    <w:abstractNumId w:val="14"/>
  </w:num>
  <w:num w:numId="15" w16cid:durableId="831605247">
    <w:abstractNumId w:val="4"/>
  </w:num>
  <w:num w:numId="16" w16cid:durableId="1845318811">
    <w:abstractNumId w:val="0"/>
  </w:num>
  <w:num w:numId="17" w16cid:durableId="1105229763">
    <w:abstractNumId w:val="2"/>
  </w:num>
  <w:num w:numId="18" w16cid:durableId="1495419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52"/>
    <w:rsid w:val="00203952"/>
    <w:rsid w:val="00282C0D"/>
    <w:rsid w:val="00311DA3"/>
    <w:rsid w:val="007D1E3F"/>
    <w:rsid w:val="00965C7C"/>
    <w:rsid w:val="00C43485"/>
    <w:rsid w:val="00EC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5C70"/>
  <w15:chartTrackingRefBased/>
  <w15:docId w15:val="{01F65A2D-7975-1C4F-95BB-76DDF4DD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952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03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3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3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3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3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39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39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39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39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03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03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3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039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039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039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039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039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039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039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03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3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03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3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039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039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039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3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39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03952"/>
    <w:rPr>
      <w:b/>
      <w:bCs/>
      <w:smallCaps/>
      <w:color w:val="0F4761" w:themeColor="accent1" w:themeShade="BF"/>
      <w:spacing w:val="5"/>
    </w:rPr>
  </w:style>
  <w:style w:type="paragraph" w:styleId="Notedefin">
    <w:name w:val="endnote text"/>
    <w:basedOn w:val="Normal"/>
    <w:link w:val="NotedefinCar"/>
    <w:uiPriority w:val="99"/>
    <w:unhideWhenUsed/>
    <w:rsid w:val="0020395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03952"/>
    <w:rPr>
      <w:kern w:val="0"/>
      <w:sz w:val="20"/>
      <w:szCs w:val="20"/>
      <w14:ligatures w14:val="none"/>
    </w:rPr>
  </w:style>
  <w:style w:type="paragraph" w:customStyle="1" w:styleId="font-claude-response-body">
    <w:name w:val="font-claude-response-body"/>
    <w:basedOn w:val="Normal"/>
    <w:rsid w:val="0020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03952"/>
    <w:rPr>
      <w:b/>
      <w:bCs/>
    </w:rPr>
  </w:style>
  <w:style w:type="paragraph" w:customStyle="1" w:styleId="whitespace-normal">
    <w:name w:val="whitespace-normal"/>
    <w:basedOn w:val="Normal"/>
    <w:rsid w:val="0020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039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763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Eugenie LONGE</dc:creator>
  <cp:keywords/>
  <dc:description/>
  <cp:lastModifiedBy>Eugenie LONGE</cp:lastModifiedBy>
  <cp:revision>2</cp:revision>
  <dcterms:created xsi:type="dcterms:W3CDTF">2026-05-01T18:50:00Z</dcterms:created>
  <dcterms:modified xsi:type="dcterms:W3CDTF">2026-05-01T19:02:00Z</dcterms:modified>
</cp:coreProperties>
</file>