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66048" w14:textId="7999B508" w:rsidR="00B708BF" w:rsidRDefault="00B708BF">
      <w:pPr>
        <w:widowControl/>
        <w:jc w:val="left"/>
        <w:rPr>
          <w:rFonts w:ascii="Times New Roman" w:hAnsi="Times New Roman" w:cs="Times New Roman"/>
          <w:sz w:val="24"/>
          <w:szCs w:val="28"/>
        </w:rPr>
      </w:pPr>
      <w:bookmarkStart w:id="0" w:name="_Hlk211352612"/>
      <w:bookmarkEnd w:id="0"/>
    </w:p>
    <w:p w14:paraId="0A4F6598" w14:textId="77777777" w:rsidR="00B708BF" w:rsidRDefault="00B708BF">
      <w:pPr>
        <w:widowControl/>
        <w:jc w:val="left"/>
        <w:rPr>
          <w:rFonts w:ascii="Times New Roman" w:hAnsi="Times New Roman" w:cs="Times New Roman"/>
          <w:sz w:val="24"/>
          <w:szCs w:val="28"/>
        </w:rPr>
      </w:pPr>
    </w:p>
    <w:p w14:paraId="30382936" w14:textId="77777777" w:rsidR="00B708BF" w:rsidRDefault="00B708BF">
      <w:pPr>
        <w:widowControl/>
        <w:jc w:val="left"/>
        <w:rPr>
          <w:rFonts w:ascii="Times New Roman" w:hAnsi="Times New Roman" w:cs="Times New Roman"/>
          <w:sz w:val="24"/>
          <w:szCs w:val="28"/>
        </w:rPr>
      </w:pPr>
    </w:p>
    <w:p w14:paraId="7308E446" w14:textId="1ABDAF65" w:rsidR="00B708BF" w:rsidRPr="00D629F7" w:rsidRDefault="00B708BF" w:rsidP="00B708BF">
      <w:pPr>
        <w:widowControl/>
        <w:jc w:val="center"/>
        <w:rPr>
          <w:rFonts w:ascii="Times New Roman" w:hAnsi="Times New Roman" w:cs="Times New Roman"/>
          <w:b/>
          <w:bCs/>
          <w:sz w:val="24"/>
          <w:szCs w:val="24"/>
        </w:rPr>
      </w:pPr>
      <w:r w:rsidRPr="00D629F7">
        <w:rPr>
          <w:rFonts w:ascii="Times New Roman" w:hAnsi="Times New Roman" w:cs="Times New Roman" w:hint="eastAsia"/>
          <w:b/>
          <w:bCs/>
          <w:sz w:val="24"/>
          <w:szCs w:val="24"/>
        </w:rPr>
        <w:t>Supplementary Information</w:t>
      </w:r>
    </w:p>
    <w:p w14:paraId="336E01C1" w14:textId="77777777" w:rsidR="00B708BF" w:rsidRPr="00D629F7" w:rsidRDefault="00B708BF" w:rsidP="00B708BF">
      <w:pPr>
        <w:widowControl/>
        <w:jc w:val="center"/>
        <w:rPr>
          <w:rFonts w:ascii="Times New Roman" w:hAnsi="Times New Roman" w:cs="Times New Roman"/>
          <w:b/>
          <w:bCs/>
          <w:sz w:val="24"/>
          <w:szCs w:val="24"/>
        </w:rPr>
      </w:pPr>
    </w:p>
    <w:p w14:paraId="03953DDE" w14:textId="03C3FC17" w:rsidR="00B708BF" w:rsidRPr="00D629F7" w:rsidRDefault="00B708BF" w:rsidP="00B708BF">
      <w:pPr>
        <w:widowControl/>
        <w:jc w:val="center"/>
        <w:rPr>
          <w:rFonts w:ascii="Times New Roman" w:hAnsi="Times New Roman" w:cs="Times New Roman"/>
          <w:b/>
          <w:bCs/>
          <w:sz w:val="24"/>
          <w:szCs w:val="24"/>
        </w:rPr>
      </w:pPr>
      <w:r w:rsidRPr="00D629F7">
        <w:rPr>
          <w:rFonts w:ascii="Times New Roman" w:hAnsi="Times New Roman" w:cs="Times New Roman"/>
          <w:b/>
          <w:bCs/>
          <w:sz w:val="24"/>
          <w:szCs w:val="24"/>
        </w:rPr>
        <w:t>O</w:t>
      </w:r>
      <w:r w:rsidRPr="00D629F7">
        <w:rPr>
          <w:rFonts w:ascii="Times New Roman" w:hAnsi="Times New Roman" w:cs="Times New Roman" w:hint="eastAsia"/>
          <w:b/>
          <w:bCs/>
          <w:sz w:val="24"/>
          <w:szCs w:val="24"/>
        </w:rPr>
        <w:t>f</w:t>
      </w:r>
    </w:p>
    <w:p w14:paraId="37025E05" w14:textId="77777777" w:rsidR="00B708BF" w:rsidRPr="00D629F7" w:rsidRDefault="00B708BF" w:rsidP="00B708BF">
      <w:pPr>
        <w:widowControl/>
        <w:jc w:val="center"/>
        <w:rPr>
          <w:rFonts w:ascii="Times New Roman" w:hAnsi="Times New Roman" w:cs="Times New Roman"/>
          <w:sz w:val="24"/>
          <w:szCs w:val="24"/>
        </w:rPr>
      </w:pPr>
    </w:p>
    <w:p w14:paraId="48BF1E9B" w14:textId="364FF6A1" w:rsidR="001C4AFC" w:rsidRDefault="00D37FAD" w:rsidP="001C4AFC">
      <w:pPr>
        <w:jc w:val="center"/>
        <w:rPr>
          <w:rFonts w:ascii="Times New Roman" w:hAnsi="Times New Roman" w:cs="Times New Roman"/>
          <w:b/>
          <w:bCs/>
          <w:sz w:val="24"/>
          <w:szCs w:val="24"/>
          <w:lang w:val="en-GB"/>
        </w:rPr>
      </w:pPr>
      <w:r w:rsidRPr="00D37FAD">
        <w:rPr>
          <w:rFonts w:ascii="Times New Roman" w:hAnsi="Times New Roman" w:cs="Times New Roman"/>
          <w:b/>
          <w:bCs/>
          <w:sz w:val="24"/>
          <w:szCs w:val="24"/>
          <w:lang w:val="en-GB"/>
        </w:rPr>
        <w:t>Coseismic InSAR reveals stronger topographic amplification proxies far from faults</w:t>
      </w:r>
    </w:p>
    <w:p w14:paraId="7EB44AC1" w14:textId="77777777" w:rsidR="00D37FAD" w:rsidRPr="001C4AFC" w:rsidRDefault="00D37FAD" w:rsidP="001C4AFC">
      <w:pPr>
        <w:jc w:val="center"/>
        <w:rPr>
          <w:rFonts w:ascii="Times New Roman" w:hAnsi="Times New Roman" w:cs="Times New Roman"/>
          <w:b/>
          <w:bCs/>
          <w:sz w:val="22"/>
          <w:lang w:val="en-GB"/>
        </w:rPr>
      </w:pPr>
    </w:p>
    <w:p w14:paraId="6705F1FA" w14:textId="77777777" w:rsidR="001C4AFC" w:rsidRPr="001C4AFC" w:rsidRDefault="001C4AFC" w:rsidP="001C4AFC">
      <w:pPr>
        <w:widowControl/>
        <w:spacing w:afterLines="50" w:after="156"/>
        <w:jc w:val="center"/>
        <w:rPr>
          <w:rFonts w:ascii="Times New Roman" w:hAnsi="Times New Roman" w:cs="Times New Roman"/>
          <w:sz w:val="22"/>
        </w:rPr>
      </w:pPr>
      <w:proofErr w:type="spellStart"/>
      <w:r w:rsidRPr="001C4AFC">
        <w:rPr>
          <w:rFonts w:ascii="Times New Roman" w:hAnsi="Times New Roman" w:cs="Times New Roman" w:hint="eastAsia"/>
          <w:sz w:val="22"/>
        </w:rPr>
        <w:t>Congwei</w:t>
      </w:r>
      <w:proofErr w:type="spellEnd"/>
      <w:r w:rsidRPr="001C4AFC">
        <w:rPr>
          <w:rFonts w:ascii="Times New Roman" w:hAnsi="Times New Roman" w:cs="Times New Roman" w:hint="eastAsia"/>
          <w:sz w:val="22"/>
        </w:rPr>
        <w:t xml:space="preserve"> Yu</w:t>
      </w:r>
      <w:r w:rsidRPr="001C4AFC">
        <w:rPr>
          <w:rFonts w:ascii="Times New Roman" w:hAnsi="Times New Roman" w:cs="Times New Roman" w:hint="eastAsia"/>
          <w:sz w:val="22"/>
          <w:vertAlign w:val="superscript"/>
        </w:rPr>
        <w:t>1,2</w:t>
      </w:r>
      <w:r w:rsidRPr="001C4AFC">
        <w:rPr>
          <w:rFonts w:ascii="Times New Roman" w:hAnsi="Times New Roman" w:cs="Times New Roman" w:hint="eastAsia"/>
          <w:sz w:val="22"/>
        </w:rPr>
        <w:t xml:space="preserve">, </w:t>
      </w:r>
      <w:r w:rsidRPr="001C4AFC">
        <w:rPr>
          <w:rFonts w:ascii="Times New Roman" w:hAnsi="Times New Roman" w:cs="Times New Roman"/>
          <w:sz w:val="22"/>
        </w:rPr>
        <w:t>Ashok Dahal</w:t>
      </w:r>
      <w:r w:rsidRPr="001C4AFC">
        <w:rPr>
          <w:rFonts w:ascii="Times New Roman" w:hAnsi="Times New Roman" w:cs="Times New Roman" w:hint="eastAsia"/>
          <w:sz w:val="22"/>
          <w:vertAlign w:val="superscript"/>
        </w:rPr>
        <w:t>2</w:t>
      </w:r>
      <w:r w:rsidRPr="001C4AFC">
        <w:rPr>
          <w:rFonts w:ascii="Times New Roman" w:hAnsi="Times New Roman" w:cs="Times New Roman"/>
          <w:sz w:val="22"/>
        </w:rPr>
        <w:t>, Islam Fadel</w:t>
      </w:r>
      <w:r w:rsidRPr="001C4AFC">
        <w:rPr>
          <w:rFonts w:ascii="Times New Roman" w:hAnsi="Times New Roman" w:cs="Times New Roman" w:hint="eastAsia"/>
          <w:sz w:val="22"/>
          <w:vertAlign w:val="superscript"/>
        </w:rPr>
        <w:t>2</w:t>
      </w:r>
      <w:r w:rsidRPr="001C4AFC">
        <w:rPr>
          <w:rFonts w:ascii="Times New Roman" w:hAnsi="Times New Roman" w:cs="Times New Roman"/>
          <w:sz w:val="22"/>
        </w:rPr>
        <w:t>, A. Arda Özacar</w:t>
      </w:r>
      <w:r w:rsidRPr="001C4AFC">
        <w:rPr>
          <w:rFonts w:ascii="Times New Roman" w:hAnsi="Times New Roman" w:cs="Times New Roman"/>
          <w:sz w:val="22"/>
          <w:vertAlign w:val="superscript"/>
        </w:rPr>
        <w:t>3</w:t>
      </w:r>
      <w:r w:rsidRPr="001C4AFC">
        <w:rPr>
          <w:rFonts w:ascii="Times New Roman" w:hAnsi="Times New Roman" w:cs="Times New Roman"/>
          <w:sz w:val="22"/>
        </w:rPr>
        <w:t xml:space="preserve">, </w:t>
      </w:r>
      <w:proofErr w:type="spellStart"/>
      <w:r w:rsidRPr="001C4AFC">
        <w:rPr>
          <w:rFonts w:ascii="Times New Roman" w:hAnsi="Times New Roman" w:cs="Times New Roman"/>
          <w:sz w:val="22"/>
        </w:rPr>
        <w:t>Tolga</w:t>
      </w:r>
      <w:proofErr w:type="spellEnd"/>
      <w:r w:rsidRPr="001C4AFC">
        <w:rPr>
          <w:rFonts w:ascii="Times New Roman" w:hAnsi="Times New Roman" w:cs="Times New Roman"/>
          <w:sz w:val="22"/>
        </w:rPr>
        <w:t xml:space="preserve"> Görüm</w:t>
      </w:r>
      <w:r w:rsidRPr="001C4AFC">
        <w:rPr>
          <w:rFonts w:ascii="Times New Roman" w:hAnsi="Times New Roman" w:cs="Times New Roman"/>
          <w:sz w:val="22"/>
          <w:vertAlign w:val="superscript"/>
        </w:rPr>
        <w:t>4</w:t>
      </w:r>
      <w:r w:rsidRPr="001C4AFC">
        <w:rPr>
          <w:rFonts w:ascii="Times New Roman" w:hAnsi="Times New Roman" w:cs="Times New Roman"/>
          <w:sz w:val="22"/>
        </w:rPr>
        <w:t>, Weile Li</w:t>
      </w:r>
      <w:r w:rsidRPr="001C4AFC">
        <w:rPr>
          <w:rFonts w:ascii="Times New Roman" w:hAnsi="Times New Roman" w:cs="Times New Roman" w:hint="eastAsia"/>
          <w:sz w:val="22"/>
          <w:vertAlign w:val="superscript"/>
        </w:rPr>
        <w:t>1</w:t>
      </w:r>
      <w:r w:rsidRPr="001C4AFC">
        <w:rPr>
          <w:rFonts w:ascii="Times New Roman" w:hAnsi="Times New Roman" w:cs="Times New Roman"/>
          <w:sz w:val="22"/>
        </w:rPr>
        <w:t>, Hakan Tanyaş</w:t>
      </w:r>
      <w:r w:rsidRPr="001C4AFC">
        <w:rPr>
          <w:rFonts w:ascii="Times New Roman" w:hAnsi="Times New Roman" w:cs="Times New Roman" w:hint="eastAsia"/>
          <w:sz w:val="22"/>
          <w:vertAlign w:val="superscript"/>
        </w:rPr>
        <w:t>2</w:t>
      </w:r>
      <w:r w:rsidRPr="001C4AFC">
        <w:rPr>
          <w:rFonts w:ascii="Times New Roman" w:hAnsi="Times New Roman" w:cs="Times New Roman" w:hint="eastAsia"/>
          <w:sz w:val="22"/>
        </w:rPr>
        <w:t>*</w:t>
      </w:r>
    </w:p>
    <w:p w14:paraId="6A210392" w14:textId="77777777" w:rsidR="001C4AFC" w:rsidRPr="001C4AFC" w:rsidRDefault="001C4AFC" w:rsidP="001C4AFC">
      <w:pPr>
        <w:widowControl/>
        <w:spacing w:afterLines="50" w:after="156"/>
        <w:jc w:val="center"/>
        <w:rPr>
          <w:rFonts w:ascii="Times New Roman" w:hAnsi="Times New Roman" w:cs="Times New Roman"/>
          <w:sz w:val="22"/>
        </w:rPr>
      </w:pPr>
      <w:r w:rsidRPr="001C4AFC">
        <w:rPr>
          <w:rFonts w:ascii="Times New Roman" w:hAnsi="Times New Roman" w:cs="Times New Roman" w:hint="eastAsia"/>
          <w:sz w:val="22"/>
          <w:vertAlign w:val="superscript"/>
        </w:rPr>
        <w:t>1</w:t>
      </w:r>
      <w:r w:rsidRPr="001C4AFC">
        <w:rPr>
          <w:rFonts w:ascii="Times New Roman" w:hAnsi="Times New Roman" w:cs="Times New Roman" w:hint="eastAsia"/>
          <w:sz w:val="22"/>
        </w:rPr>
        <w:t xml:space="preserve"> </w:t>
      </w:r>
      <w:r w:rsidRPr="001C4AFC">
        <w:rPr>
          <w:rFonts w:ascii="Times New Roman" w:hAnsi="Times New Roman" w:cs="Times New Roman"/>
          <w:sz w:val="22"/>
        </w:rPr>
        <w:t xml:space="preserve">State Key Laboratory of Geohazard Prevention and </w:t>
      </w:r>
      <w:proofErr w:type="spellStart"/>
      <w:r w:rsidRPr="001C4AFC">
        <w:rPr>
          <w:rFonts w:ascii="Times New Roman" w:hAnsi="Times New Roman" w:cs="Times New Roman"/>
          <w:sz w:val="22"/>
        </w:rPr>
        <w:t>Geoenvironment</w:t>
      </w:r>
      <w:proofErr w:type="spellEnd"/>
      <w:r w:rsidRPr="001C4AFC">
        <w:rPr>
          <w:rFonts w:ascii="Times New Roman" w:hAnsi="Times New Roman" w:cs="Times New Roman"/>
          <w:sz w:val="22"/>
        </w:rPr>
        <w:t xml:space="preserve"> Protection, Chengdu University of Technology, Chengdu, China</w:t>
      </w:r>
    </w:p>
    <w:p w14:paraId="0F92ECA1" w14:textId="77777777" w:rsidR="001C4AFC" w:rsidRPr="001C4AFC" w:rsidRDefault="001C4AFC" w:rsidP="001C4AFC">
      <w:pPr>
        <w:widowControl/>
        <w:spacing w:afterLines="50" w:after="156"/>
        <w:jc w:val="center"/>
        <w:rPr>
          <w:rFonts w:ascii="Times New Roman" w:hAnsi="Times New Roman" w:cs="Times New Roman"/>
          <w:sz w:val="22"/>
        </w:rPr>
      </w:pPr>
      <w:r w:rsidRPr="001C4AFC">
        <w:rPr>
          <w:rFonts w:ascii="Times New Roman" w:hAnsi="Times New Roman" w:cs="Times New Roman" w:hint="eastAsia"/>
          <w:sz w:val="22"/>
          <w:vertAlign w:val="superscript"/>
        </w:rPr>
        <w:t>2</w:t>
      </w:r>
      <w:r w:rsidRPr="001C4AFC">
        <w:rPr>
          <w:sz w:val="22"/>
        </w:rPr>
        <w:t xml:space="preserve"> </w:t>
      </w:r>
      <w:r w:rsidRPr="001C4AFC">
        <w:rPr>
          <w:rFonts w:ascii="Times New Roman" w:hAnsi="Times New Roman" w:cs="Times New Roman"/>
          <w:sz w:val="22"/>
        </w:rPr>
        <w:t>Faculty of Geo-Information Science and Earth Observation (ITC),</w:t>
      </w:r>
      <w:r w:rsidRPr="001C4AFC">
        <w:rPr>
          <w:rFonts w:ascii="Times New Roman" w:hAnsi="Times New Roman" w:cs="Times New Roman" w:hint="eastAsia"/>
          <w:sz w:val="22"/>
        </w:rPr>
        <w:t xml:space="preserve"> </w:t>
      </w:r>
      <w:r w:rsidRPr="001C4AFC">
        <w:rPr>
          <w:rFonts w:ascii="Times New Roman" w:hAnsi="Times New Roman" w:cs="Times New Roman"/>
          <w:sz w:val="22"/>
        </w:rPr>
        <w:t>University of Twente, Enschede, the Netherlands</w:t>
      </w:r>
    </w:p>
    <w:p w14:paraId="128CA83E" w14:textId="77777777" w:rsidR="001C4AFC" w:rsidRPr="001C4AFC" w:rsidRDefault="001C4AFC" w:rsidP="001C4AFC">
      <w:pPr>
        <w:widowControl/>
        <w:spacing w:afterLines="50" w:after="156"/>
        <w:jc w:val="center"/>
        <w:rPr>
          <w:rFonts w:ascii="Times New Roman" w:hAnsi="Times New Roman" w:cs="Times New Roman"/>
          <w:sz w:val="22"/>
        </w:rPr>
      </w:pPr>
      <w:r w:rsidRPr="001C4AFC">
        <w:rPr>
          <w:rFonts w:ascii="Times New Roman" w:hAnsi="Times New Roman" w:cs="Times New Roman"/>
          <w:sz w:val="22"/>
          <w:vertAlign w:val="superscript"/>
        </w:rPr>
        <w:t>3</w:t>
      </w:r>
      <w:r w:rsidRPr="001C4AFC">
        <w:rPr>
          <w:rFonts w:ascii="Times New Roman" w:hAnsi="Times New Roman" w:cs="Times New Roman"/>
          <w:sz w:val="22"/>
        </w:rPr>
        <w:t>Department of Geological Engineering, Faculty of Engineering, Middle East Technical University, Ankara, Türkiye</w:t>
      </w:r>
    </w:p>
    <w:p w14:paraId="391F1E80" w14:textId="77777777" w:rsidR="001C4AFC" w:rsidRPr="001C4AFC" w:rsidRDefault="001C4AFC" w:rsidP="001C4AFC">
      <w:pPr>
        <w:widowControl/>
        <w:spacing w:afterLines="50" w:after="156"/>
        <w:jc w:val="center"/>
        <w:rPr>
          <w:rFonts w:ascii="Times New Roman" w:hAnsi="Times New Roman" w:cs="Times New Roman"/>
          <w:sz w:val="22"/>
        </w:rPr>
      </w:pPr>
      <w:r w:rsidRPr="001C4AFC">
        <w:rPr>
          <w:rFonts w:ascii="Times New Roman" w:hAnsi="Times New Roman" w:cs="Times New Roman"/>
          <w:sz w:val="22"/>
          <w:vertAlign w:val="superscript"/>
        </w:rPr>
        <w:t>4</w:t>
      </w:r>
      <w:r w:rsidRPr="001C4AFC">
        <w:rPr>
          <w:rFonts w:ascii="Times New Roman" w:hAnsi="Times New Roman" w:cs="Times New Roman"/>
          <w:sz w:val="22"/>
        </w:rPr>
        <w:t>Eurasia Institute of Earth Sciences, Istanbul Technical University, Istanbul, Türkiye</w:t>
      </w:r>
    </w:p>
    <w:p w14:paraId="79E1F561" w14:textId="77777777" w:rsidR="001C4AFC" w:rsidRPr="001C4AFC" w:rsidRDefault="001C4AFC" w:rsidP="001C4AFC">
      <w:pPr>
        <w:widowControl/>
        <w:spacing w:afterLines="50" w:after="156"/>
        <w:jc w:val="center"/>
        <w:rPr>
          <w:rFonts w:ascii="Times New Roman" w:hAnsi="Times New Roman" w:cs="Times New Roman"/>
          <w:sz w:val="22"/>
        </w:rPr>
      </w:pPr>
      <w:r w:rsidRPr="001C4AFC">
        <w:rPr>
          <w:rFonts w:ascii="Times New Roman" w:hAnsi="Times New Roman" w:cs="Times New Roman" w:hint="eastAsia"/>
          <w:sz w:val="22"/>
        </w:rPr>
        <w:t>*</w:t>
      </w:r>
      <w:r w:rsidRPr="001C4AFC">
        <w:rPr>
          <w:sz w:val="22"/>
        </w:rPr>
        <w:t xml:space="preserve"> </w:t>
      </w:r>
      <w:r w:rsidRPr="001C4AFC">
        <w:rPr>
          <w:rFonts w:ascii="Times New Roman" w:hAnsi="Times New Roman" w:cs="Times New Roman"/>
          <w:sz w:val="22"/>
        </w:rPr>
        <w:t xml:space="preserve">Corresponding author: Hakan </w:t>
      </w:r>
      <w:proofErr w:type="spellStart"/>
      <w:r w:rsidRPr="001C4AFC">
        <w:rPr>
          <w:rFonts w:ascii="Times New Roman" w:hAnsi="Times New Roman" w:cs="Times New Roman"/>
          <w:sz w:val="22"/>
        </w:rPr>
        <w:t>Tanyaş</w:t>
      </w:r>
      <w:proofErr w:type="spellEnd"/>
      <w:r w:rsidRPr="001C4AFC">
        <w:rPr>
          <w:rFonts w:ascii="Times New Roman" w:hAnsi="Times New Roman" w:cs="Times New Roman"/>
          <w:sz w:val="22"/>
        </w:rPr>
        <w:t xml:space="preserve"> (h.tanyas@utwente.nl)</w:t>
      </w:r>
    </w:p>
    <w:p w14:paraId="19F60E9D" w14:textId="0F9B64BF" w:rsidR="00B708BF" w:rsidRDefault="00B708B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5D1C6128" w14:textId="4098700A" w:rsidR="007907D0" w:rsidRDefault="007907D0">
      <w:pPr>
        <w:widowControl/>
        <w:jc w:val="left"/>
        <w:rPr>
          <w:rFonts w:ascii="Times New Roman" w:hAnsi="Times New Roman" w:cs="Times New Roman"/>
        </w:rPr>
        <w:sectPr w:rsidR="007907D0" w:rsidSect="003B5275">
          <w:pgSz w:w="11906" w:h="16838"/>
          <w:pgMar w:top="1440" w:right="1800" w:bottom="1440" w:left="1800" w:header="851" w:footer="992" w:gutter="0"/>
          <w:cols w:space="425"/>
          <w:docGrid w:type="lines" w:linePitch="312"/>
        </w:sectPr>
      </w:pPr>
    </w:p>
    <w:p w14:paraId="6C5E78AB" w14:textId="24BC7714" w:rsidR="00BD74C6" w:rsidRPr="00F41178" w:rsidRDefault="0071128D" w:rsidP="00F41178">
      <w:pPr>
        <w:rPr>
          <w:rFonts w:ascii="Times New Roman" w:hAnsi="Times New Roman" w:cs="Times New Roman"/>
          <w:sz w:val="24"/>
          <w:szCs w:val="28"/>
        </w:rPr>
      </w:pPr>
      <w:r w:rsidRPr="00093D12">
        <w:rPr>
          <w:rFonts w:ascii="Times New Roman" w:hAnsi="Times New Roman" w:cs="Times New Roman" w:hint="eastAsia"/>
          <w:b/>
          <w:bCs/>
          <w:sz w:val="24"/>
          <w:szCs w:val="28"/>
        </w:rPr>
        <w:t xml:space="preserve">Supplementary </w:t>
      </w:r>
      <w:r w:rsidR="00FC1976" w:rsidRPr="00093D12">
        <w:rPr>
          <w:rFonts w:ascii="Times New Roman" w:hAnsi="Times New Roman" w:cs="Times New Roman"/>
          <w:b/>
          <w:bCs/>
          <w:sz w:val="24"/>
          <w:szCs w:val="28"/>
        </w:rPr>
        <w:t xml:space="preserve">Table </w:t>
      </w:r>
      <w:r w:rsidR="1206D66A" w:rsidRPr="00093D12">
        <w:rPr>
          <w:rFonts w:ascii="Times New Roman" w:hAnsi="Times New Roman" w:cs="Times New Roman"/>
          <w:b/>
          <w:bCs/>
          <w:sz w:val="24"/>
          <w:szCs w:val="24"/>
        </w:rPr>
        <w:t>1</w:t>
      </w:r>
      <w:r w:rsidR="00BD74C6" w:rsidRPr="00F41178">
        <w:rPr>
          <w:rFonts w:ascii="Times New Roman" w:hAnsi="Times New Roman" w:cs="Times New Roman"/>
          <w:sz w:val="24"/>
          <w:szCs w:val="28"/>
        </w:rPr>
        <w:t xml:space="preserve"> </w:t>
      </w:r>
      <w:r w:rsidR="003B5275" w:rsidRPr="00F41178">
        <w:rPr>
          <w:rFonts w:ascii="Times New Roman" w:hAnsi="Times New Roman" w:cs="Times New Roman"/>
          <w:sz w:val="24"/>
          <w:szCs w:val="28"/>
        </w:rPr>
        <w:t>Details of InSAR sources and causative raptures in every earthquake events</w:t>
      </w:r>
    </w:p>
    <w:tbl>
      <w:tblPr>
        <w:tblStyle w:val="TableGrid"/>
        <w:tblW w:w="13750" w:type="dxa"/>
        <w:jc w:val="center"/>
        <w:tblBorders>
          <w:top w:val="single" w:sz="8"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7"/>
        <w:gridCol w:w="1528"/>
        <w:gridCol w:w="1528"/>
        <w:gridCol w:w="1528"/>
        <w:gridCol w:w="1527"/>
        <w:gridCol w:w="1528"/>
        <w:gridCol w:w="1528"/>
        <w:gridCol w:w="1528"/>
        <w:gridCol w:w="1528"/>
      </w:tblGrid>
      <w:tr w:rsidR="00B60857" w14:paraId="2B212AF0" w14:textId="0B029F2D" w:rsidTr="00B60857">
        <w:trPr>
          <w:trHeight w:val="205"/>
          <w:jc w:val="center"/>
        </w:trPr>
        <w:tc>
          <w:tcPr>
            <w:tcW w:w="1527" w:type="dxa"/>
            <w:vMerge w:val="restart"/>
          </w:tcPr>
          <w:p w14:paraId="3551A2D4" w14:textId="77777777" w:rsidR="00B60857" w:rsidRPr="00E1114B" w:rsidRDefault="00B60857"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Event</w:t>
            </w:r>
          </w:p>
        </w:tc>
        <w:tc>
          <w:tcPr>
            <w:tcW w:w="1528" w:type="dxa"/>
            <w:vMerge w:val="restart"/>
          </w:tcPr>
          <w:p w14:paraId="17E05F62" w14:textId="77777777" w:rsidR="00B60857" w:rsidRPr="00E1114B" w:rsidRDefault="00B60857"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Time</w:t>
            </w:r>
          </w:p>
        </w:tc>
        <w:tc>
          <w:tcPr>
            <w:tcW w:w="1528" w:type="dxa"/>
            <w:vMerge w:val="restart"/>
          </w:tcPr>
          <w:p w14:paraId="15B7E734" w14:textId="71B4FCDA" w:rsidR="00B60857" w:rsidRPr="00E1114B" w:rsidRDefault="00B60857" w:rsidP="002D66C7">
            <w:pPr>
              <w:ind w:right="173"/>
              <w:jc w:val="center"/>
              <w:rPr>
                <w:rFonts w:ascii="Times New Roman" w:hAnsi="Times New Roman" w:cs="Times New Roman"/>
                <w:sz w:val="18"/>
                <w:szCs w:val="18"/>
              </w:rPr>
            </w:pPr>
            <w:r>
              <w:rPr>
                <w:rFonts w:ascii="Times New Roman" w:hAnsi="Times New Roman" w:cs="Times New Roman" w:hint="eastAsia"/>
                <w:sz w:val="18"/>
                <w:szCs w:val="18"/>
              </w:rPr>
              <w:t>R</w:t>
            </w:r>
            <w:r w:rsidRPr="00E1114B">
              <w:rPr>
                <w:rFonts w:ascii="Times New Roman" w:hAnsi="Times New Roman" w:cs="Times New Roman" w:hint="eastAsia"/>
                <w:sz w:val="18"/>
                <w:szCs w:val="18"/>
              </w:rPr>
              <w:t>aptures</w:t>
            </w:r>
          </w:p>
        </w:tc>
        <w:tc>
          <w:tcPr>
            <w:tcW w:w="9167" w:type="dxa"/>
            <w:gridSpan w:val="6"/>
            <w:tcBorders>
              <w:bottom w:val="single" w:sz="4" w:space="0" w:color="auto"/>
            </w:tcBorders>
          </w:tcPr>
          <w:p w14:paraId="7EA131F9" w14:textId="1CFE7BE3" w:rsidR="00B60857" w:rsidRPr="00E1114B" w:rsidRDefault="00B60857" w:rsidP="00033462">
            <w:pPr>
              <w:jc w:val="center"/>
              <w:rPr>
                <w:rFonts w:ascii="Times New Roman" w:hAnsi="Times New Roman" w:cs="Times New Roman"/>
                <w:sz w:val="18"/>
                <w:szCs w:val="18"/>
              </w:rPr>
            </w:pPr>
            <w:r w:rsidRPr="00E1114B">
              <w:rPr>
                <w:rFonts w:ascii="Times New Roman" w:hAnsi="Times New Roman" w:cs="Times New Roman" w:hint="eastAsia"/>
                <w:sz w:val="18"/>
                <w:szCs w:val="18"/>
              </w:rPr>
              <w:t>InSAR</w:t>
            </w:r>
          </w:p>
        </w:tc>
      </w:tr>
      <w:tr w:rsidR="00B60857" w14:paraId="2DA4D400" w14:textId="6B364CB9" w:rsidTr="051A9DA7">
        <w:trPr>
          <w:trHeight w:val="319"/>
          <w:jc w:val="center"/>
        </w:trPr>
        <w:tc>
          <w:tcPr>
            <w:tcW w:w="1527" w:type="dxa"/>
            <w:vMerge/>
          </w:tcPr>
          <w:p w14:paraId="32790D09" w14:textId="77777777" w:rsidR="00B60857" w:rsidRPr="00E1114B" w:rsidRDefault="00B60857" w:rsidP="00033462">
            <w:pPr>
              <w:rPr>
                <w:rFonts w:ascii="Times New Roman" w:hAnsi="Times New Roman" w:cs="Times New Roman"/>
                <w:sz w:val="18"/>
                <w:szCs w:val="18"/>
              </w:rPr>
            </w:pPr>
          </w:p>
        </w:tc>
        <w:tc>
          <w:tcPr>
            <w:tcW w:w="1528" w:type="dxa"/>
            <w:vMerge/>
          </w:tcPr>
          <w:p w14:paraId="68F5CF8F" w14:textId="77777777" w:rsidR="00B60857" w:rsidRPr="00E1114B" w:rsidRDefault="00B60857" w:rsidP="00033462">
            <w:pPr>
              <w:rPr>
                <w:rFonts w:ascii="Times New Roman" w:hAnsi="Times New Roman" w:cs="Times New Roman"/>
                <w:sz w:val="18"/>
                <w:szCs w:val="18"/>
              </w:rPr>
            </w:pPr>
          </w:p>
        </w:tc>
        <w:tc>
          <w:tcPr>
            <w:tcW w:w="1528" w:type="dxa"/>
            <w:vMerge/>
          </w:tcPr>
          <w:p w14:paraId="3928911E" w14:textId="77777777" w:rsidR="00B60857" w:rsidRPr="00E1114B" w:rsidRDefault="00B60857" w:rsidP="00033462">
            <w:pPr>
              <w:rPr>
                <w:rFonts w:ascii="Times New Roman" w:hAnsi="Times New Roman" w:cs="Times New Roman"/>
                <w:sz w:val="18"/>
                <w:szCs w:val="18"/>
              </w:rPr>
            </w:pPr>
          </w:p>
        </w:tc>
        <w:tc>
          <w:tcPr>
            <w:tcW w:w="1528" w:type="dxa"/>
            <w:tcBorders>
              <w:top w:val="single" w:sz="4" w:space="0" w:color="auto"/>
              <w:bottom w:val="single" w:sz="4" w:space="0" w:color="auto"/>
            </w:tcBorders>
          </w:tcPr>
          <w:p w14:paraId="64540283" w14:textId="19B652FC" w:rsidR="00B60857" w:rsidRPr="00E1114B" w:rsidRDefault="00B60857" w:rsidP="00033462">
            <w:pPr>
              <w:rPr>
                <w:rFonts w:ascii="Times New Roman" w:hAnsi="Times New Roman" w:cs="Times New Roman"/>
                <w:sz w:val="18"/>
                <w:szCs w:val="18"/>
              </w:rPr>
            </w:pPr>
            <w:r w:rsidRPr="00E1114B">
              <w:rPr>
                <w:rFonts w:ascii="Times New Roman" w:hAnsi="Times New Roman" w:cs="Times New Roman" w:hint="eastAsia"/>
                <w:sz w:val="18"/>
                <w:szCs w:val="18"/>
              </w:rPr>
              <w:t>Satellite</w:t>
            </w:r>
          </w:p>
        </w:tc>
        <w:tc>
          <w:tcPr>
            <w:tcW w:w="1527" w:type="dxa"/>
            <w:tcBorders>
              <w:top w:val="single" w:sz="4" w:space="0" w:color="auto"/>
              <w:bottom w:val="single" w:sz="4" w:space="0" w:color="auto"/>
            </w:tcBorders>
          </w:tcPr>
          <w:p w14:paraId="05F15AE6" w14:textId="77777777" w:rsidR="00B60857" w:rsidRPr="00E1114B" w:rsidRDefault="00B60857" w:rsidP="00033462">
            <w:pPr>
              <w:rPr>
                <w:rFonts w:ascii="Times New Roman" w:hAnsi="Times New Roman" w:cs="Times New Roman"/>
                <w:sz w:val="18"/>
                <w:szCs w:val="18"/>
              </w:rPr>
            </w:pPr>
            <w:r w:rsidRPr="00E1114B">
              <w:rPr>
                <w:rFonts w:ascii="Times New Roman" w:hAnsi="Times New Roman" w:cs="Times New Roman" w:hint="eastAsia"/>
                <w:sz w:val="18"/>
                <w:szCs w:val="18"/>
              </w:rPr>
              <w:t>Method</w:t>
            </w:r>
          </w:p>
        </w:tc>
        <w:tc>
          <w:tcPr>
            <w:tcW w:w="1528" w:type="dxa"/>
            <w:tcBorders>
              <w:top w:val="single" w:sz="4" w:space="0" w:color="auto"/>
              <w:bottom w:val="single" w:sz="4" w:space="0" w:color="auto"/>
            </w:tcBorders>
          </w:tcPr>
          <w:p w14:paraId="1738CDF9" w14:textId="77777777" w:rsidR="00B60857" w:rsidRPr="00E1114B" w:rsidRDefault="00B60857" w:rsidP="00033462">
            <w:pPr>
              <w:rPr>
                <w:rFonts w:ascii="Times New Roman" w:hAnsi="Times New Roman" w:cs="Times New Roman"/>
                <w:sz w:val="18"/>
                <w:szCs w:val="18"/>
              </w:rPr>
            </w:pPr>
            <w:r w:rsidRPr="00E1114B">
              <w:rPr>
                <w:rFonts w:ascii="Times New Roman" w:hAnsi="Times New Roman" w:cs="Times New Roman" w:hint="eastAsia"/>
                <w:sz w:val="18"/>
                <w:szCs w:val="18"/>
              </w:rPr>
              <w:t>Pre-event</w:t>
            </w:r>
          </w:p>
        </w:tc>
        <w:tc>
          <w:tcPr>
            <w:tcW w:w="1528" w:type="dxa"/>
            <w:tcBorders>
              <w:top w:val="single" w:sz="4" w:space="0" w:color="auto"/>
              <w:bottom w:val="single" w:sz="4" w:space="0" w:color="auto"/>
            </w:tcBorders>
          </w:tcPr>
          <w:p w14:paraId="79428792" w14:textId="77777777" w:rsidR="00B60857" w:rsidRPr="00E1114B" w:rsidRDefault="00B60857" w:rsidP="00033462">
            <w:pPr>
              <w:rPr>
                <w:rFonts w:ascii="Times New Roman" w:hAnsi="Times New Roman" w:cs="Times New Roman"/>
                <w:sz w:val="18"/>
                <w:szCs w:val="18"/>
              </w:rPr>
            </w:pPr>
            <w:r w:rsidRPr="00E1114B">
              <w:rPr>
                <w:rFonts w:ascii="Times New Roman" w:hAnsi="Times New Roman" w:cs="Times New Roman"/>
                <w:sz w:val="18"/>
                <w:szCs w:val="18"/>
              </w:rPr>
              <w:t>P</w:t>
            </w:r>
            <w:r w:rsidRPr="00E1114B">
              <w:rPr>
                <w:rFonts w:ascii="Times New Roman" w:hAnsi="Times New Roman" w:cs="Times New Roman" w:hint="eastAsia"/>
                <w:sz w:val="18"/>
                <w:szCs w:val="18"/>
              </w:rPr>
              <w:t>ost-event</w:t>
            </w:r>
          </w:p>
        </w:tc>
        <w:tc>
          <w:tcPr>
            <w:tcW w:w="1528" w:type="dxa"/>
            <w:tcBorders>
              <w:top w:val="single" w:sz="4" w:space="0" w:color="auto"/>
              <w:bottom w:val="single" w:sz="4" w:space="0" w:color="auto"/>
            </w:tcBorders>
          </w:tcPr>
          <w:p w14:paraId="0857DC23" w14:textId="3929D566" w:rsidR="00B60857" w:rsidRPr="00E1114B" w:rsidRDefault="00B60857" w:rsidP="00033462">
            <w:pPr>
              <w:rPr>
                <w:rFonts w:ascii="Times New Roman" w:hAnsi="Times New Roman" w:cs="Times New Roman"/>
                <w:sz w:val="18"/>
                <w:szCs w:val="18"/>
              </w:rPr>
            </w:pPr>
            <w:r>
              <w:rPr>
                <w:rFonts w:ascii="Times New Roman" w:hAnsi="Times New Roman" w:cs="Times New Roman" w:hint="eastAsia"/>
                <w:sz w:val="18"/>
                <w:szCs w:val="18"/>
              </w:rPr>
              <w:t>Resolution</w:t>
            </w:r>
            <w:r w:rsidR="00703D37">
              <w:rPr>
                <w:rFonts w:ascii="Times New Roman" w:hAnsi="Times New Roman" w:cs="Times New Roman" w:hint="eastAsia"/>
                <w:sz w:val="18"/>
                <w:szCs w:val="18"/>
              </w:rPr>
              <w:t xml:space="preserve"> </w:t>
            </w:r>
            <w:r>
              <w:rPr>
                <w:rFonts w:ascii="Times New Roman" w:hAnsi="Times New Roman" w:cs="Times New Roman" w:hint="eastAsia"/>
                <w:sz w:val="18"/>
                <w:szCs w:val="18"/>
              </w:rPr>
              <w:t>(m)</w:t>
            </w:r>
          </w:p>
        </w:tc>
        <w:tc>
          <w:tcPr>
            <w:tcW w:w="1528" w:type="dxa"/>
            <w:tcBorders>
              <w:top w:val="single" w:sz="4" w:space="0" w:color="auto"/>
              <w:bottom w:val="single" w:sz="4" w:space="0" w:color="auto"/>
            </w:tcBorders>
          </w:tcPr>
          <w:p w14:paraId="1D2A3950" w14:textId="29CF9998" w:rsidR="00B60857" w:rsidRPr="00E1114B" w:rsidRDefault="00B60857" w:rsidP="00033462">
            <w:pPr>
              <w:jc w:val="left"/>
              <w:rPr>
                <w:rFonts w:ascii="Times New Roman" w:hAnsi="Times New Roman" w:cs="Times New Roman"/>
                <w:sz w:val="18"/>
                <w:szCs w:val="18"/>
              </w:rPr>
            </w:pPr>
            <w:r w:rsidRPr="00E1114B">
              <w:rPr>
                <w:rFonts w:ascii="Times New Roman" w:hAnsi="Times New Roman" w:cs="Times New Roman" w:hint="eastAsia"/>
                <w:sz w:val="18"/>
                <w:szCs w:val="18"/>
              </w:rPr>
              <w:t>Reference</w:t>
            </w:r>
          </w:p>
        </w:tc>
      </w:tr>
      <w:tr w:rsidR="00DD0C3C" w14:paraId="68A249F2" w14:textId="777C72C3" w:rsidTr="00A81971">
        <w:trPr>
          <w:trHeight w:val="433"/>
          <w:jc w:val="center"/>
        </w:trPr>
        <w:tc>
          <w:tcPr>
            <w:tcW w:w="1527" w:type="dxa"/>
            <w:tcBorders>
              <w:top w:val="single" w:sz="4" w:space="0" w:color="auto"/>
            </w:tcBorders>
          </w:tcPr>
          <w:p w14:paraId="2765E110" w14:textId="77777777" w:rsidR="00DD0C3C" w:rsidRPr="00E1114B" w:rsidRDefault="00DD0C3C" w:rsidP="00033462">
            <w:pPr>
              <w:jc w:val="center"/>
              <w:rPr>
                <w:rFonts w:ascii="Times New Roman" w:hAnsi="Times New Roman" w:cs="Times New Roman"/>
                <w:sz w:val="18"/>
                <w:szCs w:val="18"/>
              </w:rPr>
            </w:pPr>
            <w:r w:rsidRPr="00E1114B">
              <w:rPr>
                <w:rFonts w:ascii="Times New Roman" w:hAnsi="Times New Roman" w:cs="Times New Roman" w:hint="eastAsia"/>
                <w:sz w:val="18"/>
                <w:szCs w:val="18"/>
              </w:rPr>
              <w:t>Gorkha</w:t>
            </w:r>
          </w:p>
        </w:tc>
        <w:tc>
          <w:tcPr>
            <w:tcW w:w="1528" w:type="dxa"/>
            <w:tcBorders>
              <w:top w:val="single" w:sz="4" w:space="0" w:color="auto"/>
            </w:tcBorders>
          </w:tcPr>
          <w:p w14:paraId="0A77ED38"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25/04/2015</w:t>
            </w:r>
          </w:p>
        </w:tc>
        <w:tc>
          <w:tcPr>
            <w:tcW w:w="1528" w:type="dxa"/>
            <w:tcBorders>
              <w:top w:val="single" w:sz="4" w:space="0" w:color="auto"/>
            </w:tcBorders>
          </w:tcPr>
          <w:p w14:paraId="35D43EFB" w14:textId="4AE1D3D9" w:rsidR="00DD0C3C" w:rsidRPr="0039329A" w:rsidRDefault="00DD0C3C" w:rsidP="00033462">
            <w:pPr>
              <w:rPr>
                <w:rFonts w:ascii="Times New Roman" w:hAnsi="Times New Roman" w:cs="Times New Roman"/>
                <w:sz w:val="18"/>
                <w:szCs w:val="18"/>
              </w:rPr>
            </w:pPr>
            <w:r>
              <w:rPr>
                <w:rFonts w:ascii="Times New Roman" w:hAnsi="Times New Roman" w:cs="Times New Roman" w:hint="eastAsia"/>
                <w:sz w:val="18"/>
                <w:szCs w:val="18"/>
              </w:rPr>
              <w:t>Styron &amp; Pagani</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{"citationID":"ATnmxchb","properties":{"formattedCitation":"\\super 1\\nosupersub{}","plainCitation":"1","noteIndex":0},"citationItems":[{"id":308,"uris":["http://zotero.org/users/10638632/items/AUFRSA8G"],"itemData":{"id":308,"type":"article-journal","abstract":"The GEM Global Active Faults Database (GAF-DB) is the first public, comprehensive database of active faults with worldwide coverage. The GAF-DB is a compilation of many regional datasets. The GAF-DB contains </w:instrText>
            </w:r>
            <w:r>
              <w:rPr>
                <w:rFonts w:ascii="Cambria Math" w:hAnsi="Cambria Math" w:cs="Cambria Math"/>
                <w:sz w:val="18"/>
                <w:szCs w:val="18"/>
              </w:rPr>
              <w:instrText>∼</w:instrText>
            </w:r>
            <w:r>
              <w:rPr>
                <w:rFonts w:ascii="Times New Roman" w:hAnsi="Times New Roman" w:cs="Times New Roman"/>
                <w:sz w:val="18"/>
                <w:szCs w:val="18"/>
              </w:rPr>
              <w:instrText xml:space="preserve">13,500 faults, each with associated attributes that describe the geometry, kinematics, slip rate, references, and other characteristics, as the information is available. Spatial completeness is high, and about 77% of the faults have slip rate information. The GAF-DB is built from its constituent datasets algorithmically and is designed to fluidly incorporate changes to or addition of any of the underlying datasets. This process reflects a philosophy of easily incorporating a change to avoid obsolescence and to quickly provide the most up-to-date information possible to the users. The database is licensed under a free and open-source license (CC-BY-SA 4.0) and is available at https://github.com/GEMScienceTools/gem-global-active-faults .","container-title":"Earthquake Spectra","DOI":"10.1177/8755293020944182","ISSN":"8755-2930, 1944-8201","issue":"1_suppl","journalAbbreviation":"Earthquake Spectra","language":"en","page":"160-180","source":"DOI.org (Crossref)","title":"The GEM Global Active Faults Database","volume":"36","author":[{"family":"Styron","given":"Richard"},{"family":"Pagani","given":"Marco"}],"issued":{"date-parts":[["2020",10]]}}}],"schema":"https://github.com/citation-style-language/schema/raw/master/csl-citation.json"} </w:instrText>
            </w:r>
            <w:r>
              <w:rPr>
                <w:rFonts w:ascii="Times New Roman" w:hAnsi="Times New Roman" w:cs="Times New Roman"/>
                <w:sz w:val="18"/>
                <w:szCs w:val="18"/>
              </w:rPr>
              <w:fldChar w:fldCharType="separate"/>
            </w:r>
            <w:r w:rsidRPr="00DC5628">
              <w:rPr>
                <w:rFonts w:ascii="Times New Roman" w:hAnsi="Times New Roman" w:cs="Times New Roman"/>
                <w:kern w:val="0"/>
                <w:sz w:val="18"/>
                <w:vertAlign w:val="superscript"/>
              </w:rPr>
              <w:t>1</w:t>
            </w:r>
            <w:r>
              <w:rPr>
                <w:rFonts w:ascii="Times New Roman" w:hAnsi="Times New Roman" w:cs="Times New Roman"/>
                <w:sz w:val="18"/>
                <w:szCs w:val="18"/>
              </w:rPr>
              <w:fldChar w:fldCharType="end"/>
            </w:r>
            <w:r>
              <w:rPr>
                <w:rFonts w:ascii="Times New Roman" w:hAnsi="Times New Roman" w:cs="Times New Roman" w:hint="eastAsia"/>
                <w:sz w:val="18"/>
                <w:szCs w:val="18"/>
              </w:rPr>
              <w:t xml:space="preserve"> </w:t>
            </w:r>
          </w:p>
        </w:tc>
        <w:tc>
          <w:tcPr>
            <w:tcW w:w="1528" w:type="dxa"/>
            <w:tcBorders>
              <w:top w:val="single" w:sz="4" w:space="0" w:color="auto"/>
            </w:tcBorders>
          </w:tcPr>
          <w:p w14:paraId="2A810185" w14:textId="73D5EC49"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A</w:t>
            </w:r>
            <w:r>
              <w:rPr>
                <w:rFonts w:ascii="Times New Roman" w:hAnsi="Times New Roman" w:cs="Times New Roman" w:hint="eastAsia"/>
                <w:sz w:val="18"/>
                <w:szCs w:val="18"/>
              </w:rPr>
              <w:t>LOS-2, T048</w:t>
            </w:r>
          </w:p>
        </w:tc>
        <w:tc>
          <w:tcPr>
            <w:tcW w:w="1527" w:type="dxa"/>
            <w:tcBorders>
              <w:top w:val="single" w:sz="4" w:space="0" w:color="auto"/>
            </w:tcBorders>
          </w:tcPr>
          <w:p w14:paraId="32241918" w14:textId="5825EB0E"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D-InSAR</w:t>
            </w:r>
          </w:p>
        </w:tc>
        <w:tc>
          <w:tcPr>
            <w:tcW w:w="1528" w:type="dxa"/>
            <w:tcBorders>
              <w:top w:val="single" w:sz="4" w:space="0" w:color="auto"/>
            </w:tcBorders>
          </w:tcPr>
          <w:p w14:paraId="2DE37607"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22/02/2015</w:t>
            </w:r>
          </w:p>
        </w:tc>
        <w:tc>
          <w:tcPr>
            <w:tcW w:w="1528" w:type="dxa"/>
            <w:tcBorders>
              <w:top w:val="single" w:sz="4" w:space="0" w:color="auto"/>
            </w:tcBorders>
          </w:tcPr>
          <w:p w14:paraId="0A33A8E3" w14:textId="7EC178B0"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17</w:t>
            </w:r>
            <w:r w:rsidRPr="00E1114B">
              <w:rPr>
                <w:rFonts w:ascii="Times New Roman" w:hAnsi="Times New Roman" w:cs="Times New Roman" w:hint="eastAsia"/>
                <w:sz w:val="18"/>
                <w:szCs w:val="18"/>
              </w:rPr>
              <w:t>/05/2015</w:t>
            </w:r>
          </w:p>
        </w:tc>
        <w:tc>
          <w:tcPr>
            <w:tcW w:w="1528" w:type="dxa"/>
            <w:tcBorders>
              <w:top w:val="single" w:sz="4" w:space="0" w:color="auto"/>
            </w:tcBorders>
          </w:tcPr>
          <w:p w14:paraId="7AE2C4BC" w14:textId="75AD227B" w:rsidR="00DD0C3C" w:rsidRPr="0039329A"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1528" w:type="dxa"/>
            <w:tcBorders>
              <w:top w:val="single" w:sz="4" w:space="0" w:color="auto"/>
            </w:tcBorders>
          </w:tcPr>
          <w:p w14:paraId="7C4B8CC9" w14:textId="29FA72E3" w:rsidR="00DD0C3C" w:rsidRDefault="00DD0C3C" w:rsidP="00033462">
            <w:pPr>
              <w:jc w:val="left"/>
              <w:rPr>
                <w:rFonts w:ascii="Times New Roman" w:hAnsi="Times New Roman" w:cs="Times New Roman"/>
                <w:sz w:val="18"/>
                <w:szCs w:val="18"/>
              </w:rPr>
            </w:pPr>
            <w:r>
              <w:rPr>
                <w:rFonts w:ascii="Times New Roman" w:hAnsi="Times New Roman" w:cs="Times New Roman" w:hint="eastAsia"/>
                <w:sz w:val="18"/>
                <w:szCs w:val="18"/>
              </w:rPr>
              <w:t>Lindsey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{"citationID":"x6hbdApI","properties":{"formattedCitation":"\\super 3\\nosupersub{}","plainCitation":"3","noteIndex":0},"citationItems":[{"id":306,"uris":["http://zotero.org/users/10638632/items/EIYLTADW"],"itemData":{"id":306,"type":"article-journal","abstract":"Abstract\n            \n              Interferometric synthetic aperture radar (InSAR) is a key tool for the analysis of displacement and stress changes caused by large crustal earthquakes, particularly in remote areas. A challenge for traditional InSAR has been its limited spatial and temporal coverage especially for very large events, whose dimensions exceed the typical swath width of 70–100 km. This problem is addressed by the ALOS</w:instrText>
            </w:r>
            <w:r>
              <w:rPr>
                <w:rFonts w:ascii="Times New Roman" w:hAnsi="Times New Roman" w:cs="Times New Roman" w:hint="eastAsia"/>
                <w:sz w:val="18"/>
                <w:szCs w:val="18"/>
              </w:rPr>
              <w:instrText>‐</w:instrText>
            </w:r>
            <w:r>
              <w:rPr>
                <w:rFonts w:ascii="Times New Roman" w:hAnsi="Times New Roman" w:cs="Times New Roman"/>
                <w:sz w:val="18"/>
                <w:szCs w:val="18"/>
              </w:rPr>
              <w:instrText>2 satellite, whose PALSAR</w:instrText>
            </w:r>
            <w:r>
              <w:rPr>
                <w:rFonts w:ascii="Times New Roman" w:hAnsi="Times New Roman" w:cs="Times New Roman" w:hint="eastAsia"/>
                <w:sz w:val="18"/>
                <w:szCs w:val="18"/>
              </w:rPr>
              <w:instrText>‐</w:instrText>
            </w:r>
            <w:r>
              <w:rPr>
                <w:rFonts w:ascii="Times New Roman" w:hAnsi="Times New Roman" w:cs="Times New Roman"/>
                <w:sz w:val="18"/>
                <w:szCs w:val="18"/>
              </w:rPr>
              <w:instrText>2 instrument operates in ScanSAR mode, enabling a repeat time of 2 weeks and a swath width of 350 km. Here we present InSAR line</w:instrText>
            </w:r>
            <w:r>
              <w:rPr>
                <w:rFonts w:ascii="Times New Roman" w:hAnsi="Times New Roman" w:cs="Times New Roman" w:hint="eastAsia"/>
                <w:sz w:val="18"/>
                <w:szCs w:val="18"/>
              </w:rPr>
              <w:instrText>‐</w:instrText>
            </w:r>
            <w:r>
              <w:rPr>
                <w:rFonts w:ascii="Times New Roman" w:hAnsi="Times New Roman" w:cs="Times New Roman"/>
                <w:sz w:val="18"/>
                <w:szCs w:val="18"/>
              </w:rPr>
              <w:instrText>of</w:instrText>
            </w:r>
            <w:r>
              <w:rPr>
                <w:rFonts w:ascii="Times New Roman" w:hAnsi="Times New Roman" w:cs="Times New Roman" w:hint="eastAsia"/>
                <w:sz w:val="18"/>
                <w:szCs w:val="18"/>
              </w:rPr>
              <w:instrText>‐</w:instrText>
            </w:r>
            <w:r>
              <w:rPr>
                <w:rFonts w:ascii="Times New Roman" w:hAnsi="Times New Roman" w:cs="Times New Roman"/>
                <w:sz w:val="18"/>
                <w:szCs w:val="18"/>
              </w:rPr>
              <w:instrText>sight displacement data from ALOS</w:instrText>
            </w:r>
            <w:r>
              <w:rPr>
                <w:rFonts w:ascii="Times New Roman" w:hAnsi="Times New Roman" w:cs="Times New Roman" w:hint="eastAsia"/>
                <w:sz w:val="18"/>
                <w:szCs w:val="18"/>
              </w:rPr>
              <w:instrText>‐</w:instrText>
            </w:r>
            <w:r>
              <w:rPr>
                <w:rFonts w:ascii="Times New Roman" w:hAnsi="Times New Roman" w:cs="Times New Roman"/>
                <w:sz w:val="18"/>
                <w:szCs w:val="18"/>
              </w:rPr>
              <w:instrText>2/PALSAR</w:instrText>
            </w:r>
            <w:r>
              <w:rPr>
                <w:rFonts w:ascii="Times New Roman" w:hAnsi="Times New Roman" w:cs="Times New Roman" w:hint="eastAsia"/>
                <w:sz w:val="18"/>
                <w:szCs w:val="18"/>
              </w:rPr>
              <w:instrText>‐</w:instrText>
            </w:r>
            <w:r>
              <w:rPr>
                <w:rFonts w:ascii="Times New Roman" w:hAnsi="Times New Roman" w:cs="Times New Roman"/>
                <w:sz w:val="18"/>
                <w:szCs w:val="18"/>
              </w:rPr>
              <w:instrText>2 observations covering the\n              \n                M\n                w\n              \n              7.8 Gorkha, Nepal earthquake and its\n              \n                M\n                w\n              \n              7.3 aftershock that were acquired within 1 week of each event. The data are made freely available and we encourage their use in models of the fault slip and associated stress changes. The\n              \n                M\n                w\n              \n              7.3 aftershock not only extended the rupture area of the main shock toward the east but also left a 20 km gap where the fault has little or no coseismic slip. We estimate this unslipped fault patch has the potential to generate a\n              \n                M\n                w\n              \n              6.9 event.\n            \n          , \n            Key Points\n            \n              \n                \n                  \n                    Observations of the\n                    \n                      M\n                      w\n                    \n                    7.8 Gorkha, Nepal earthquake and\n                    \n                      M\n                      w\n                    \n                    7.3 aftershock are presented\n                  \n                \n                \n                  ALOS</w:instrText>
            </w:r>
            <w:r>
              <w:rPr>
                <w:rFonts w:ascii="Times New Roman" w:hAnsi="Times New Roman" w:cs="Times New Roman" w:hint="eastAsia"/>
                <w:sz w:val="18"/>
                <w:szCs w:val="18"/>
              </w:rPr>
              <w:instrText>‐</w:instrText>
            </w:r>
            <w:r>
              <w:rPr>
                <w:rFonts w:ascii="Times New Roman" w:hAnsi="Times New Roman" w:cs="Times New Roman"/>
                <w:sz w:val="18"/>
                <w:szCs w:val="18"/>
              </w:rPr>
              <w:instrText>2 provides burst</w:instrText>
            </w:r>
            <w:r>
              <w:rPr>
                <w:rFonts w:ascii="Times New Roman" w:hAnsi="Times New Roman" w:cs="Times New Roman" w:hint="eastAsia"/>
                <w:sz w:val="18"/>
                <w:szCs w:val="18"/>
              </w:rPr>
              <w:instrText>‐</w:instrText>
            </w:r>
            <w:r>
              <w:rPr>
                <w:rFonts w:ascii="Times New Roman" w:hAnsi="Times New Roman" w:cs="Times New Roman"/>
                <w:sz w:val="18"/>
                <w:szCs w:val="18"/>
              </w:rPr>
              <w:instrText>aligned ScanSAR interferometry with 350 km swath width\n                \n                \n                  Data from coseismic and postseismic interferograms are available online for use in modeling studies","container-title":"Geophysical Research Letters","DOI":"10.1002/2015GL065385","ISSN":"0094-8276, 1944-8007","issue":"16","journalAbbreviation":"Geophysical Research Letters","language":"en","license":"http://onlinelibrary.wiley.com/termsAndConditions#vor","page":"6655-6661"</w:instrText>
            </w:r>
            <w:r>
              <w:rPr>
                <w:rFonts w:ascii="Times New Roman" w:hAnsi="Times New Roman" w:cs="Times New Roman" w:hint="eastAsia"/>
                <w:sz w:val="18"/>
                <w:szCs w:val="18"/>
              </w:rPr>
              <w:instrText>,"source":"DOI.org (Crossref)","title":"Line</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of</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sight displacement from ALOS</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2 interferometry: &lt;i&gt; M&lt;sub&gt;w&lt;/sub&gt; &lt;/i&gt; 7.8 Gorkha Earthquake and &lt;i&gt; M&lt;sub&gt;w&lt;/sub&gt; &lt;/i&gt; 7.3 aftershock","title-short":"Line</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of</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sight displacement from ALOS</w:instrText>
            </w:r>
            <w:r>
              <w:rPr>
                <w:rFonts w:ascii="Times New Roman" w:hAnsi="Times New Roman" w:cs="Times New Roman" w:hint="eastAsia"/>
                <w:sz w:val="18"/>
                <w:szCs w:val="18"/>
              </w:rPr>
              <w:instrText>‐</w:instrText>
            </w:r>
            <w:r>
              <w:rPr>
                <w:rFonts w:ascii="Times New Roman" w:hAnsi="Times New Roman" w:cs="Times New Roman" w:hint="eastAsia"/>
                <w:sz w:val="18"/>
                <w:szCs w:val="18"/>
              </w:rPr>
              <w:instrText>2 interferometry","v</w:instrText>
            </w:r>
            <w:r>
              <w:rPr>
                <w:rFonts w:ascii="Times New Roman" w:hAnsi="Times New Roman" w:cs="Times New Roman"/>
                <w:sz w:val="18"/>
                <w:szCs w:val="18"/>
              </w:rPr>
              <w:instrText xml:space="preserve">olume":"42","author":[{"family":"Lindsey","given":"Eric O."},{"family":"Natsuaki","given":"Ryo"},{"family":"Xu","given":"Xiaohua"},{"family":"Shimada","given":"Masanobu"},{"family":"Hashimoto","given":"Manabu"},{"family":"Melgar","given":"Diego"},{"family":"Sandwell","given":"David T."}],"issued":{"date-parts":[["2015",8,28]]}}}],"schema":"https://github.com/citation-style-language/schema/raw/master/csl-citation.json"} </w:instrText>
            </w:r>
            <w:r>
              <w:rPr>
                <w:rFonts w:ascii="Times New Roman" w:hAnsi="Times New Roman" w:cs="Times New Roman"/>
                <w:sz w:val="18"/>
                <w:szCs w:val="18"/>
              </w:rPr>
              <w:fldChar w:fldCharType="separate"/>
            </w:r>
            <w:r w:rsidRPr="00DC5628">
              <w:rPr>
                <w:rFonts w:ascii="Times New Roman" w:hAnsi="Times New Roman" w:cs="Times New Roman"/>
                <w:kern w:val="0"/>
                <w:sz w:val="18"/>
                <w:vertAlign w:val="superscript"/>
              </w:rPr>
              <w:t>3</w:t>
            </w:r>
            <w:r>
              <w:rPr>
                <w:rFonts w:ascii="Times New Roman" w:hAnsi="Times New Roman" w:cs="Times New Roman"/>
                <w:sz w:val="18"/>
                <w:szCs w:val="18"/>
              </w:rPr>
              <w:fldChar w:fldCharType="end"/>
            </w:r>
          </w:p>
        </w:tc>
      </w:tr>
      <w:tr w:rsidR="00DD0C3C" w14:paraId="461DF458" w14:textId="77777777" w:rsidTr="00A81971">
        <w:trPr>
          <w:trHeight w:val="708"/>
          <w:jc w:val="center"/>
        </w:trPr>
        <w:tc>
          <w:tcPr>
            <w:tcW w:w="1527" w:type="dxa"/>
          </w:tcPr>
          <w:p w14:paraId="136F5E65" w14:textId="051F76FD"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Italy</w:t>
            </w:r>
          </w:p>
        </w:tc>
        <w:tc>
          <w:tcPr>
            <w:tcW w:w="1528" w:type="dxa"/>
          </w:tcPr>
          <w:p w14:paraId="3284F281" w14:textId="56DBAB21" w:rsidR="00DD0C3C" w:rsidRPr="00E1114B" w:rsidRDefault="00DD0C3C" w:rsidP="002D66C7">
            <w:pPr>
              <w:jc w:val="center"/>
              <w:rPr>
                <w:rFonts w:ascii="Times New Roman" w:hAnsi="Times New Roman" w:cs="Times New Roman"/>
                <w:sz w:val="18"/>
                <w:szCs w:val="18"/>
              </w:rPr>
            </w:pPr>
            <w:r>
              <w:rPr>
                <w:rFonts w:ascii="Times New Roman" w:hAnsi="Times New Roman" w:cs="Times New Roman" w:hint="eastAsia"/>
                <w:sz w:val="18"/>
                <w:szCs w:val="18"/>
              </w:rPr>
              <w:t>24/08/2016</w:t>
            </w:r>
          </w:p>
        </w:tc>
        <w:tc>
          <w:tcPr>
            <w:tcW w:w="1528" w:type="dxa"/>
          </w:tcPr>
          <w:p w14:paraId="3157FFFA" w14:textId="1381B7C7" w:rsidR="00DD0C3C" w:rsidRDefault="00DD0C3C" w:rsidP="00033462">
            <w:pPr>
              <w:rPr>
                <w:rFonts w:ascii="Times New Roman" w:hAnsi="Times New Roman" w:cs="Times New Roman"/>
                <w:sz w:val="18"/>
                <w:szCs w:val="18"/>
              </w:rPr>
            </w:pPr>
            <w:proofErr w:type="spellStart"/>
            <w:r w:rsidRPr="00F619B0">
              <w:rPr>
                <w:rFonts w:ascii="Times New Roman" w:hAnsi="Times New Roman" w:cs="Times New Roman" w:hint="eastAsia"/>
                <w:sz w:val="18"/>
                <w:szCs w:val="18"/>
                <w:lang w:val="nl-NL"/>
              </w:rPr>
              <w:t>Lavecchia</w:t>
            </w:r>
            <w:proofErr w:type="spellEnd"/>
            <w:r w:rsidRPr="00F619B0">
              <w:rPr>
                <w:rFonts w:ascii="Times New Roman" w:hAnsi="Times New Roman" w:cs="Times New Roman" w:hint="eastAsia"/>
                <w:sz w:val="18"/>
                <w:szCs w:val="18"/>
                <w:lang w:val="nl-NL"/>
              </w:rPr>
              <w:t xml:space="preserve"> et al</w:t>
            </w:r>
            <w:r>
              <w:rPr>
                <w:rFonts w:ascii="Times New Roman" w:hAnsi="Times New Roman" w:cs="Times New Roman"/>
                <w:sz w:val="18"/>
                <w:szCs w:val="18"/>
              </w:rPr>
              <w:fldChar w:fldCharType="begin"/>
            </w:r>
            <w:r w:rsidRPr="00F619B0">
              <w:rPr>
                <w:rFonts w:ascii="Times New Roman" w:hAnsi="Times New Roman" w:cs="Times New Roman"/>
                <w:sz w:val="18"/>
                <w:szCs w:val="18"/>
                <w:lang w:val="nl-NL"/>
              </w:rPr>
              <w:instrText xml:space="preserve"> ADDIN ZOTERO_ITEM CSL_CITATION {"citationID":"jWZ4Uken","properties":{"formattedCitation":"\\super 4\\nosupersub{}","plainCitation":"4","noteIndex":0},"citationItems":[{"id":312,"uris":["http://zotero.org/users/10638632/items/6VL8Z23Q"],"itemData":{"id":312,"type":"dataset","abstract":"The “&lt;strong&gt;Q-host faults database&lt;/strong&gt;” is an original compilation, on a GIS platform, of Quaternary faults hosting the Structural Sites (SS) of the QUIN 1.0 database and neighboring to them. It is supplementary to: QUaternary fault strain INdicators database - QUIN 1.0 - first release from the Apennines of central Italy by: Giusy Lavecchia&lt;sup&gt;1,2&lt;/sup&gt;, Simone Bello&lt;sup&gt;1,2*&lt;/sup&gt;, Carlo Andrenacci&lt;sup&gt;1,2&lt;/sup&gt;, Daniele Cirillo&lt;sup&gt;1,2&lt;/sup&gt;, Federica Ferrarini&lt;sup&gt;1,2&lt;/sup&gt;, Noemi Vicentini&lt;sup&gt;1,2&lt;/sup&gt;, Rita de Nardis&lt;sup&gt;1,2&lt;/sup&gt;, Gerald Roberts&lt;sup&gt;3&lt;/sup&gt;,&lt;sup&gt; &lt;/sup&gt;Francesco Brozzetti&lt;sup&gt;1,2&lt;/sup&gt; &lt;em&gt;1: DiSPuTer - Dipartimento di Scienze Psicologiche, della Salute e del Territorio, Università G. d’Annunzio Chieti-Pescara, Chieti, Italy. 2: CRUST - Centro inteRUniversitario per l’analisi Sismotettonica Tridimensionale, Chieti, Italy. 3: Department of Earth and Planetary Sciences, Birkbeck, University of London&lt;/em&gt; &lt;em&gt;Corresponding author: Simone Bello (simone.bello@unich.it). &lt;/em&gt;","DOI":"10.5281/ZENODO.5603003","language":"en","license":"Creative Commons Attribution 4.0 International, Open Access","publisher":"Zenodo","source":"DOI.org (Datacite)","title":"Host Faults Database of central Italy","URL":"https://zenodo.org/record/5603003","author":[{"family":"Lavecchia","given":"Giusy"},{"family":"Bello","given":"Simone"},{"family":"Andrenacci","given":"Carlo"},{"family":"Cirillo","given":"Daniele"},{"family":"Ferrarini","given":"Federica"},{"family":"Vicentini","given":"Noemi"},{"family":"Nardis","given":"Rita","non-dropping-particle":"de"},{"family":"Brozzetti","given":"Francesco"}],"accessed":{"date-parts":[["2025",9,15]]},"issued":{"date-parts":[["2021",10,27]]}}}],"schema":"https://github.com/citation-style-language/schema/raw/master/csl-citation.json"} </w:instrText>
            </w:r>
            <w:r>
              <w:rPr>
                <w:rFonts w:ascii="Times New Roman" w:hAnsi="Times New Roman" w:cs="Times New Roman"/>
                <w:sz w:val="18"/>
                <w:szCs w:val="18"/>
              </w:rPr>
              <w:fldChar w:fldCharType="separate"/>
            </w:r>
            <w:r w:rsidRPr="00F619B0">
              <w:rPr>
                <w:rFonts w:ascii="Times New Roman" w:hAnsi="Times New Roman" w:cs="Times New Roman"/>
                <w:kern w:val="0"/>
                <w:sz w:val="18"/>
                <w:vertAlign w:val="superscript"/>
                <w:lang w:val="nl-NL"/>
              </w:rPr>
              <w:t>4</w:t>
            </w:r>
            <w:r>
              <w:rPr>
                <w:rFonts w:ascii="Times New Roman" w:hAnsi="Times New Roman" w:cs="Times New Roman"/>
                <w:sz w:val="18"/>
                <w:szCs w:val="18"/>
              </w:rPr>
              <w:fldChar w:fldCharType="end"/>
            </w:r>
            <w:r w:rsidRPr="00F619B0">
              <w:rPr>
                <w:rFonts w:ascii="Times New Roman" w:hAnsi="Times New Roman" w:cs="Times New Roman" w:hint="eastAsia"/>
                <w:sz w:val="18"/>
                <w:szCs w:val="18"/>
                <w:lang w:val="nl-NL"/>
              </w:rPr>
              <w:t xml:space="preserve">; </w:t>
            </w:r>
            <w:proofErr w:type="spellStart"/>
            <w:r w:rsidRPr="00F619B0">
              <w:rPr>
                <w:rFonts w:ascii="Times New Roman" w:hAnsi="Times New Roman" w:cs="Times New Roman" w:hint="eastAsia"/>
                <w:sz w:val="18"/>
                <w:szCs w:val="18"/>
                <w:lang w:val="nl-NL"/>
              </w:rPr>
              <w:t>Pucci</w:t>
            </w:r>
            <w:proofErr w:type="spellEnd"/>
            <w:r w:rsidRPr="00F619B0">
              <w:rPr>
                <w:rFonts w:ascii="Times New Roman" w:hAnsi="Times New Roman" w:cs="Times New Roman" w:hint="eastAsia"/>
                <w:sz w:val="18"/>
                <w:szCs w:val="18"/>
                <w:lang w:val="nl-NL"/>
              </w:rPr>
              <w:t xml:space="preserve"> et al.</w:t>
            </w:r>
            <w:r>
              <w:rPr>
                <w:rFonts w:ascii="Times New Roman" w:hAnsi="Times New Roman" w:cs="Times New Roman"/>
                <w:sz w:val="18"/>
                <w:szCs w:val="18"/>
              </w:rPr>
              <w:fldChar w:fldCharType="begin"/>
            </w:r>
            <w:r w:rsidRPr="00F619B0">
              <w:rPr>
                <w:rFonts w:ascii="Times New Roman" w:hAnsi="Times New Roman" w:cs="Times New Roman"/>
                <w:sz w:val="18"/>
                <w:szCs w:val="18"/>
                <w:lang w:val="nl-NL"/>
              </w:rPr>
              <w:instrText xml:space="preserve"> ADDIN ZOTERO_ITEM CSL_CITATION {"citationID":"RY1UFyul","properties":{"formattedCitation":"\\super 5\\nosupersub{}","plainCitation":"5","noteIndex":0},"citationItems":[{"id":313,"uris":["http://zotero.org/users/10638632/items/G6WMJYCR"],"itemData":{"id":</w:instrText>
            </w:r>
            <w:r w:rsidRPr="00F619B0">
              <w:rPr>
                <w:rFonts w:ascii="Times New Roman" w:hAnsi="Times New Roman" w:cs="Times New Roman" w:hint="eastAsia"/>
                <w:sz w:val="18"/>
                <w:szCs w:val="18"/>
                <w:lang w:val="nl-NL"/>
              </w:rPr>
              <w:instrText>313,"type":"article-journal","abstract":"Abstract\n            \n              On 24 August 2016, a\n              \n                M\n                w\n              \n              6.0 normal</w:instrText>
            </w:r>
            <w:r w:rsidRPr="00F619B0">
              <w:rPr>
                <w:rFonts w:ascii="Times New Roman" w:hAnsi="Times New Roman" w:cs="Times New Roman" w:hint="eastAsia"/>
                <w:sz w:val="18"/>
                <w:szCs w:val="18"/>
                <w:lang w:val="nl-NL"/>
              </w:rPr>
              <w:instrText>‐</w:instrText>
            </w:r>
            <w:r w:rsidRPr="00F619B0">
              <w:rPr>
                <w:rFonts w:ascii="Times New Roman" w:hAnsi="Times New Roman" w:cs="Times New Roman" w:hint="eastAsia"/>
                <w:sz w:val="18"/>
                <w:szCs w:val="18"/>
                <w:lang w:val="nl-NL"/>
              </w:rPr>
              <w:instrText>faulting earthquake struck central Italy, causing about 300</w:instrText>
            </w:r>
            <w:r w:rsidRPr="00F619B0">
              <w:rPr>
                <w:rFonts w:ascii="Times New Roman" w:hAnsi="Times New Roman" w:cs="Times New Roman"/>
                <w:sz w:val="18"/>
                <w:szCs w:val="18"/>
                <w:lang w:val="nl-NL"/>
              </w:rPr>
              <w:instrText xml:space="preserve"> fatalities and heavy damage. A geological survey collected the coseismic effects observed at the surface in order to evaluate two competing hypotheses about their nature: surface faulting versus gravitational deformation. We find that the most significant geological effect is a 5.2 km long alignment of ground ruptures along the Mount Vettore Fault System. These ruptures are independent from lithology, topography, morphology, and change in slope and exhibit an average dip</w:instrText>
            </w:r>
            <w:r w:rsidRPr="00F619B0">
              <w:rPr>
                <w:rFonts w:ascii="Times New Roman" w:hAnsi="Times New Roman" w:cs="Times New Roman" w:hint="eastAsia"/>
                <w:sz w:val="18"/>
                <w:szCs w:val="18"/>
                <w:lang w:val="nl-NL"/>
              </w:rPr>
              <w:instrText>‐</w:instrText>
            </w:r>
            <w:r w:rsidRPr="00F619B0">
              <w:rPr>
                <w:rFonts w:ascii="Times New Roman" w:hAnsi="Times New Roman" w:cs="Times New Roman"/>
                <w:sz w:val="18"/>
                <w:szCs w:val="18"/>
                <w:lang w:val="nl-NL"/>
              </w:rPr>
              <w:instrText>slip displacement of ~13 cm. Geometry, kinematics, and dimensional properties of this zone of deformation strongly lead us to favor the primary surface faulting hypothesis that fits well the predicted estimates from experimental scaling law relationships. Our study provides relevant hints for surface faulting in extensional domains, contributing to implement the worldwide database of the moderate earthquakes.\n            \n          , \n            Key Points\n            \n              \n</w:instrText>
            </w:r>
            <w:r>
              <w:rPr>
                <w:rFonts w:ascii="Times New Roman" w:hAnsi="Times New Roman" w:cs="Times New Roman"/>
                <w:sz w:val="18"/>
                <w:szCs w:val="18"/>
              </w:rPr>
              <w:instrText xml:space="preserve">                \n                  Detailed documentation of subtle primary coseismic surface faulting induced by moderate magnitude earthquake masked by later seismic event\n                \n                \n                  Contribute to the worldwide database of the moderate earthquakes surface faulting events in extensional domains","container-title":"Geophysical Research Letters","DOI":"10.1002/2016GL071859","ISSN":"0094-8276, 1944-8007","issue":"5","journalAbbreviation":"Geophysical Research Letters","language":"en","license":"http://onlinelibrary.wiley.com/termsAndConditions#vor","page":"2138-2147","source":"DOI.org (Crossref)","title":"Coseismic ruptures of the 24 August 2016, &lt;i&gt; M&lt;sub&gt;w&lt;/sub&gt; &lt;/i&gt; 6.0 Amatrice earthquake (central Italy)","volume":"44","author":[{"family":"Pucci","given":"S."},{"family":"De Martini","given":"P. M."},{"family":"Civico","given":"R."},{"family":"Villani","given":"F."},{"family":"Nappi","given":"R."},{"family":"Ricci","given":"T."},{"family":"Azzaro","given":"R."},{"family":"Brunori","given":"C. A."},{"family":"Caciagli","given":"M."},{"family":"Cinti","given":"F. R."},{"family":"Sapia","given":"V."},{"family":"De Ritis","given":"R."},{"family":"Mazzarini","given":"F."},{"family":"Tarquini","given":"S."},{"family":"Gaudiosi","given":"G."},{"family":"Nave","given":"R."},{"family":"Alessio","given":"G."},{"family":"Smedile","given":"A."},{"family":"Alfonsi","given":"L."},{"family":"Cucci","given":"L."},{"family":"Pantosti","given":"D."}],"issued":{"date-parts":[["2017",3,16]]}}}],"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5</w:t>
            </w:r>
            <w:r>
              <w:rPr>
                <w:rFonts w:ascii="Times New Roman" w:hAnsi="Times New Roman" w:cs="Times New Roman"/>
                <w:sz w:val="18"/>
                <w:szCs w:val="18"/>
              </w:rPr>
              <w:fldChar w:fldCharType="end"/>
            </w:r>
          </w:p>
        </w:tc>
        <w:tc>
          <w:tcPr>
            <w:tcW w:w="1528" w:type="dxa"/>
          </w:tcPr>
          <w:p w14:paraId="69C45648" w14:textId="055447BA"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w:t>
            </w:r>
            <w:r>
              <w:rPr>
                <w:rFonts w:ascii="Times New Roman" w:hAnsi="Times New Roman" w:cs="Times New Roman" w:hint="eastAsia"/>
                <w:sz w:val="18"/>
                <w:szCs w:val="18"/>
              </w:rPr>
              <w:t xml:space="preserve"> Ascending 44</w:t>
            </w:r>
          </w:p>
        </w:tc>
        <w:tc>
          <w:tcPr>
            <w:tcW w:w="1527" w:type="dxa"/>
          </w:tcPr>
          <w:p w14:paraId="2C2EF434" w14:textId="5BA06A0D"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D-InSAR</w:t>
            </w:r>
          </w:p>
        </w:tc>
        <w:tc>
          <w:tcPr>
            <w:tcW w:w="1528" w:type="dxa"/>
          </w:tcPr>
          <w:p w14:paraId="205B45E2" w14:textId="07CFE5DB"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22/08/2016</w:t>
            </w:r>
          </w:p>
        </w:tc>
        <w:tc>
          <w:tcPr>
            <w:tcW w:w="1528" w:type="dxa"/>
          </w:tcPr>
          <w:p w14:paraId="6894C485" w14:textId="394B9F71"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28/08/2016</w:t>
            </w:r>
          </w:p>
        </w:tc>
        <w:tc>
          <w:tcPr>
            <w:tcW w:w="1528" w:type="dxa"/>
          </w:tcPr>
          <w:p w14:paraId="2E43FEDB" w14:textId="4EDD85BB" w:rsidR="00DD0C3C"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30</w:t>
            </w:r>
          </w:p>
        </w:tc>
        <w:tc>
          <w:tcPr>
            <w:tcW w:w="1528" w:type="dxa"/>
          </w:tcPr>
          <w:p w14:paraId="0194D78D" w14:textId="6DD38F70" w:rsidR="00DD0C3C" w:rsidRPr="00E1114B" w:rsidRDefault="00DD0C3C" w:rsidP="00033462">
            <w:pPr>
              <w:jc w:val="left"/>
              <w:rPr>
                <w:rFonts w:ascii="Times New Roman" w:hAnsi="Times New Roman" w:cs="Times New Roman"/>
                <w:sz w:val="18"/>
                <w:szCs w:val="18"/>
              </w:rPr>
            </w:pPr>
            <w:r>
              <w:rPr>
                <w:rFonts w:ascii="Times New Roman" w:hAnsi="Times New Roman" w:cs="Times New Roman" w:hint="eastAsia"/>
                <w:sz w:val="18"/>
                <w:szCs w:val="18"/>
              </w:rPr>
              <w:t>This study</w:t>
            </w:r>
          </w:p>
        </w:tc>
      </w:tr>
      <w:tr w:rsidR="00DD0C3C" w14:paraId="2D108DEB" w14:textId="4A1FAA52" w:rsidTr="00A81971">
        <w:trPr>
          <w:trHeight w:val="821"/>
          <w:jc w:val="center"/>
        </w:trPr>
        <w:tc>
          <w:tcPr>
            <w:tcW w:w="1527" w:type="dxa"/>
          </w:tcPr>
          <w:p w14:paraId="34FBA740" w14:textId="17170566" w:rsidR="00DD0C3C" w:rsidRPr="00E1114B" w:rsidRDefault="00DD0C3C" w:rsidP="00033462">
            <w:pPr>
              <w:jc w:val="center"/>
              <w:rPr>
                <w:rFonts w:ascii="Times New Roman" w:hAnsi="Times New Roman" w:cs="Times New Roman"/>
                <w:sz w:val="18"/>
                <w:szCs w:val="18"/>
              </w:rPr>
            </w:pPr>
            <w:proofErr w:type="spellStart"/>
            <w:r w:rsidRPr="00E1114B">
              <w:rPr>
                <w:rFonts w:ascii="Times New Roman" w:hAnsi="Times New Roman" w:cs="Times New Roman" w:hint="eastAsia"/>
                <w:sz w:val="18"/>
                <w:szCs w:val="18"/>
              </w:rPr>
              <w:t>Kaik</w:t>
            </w:r>
            <w:r w:rsidRPr="00350213">
              <w:rPr>
                <w:rFonts w:ascii="Times New Roman" w:hAnsi="Times New Roman" w:cs="Times New Roman"/>
                <w:sz w:val="18"/>
                <w:szCs w:val="20"/>
              </w:rPr>
              <w:t>ō</w:t>
            </w:r>
            <w:r w:rsidRPr="00E1114B">
              <w:rPr>
                <w:rFonts w:ascii="Times New Roman" w:hAnsi="Times New Roman" w:cs="Times New Roman" w:hint="eastAsia"/>
                <w:sz w:val="18"/>
                <w:szCs w:val="18"/>
              </w:rPr>
              <w:t>ura</w:t>
            </w:r>
            <w:proofErr w:type="spellEnd"/>
          </w:p>
        </w:tc>
        <w:tc>
          <w:tcPr>
            <w:tcW w:w="1528" w:type="dxa"/>
          </w:tcPr>
          <w:p w14:paraId="354C1007"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14/11/2016</w:t>
            </w:r>
          </w:p>
        </w:tc>
        <w:tc>
          <w:tcPr>
            <w:tcW w:w="1528" w:type="dxa"/>
          </w:tcPr>
          <w:p w14:paraId="154E58D2" w14:textId="64DA17B8" w:rsidR="00DD0C3C" w:rsidRPr="00AF16BD" w:rsidRDefault="00DD0C3C" w:rsidP="00033462">
            <w:pPr>
              <w:rPr>
                <w:rFonts w:ascii="Times New Roman" w:hAnsi="Times New Roman" w:cs="Times New Roman"/>
                <w:sz w:val="18"/>
                <w:szCs w:val="18"/>
                <w:lang w:val="nl-NL"/>
              </w:rPr>
            </w:pPr>
            <w:proofErr w:type="spellStart"/>
            <w:r w:rsidRPr="00AF16BD">
              <w:rPr>
                <w:rFonts w:ascii="Times New Roman" w:hAnsi="Times New Roman" w:cs="Times New Roman" w:hint="eastAsia"/>
                <w:sz w:val="18"/>
                <w:szCs w:val="18"/>
                <w:lang w:val="nl-NL"/>
              </w:rPr>
              <w:t>Langridge</w:t>
            </w:r>
            <w:proofErr w:type="spellEnd"/>
            <w:r w:rsidRPr="00AF16BD">
              <w:rPr>
                <w:rFonts w:ascii="Times New Roman" w:hAnsi="Times New Roman" w:cs="Times New Roman" w:hint="eastAsia"/>
                <w:sz w:val="18"/>
                <w:szCs w:val="18"/>
                <w:lang w:val="nl-NL"/>
              </w:rPr>
              <w:t xml:space="preserve"> et al.</w:t>
            </w:r>
            <w:r>
              <w:rPr>
                <w:rFonts w:ascii="Times New Roman" w:hAnsi="Times New Roman" w:cs="Times New Roman"/>
                <w:sz w:val="18"/>
                <w:szCs w:val="18"/>
              </w:rPr>
              <w:fldChar w:fldCharType="begin"/>
            </w:r>
            <w:r w:rsidRPr="00AF16BD">
              <w:rPr>
                <w:rFonts w:ascii="Times New Roman" w:hAnsi="Times New Roman" w:cs="Times New Roman"/>
                <w:sz w:val="18"/>
                <w:szCs w:val="18"/>
                <w:lang w:val="nl-NL"/>
              </w:rPr>
              <w:instrText xml:space="preserve"> ADDIN ZOTERO_ITEM CSL_CITATION {"citationID":"aLB4YFwv","properties":{"formattedCitation":"\\super 6\\nosupersub{}","plainCitation":"6","noteIndex":0},"citationItems":[{"id":292,"uris":["http://zotero.org/users/10638632/items/8C63V3YT"],"itemData":{"id":292,"type":"article-journal","container-title":"New Zealand Journal of Geology and Geophysics","DOI":"10.1080/00288306.2015.1112818","ISSN":"0028-8306, 1175-8791","issue":"1","journalAbbreviation":"New Zealand Journal of Geology and Geophysics","language":"en","page":"86-96","source":"DOI.org (Crossref)","title":"The New Zealand Active Faults Database","volume":"59","author":[{"family":"Langridge","given":"Rm"},{"family":"Ries","given":"Wf"},{"family":"Litchfield","given":"Nj"},{"family":"Villamor","given":"P"},{"family":"Van Dissen","given":"Rj"},{"family":"Barrell","given":"Dja"},{"family":"Rattenbury","given":"Ms"},{"family":"Heron","given":"Dw"},{"family":"Haubrock","given":"S"},{"family":"Townsend","given":"Db"},{"family":"Lee","given":"Jm"},{"family":"Berryman","given":"Kr"},{"family":"Nicol","given":"A"},{"family":"Cox","given":"Sc"},{"family":"Stirling","given":"Mw"}],"issued":{"date-parts":[["2016",1,2]]}}}],"schema":"https://github.com/citation-style-language/schema/raw/master/csl-citation.json"} </w:instrText>
            </w:r>
            <w:r>
              <w:rPr>
                <w:rFonts w:ascii="Times New Roman" w:hAnsi="Times New Roman" w:cs="Times New Roman"/>
                <w:sz w:val="18"/>
                <w:szCs w:val="18"/>
              </w:rPr>
              <w:fldChar w:fldCharType="separate"/>
            </w:r>
            <w:r w:rsidRPr="00AF16BD">
              <w:rPr>
                <w:rFonts w:ascii="Times New Roman" w:hAnsi="Times New Roman" w:cs="Times New Roman"/>
                <w:kern w:val="0"/>
                <w:sz w:val="18"/>
                <w:vertAlign w:val="superscript"/>
                <w:lang w:val="nl-NL"/>
              </w:rPr>
              <w:t>6</w:t>
            </w:r>
            <w:r>
              <w:rPr>
                <w:rFonts w:ascii="Times New Roman" w:hAnsi="Times New Roman" w:cs="Times New Roman"/>
                <w:sz w:val="18"/>
                <w:szCs w:val="18"/>
              </w:rPr>
              <w:fldChar w:fldCharType="end"/>
            </w:r>
            <w:r w:rsidRPr="00AF16BD">
              <w:rPr>
                <w:rFonts w:ascii="Times New Roman" w:hAnsi="Times New Roman" w:cs="Times New Roman" w:hint="eastAsia"/>
                <w:sz w:val="18"/>
                <w:szCs w:val="18"/>
                <w:lang w:val="nl-NL"/>
              </w:rPr>
              <w:t>;</w:t>
            </w:r>
          </w:p>
          <w:p w14:paraId="420FA4D9" w14:textId="0B443463" w:rsidR="00DD0C3C" w:rsidRPr="00AF16BD" w:rsidRDefault="00DD0C3C" w:rsidP="00033462">
            <w:pPr>
              <w:rPr>
                <w:rFonts w:ascii="Times New Roman" w:hAnsi="Times New Roman" w:cs="Times New Roman"/>
                <w:sz w:val="18"/>
                <w:szCs w:val="18"/>
                <w:lang w:val="nl-NL"/>
              </w:rPr>
            </w:pPr>
            <w:r w:rsidRPr="00AF16BD">
              <w:rPr>
                <w:rFonts w:ascii="Times New Roman" w:hAnsi="Times New Roman" w:cs="Times New Roman" w:hint="eastAsia"/>
                <w:sz w:val="18"/>
                <w:szCs w:val="18"/>
                <w:lang w:val="nl-NL"/>
              </w:rPr>
              <w:t>Du et al.</w:t>
            </w:r>
            <w:r>
              <w:rPr>
                <w:rFonts w:ascii="Times New Roman" w:hAnsi="Times New Roman" w:cs="Times New Roman"/>
                <w:sz w:val="18"/>
                <w:szCs w:val="18"/>
              </w:rPr>
              <w:fldChar w:fldCharType="begin"/>
            </w:r>
            <w:r w:rsidRPr="00AF16BD">
              <w:rPr>
                <w:rFonts w:ascii="Times New Roman" w:hAnsi="Times New Roman" w:cs="Times New Roman"/>
                <w:sz w:val="18"/>
                <w:szCs w:val="18"/>
                <w:lang w:val="nl-NL"/>
              </w:rPr>
              <w:instrText xml:space="preserve"> ADDIN ZOTERO_ITEM CSL_CITATION {"citationID":"A549cqXw","properties":{"formattedCitation":"\\super 7\\nosupersub{}","plainCitation":"7","noteIndex":0},"citationItems":[{"id":293,"uris":["http://zotero.org/users/10638632/items/KH8NXHM8"],"itemData":{"id":293,"type":"article-journal","container-title":"Earth and Planetary Physics","DOI":"10.26464/epp2018029","ISSN":"2096-3955","issue":"4","language":"en","page":"1-17","source":"DOI.org (Crossref)","title":"Source complexity of the 2016 &lt;i&gt;M&lt;/i&gt;&lt;sub&gt;W&lt;/sub&gt;7.8 Kaikoura (New Zealand) earthquake revealed from teleseismic and InSAR data","volume":"2","author":[{"family":"Du","given":"HaiLin"},{"family":"Zhang","given":"Xu"},{"family":"Xu","given":"LiSheng"},{"family":"Feng","given":"WanPeng"},{"family":"Yi","given":"Lei"},{"family":"Li","given":"Peng"},{"literal":",Institute of Geophysics, China Earthquake Administration, Beijing 100081, China"},{"literal":",Canada Center for Mapping and Earth Observation, Natural Resources Canada, Ottawa, K1A0E4, Canada"},{"literal":",School of Geodesy and Geomatics, Wuhan University, Wuhan 430079, China"},{"literal":",College of Marine Geosciences, Ocean University of China, Qingdao 266100, China"}],"issued":{"date-parts":[["2018"]]}}}],"schema":"https://github.com/citation-style-language/schema/raw/master/csl-citation.json"} </w:instrText>
            </w:r>
            <w:r>
              <w:rPr>
                <w:rFonts w:ascii="Times New Roman" w:hAnsi="Times New Roman" w:cs="Times New Roman"/>
                <w:sz w:val="18"/>
                <w:szCs w:val="18"/>
              </w:rPr>
              <w:fldChar w:fldCharType="separate"/>
            </w:r>
            <w:r w:rsidRPr="00AF16BD">
              <w:rPr>
                <w:rFonts w:ascii="Times New Roman" w:hAnsi="Times New Roman" w:cs="Times New Roman"/>
                <w:kern w:val="0"/>
                <w:sz w:val="18"/>
                <w:vertAlign w:val="superscript"/>
                <w:lang w:val="nl-NL"/>
              </w:rPr>
              <w:t>7</w:t>
            </w:r>
            <w:r>
              <w:rPr>
                <w:rFonts w:ascii="Times New Roman" w:hAnsi="Times New Roman" w:cs="Times New Roman"/>
                <w:sz w:val="18"/>
                <w:szCs w:val="18"/>
              </w:rPr>
              <w:fldChar w:fldCharType="end"/>
            </w:r>
          </w:p>
        </w:tc>
        <w:tc>
          <w:tcPr>
            <w:tcW w:w="1528" w:type="dxa"/>
          </w:tcPr>
          <w:p w14:paraId="6D33FD89" w14:textId="07C104E4"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 Asc</w:t>
            </w:r>
            <w:r>
              <w:rPr>
                <w:rFonts w:ascii="Times New Roman" w:hAnsi="Times New Roman" w:cs="Times New Roman" w:hint="eastAsia"/>
                <w:sz w:val="18"/>
                <w:szCs w:val="18"/>
              </w:rPr>
              <w:t>ending</w:t>
            </w:r>
            <w:r w:rsidRPr="00E1114B">
              <w:rPr>
                <w:rFonts w:ascii="Times New Roman" w:hAnsi="Times New Roman" w:cs="Times New Roman" w:hint="eastAsia"/>
                <w:sz w:val="18"/>
                <w:szCs w:val="18"/>
              </w:rPr>
              <w:t xml:space="preserve"> 52</w:t>
            </w:r>
          </w:p>
        </w:tc>
        <w:tc>
          <w:tcPr>
            <w:tcW w:w="1527" w:type="dxa"/>
          </w:tcPr>
          <w:p w14:paraId="7E924F67" w14:textId="5DD7C6C6"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P</w:t>
            </w:r>
            <w:r>
              <w:rPr>
                <w:rFonts w:ascii="Times New Roman" w:hAnsi="Times New Roman" w:cs="Times New Roman" w:hint="eastAsia"/>
                <w:sz w:val="18"/>
                <w:szCs w:val="18"/>
              </w:rPr>
              <w:t>OT</w:t>
            </w:r>
          </w:p>
        </w:tc>
        <w:tc>
          <w:tcPr>
            <w:tcW w:w="1528" w:type="dxa"/>
          </w:tcPr>
          <w:p w14:paraId="4DFD0C24"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03/11/2016</w:t>
            </w:r>
          </w:p>
        </w:tc>
        <w:tc>
          <w:tcPr>
            <w:tcW w:w="1528" w:type="dxa"/>
          </w:tcPr>
          <w:p w14:paraId="7FC7A64D"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15/11/2016</w:t>
            </w:r>
          </w:p>
        </w:tc>
        <w:tc>
          <w:tcPr>
            <w:tcW w:w="1528" w:type="dxa"/>
          </w:tcPr>
          <w:p w14:paraId="2943E763" w14:textId="2B25F527"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50</w:t>
            </w:r>
          </w:p>
        </w:tc>
        <w:tc>
          <w:tcPr>
            <w:tcW w:w="1528" w:type="dxa"/>
          </w:tcPr>
          <w:p w14:paraId="3BD5E541" w14:textId="7DCF86A8" w:rsidR="00DD0C3C" w:rsidRPr="00E1114B" w:rsidRDefault="00DD0C3C" w:rsidP="00033462">
            <w:pPr>
              <w:jc w:val="left"/>
              <w:rPr>
                <w:rFonts w:ascii="Times New Roman" w:hAnsi="Times New Roman" w:cs="Times New Roman"/>
                <w:sz w:val="18"/>
                <w:szCs w:val="18"/>
              </w:rPr>
            </w:pPr>
            <w:r w:rsidRPr="00E1114B">
              <w:rPr>
                <w:rFonts w:ascii="Times New Roman" w:hAnsi="Times New Roman" w:cs="Times New Roman" w:hint="eastAsia"/>
                <w:sz w:val="18"/>
                <w:szCs w:val="18"/>
              </w:rPr>
              <w:t>This study</w:t>
            </w:r>
          </w:p>
        </w:tc>
      </w:tr>
      <w:tr w:rsidR="00DD0C3C" w14:paraId="0DE87985" w14:textId="5BF5EEBB" w:rsidTr="00B60857">
        <w:trPr>
          <w:trHeight w:val="1021"/>
          <w:jc w:val="center"/>
        </w:trPr>
        <w:tc>
          <w:tcPr>
            <w:tcW w:w="1527" w:type="dxa"/>
          </w:tcPr>
          <w:p w14:paraId="6F2138C0" w14:textId="77777777" w:rsidR="00DD0C3C" w:rsidRPr="00E1114B" w:rsidRDefault="00DD0C3C" w:rsidP="00033462">
            <w:pPr>
              <w:jc w:val="center"/>
              <w:rPr>
                <w:rFonts w:ascii="Times New Roman" w:hAnsi="Times New Roman" w:cs="Times New Roman"/>
                <w:sz w:val="18"/>
                <w:szCs w:val="18"/>
              </w:rPr>
            </w:pPr>
            <w:r w:rsidRPr="00E1114B">
              <w:rPr>
                <w:rFonts w:ascii="Times New Roman" w:hAnsi="Times New Roman" w:cs="Times New Roman"/>
                <w:sz w:val="18"/>
                <w:szCs w:val="18"/>
              </w:rPr>
              <w:t>Halabja</w:t>
            </w:r>
          </w:p>
        </w:tc>
        <w:tc>
          <w:tcPr>
            <w:tcW w:w="1528" w:type="dxa"/>
          </w:tcPr>
          <w:p w14:paraId="688B096B"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12/11/2017</w:t>
            </w:r>
          </w:p>
        </w:tc>
        <w:tc>
          <w:tcPr>
            <w:tcW w:w="1528" w:type="dxa"/>
          </w:tcPr>
          <w:p w14:paraId="05D00630" w14:textId="014D87B8" w:rsidR="00DD0C3C" w:rsidRDefault="00DD0C3C" w:rsidP="00033462">
            <w:pPr>
              <w:rPr>
                <w:rFonts w:ascii="Times New Roman" w:hAnsi="Times New Roman" w:cs="Times New Roman"/>
                <w:sz w:val="18"/>
                <w:szCs w:val="18"/>
              </w:rPr>
            </w:pPr>
            <w:r>
              <w:rPr>
                <w:rFonts w:ascii="Times New Roman" w:hAnsi="Times New Roman" w:cs="Times New Roman" w:hint="eastAsia"/>
                <w:sz w:val="18"/>
                <w:szCs w:val="18"/>
              </w:rPr>
              <w:t>Styron &amp; Pagani</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{"citationID":"RK0CEg7f","properties":{"formattedCitation":"\\super 1\\nosupersub{}","plainCitation":"1","noteIndex":0},"citationItems":[{"id":308,"uris":["http://zotero.org/users/10638632/items/AUFRSA8G"],"itemData":{"id":308,"type":"article-journal","abstract":"The GEM Global Active Faults Database (GAF-DB) is the first public, comprehensive database of active faults with worldwide coverage. The GAF-DB is a compilation of many regional datasets. The GAF-DB contains </w:instrText>
            </w:r>
            <w:r>
              <w:rPr>
                <w:rFonts w:ascii="Cambria Math" w:hAnsi="Cambria Math" w:cs="Cambria Math"/>
                <w:sz w:val="18"/>
                <w:szCs w:val="18"/>
              </w:rPr>
              <w:instrText>∼</w:instrText>
            </w:r>
            <w:r>
              <w:rPr>
                <w:rFonts w:ascii="Times New Roman" w:hAnsi="Times New Roman" w:cs="Times New Roman"/>
                <w:sz w:val="18"/>
                <w:szCs w:val="18"/>
              </w:rPr>
              <w:instrText xml:space="preserve">13,500 faults, each with associated attributes that describe the geometry, kinematics, slip rate, references, and other characteristics, as the information is available. Spatial completeness is high, and about 77% of the faults have slip rate information. The GAF-DB is built from its constituent datasets algorithmically and is designed to fluidly incorporate changes to or addition of any of the underlying datasets. This process reflects a philosophy of easily incorporating a change to avoid obsolescence and to quickly provide the most up-to-date information possible to the users. The database is licensed under a free and open-source license (CC-BY-SA 4.0) and is available at https://github.com/GEMScienceTools/gem-global-active-faults .","container-title":"Earthquake Spectra","DOI":"10.1177/8755293020944182","ISSN":"8755-2930, 1944-8201","issue":"1_suppl","journalAbbreviation":"Earthquake Spectra","language":"en","page":"160-180","source":"DOI.org (Crossref)","title":"The GEM Global Active Faults Database","volume":"36","author":[{"family":"Styron","given":"Richard"},{"family":"Pagani","given":"Marco"}],"issued":{"date-parts":[["2020",10]]}}}],"schema":"https://github.com/citation-style-language/schema/raw/master/csl-citation.json"} </w:instrText>
            </w:r>
            <w:r>
              <w:rPr>
                <w:rFonts w:ascii="Times New Roman" w:hAnsi="Times New Roman" w:cs="Times New Roman"/>
                <w:sz w:val="18"/>
                <w:szCs w:val="18"/>
              </w:rPr>
              <w:fldChar w:fldCharType="separate"/>
            </w:r>
            <w:r w:rsidRPr="00DC5628">
              <w:rPr>
                <w:rFonts w:ascii="Times New Roman" w:hAnsi="Times New Roman" w:cs="Times New Roman"/>
                <w:kern w:val="0"/>
                <w:sz w:val="18"/>
                <w:vertAlign w:val="superscript"/>
              </w:rPr>
              <w:t>1</w:t>
            </w:r>
            <w:r>
              <w:rPr>
                <w:rFonts w:ascii="Times New Roman" w:hAnsi="Times New Roman" w:cs="Times New Roman"/>
                <w:sz w:val="18"/>
                <w:szCs w:val="18"/>
              </w:rPr>
              <w:fldChar w:fldCharType="end"/>
            </w:r>
            <w:r>
              <w:rPr>
                <w:rFonts w:ascii="Times New Roman" w:hAnsi="Times New Roman" w:cs="Times New Roman" w:hint="eastAsia"/>
                <w:sz w:val="18"/>
                <w:szCs w:val="18"/>
              </w:rPr>
              <w:t>;</w:t>
            </w:r>
          </w:p>
          <w:p w14:paraId="38F54ED3" w14:textId="538C7010" w:rsidR="00DD0C3C" w:rsidRPr="00E1114B" w:rsidRDefault="00DD0C3C" w:rsidP="00033462">
            <w:pPr>
              <w:rPr>
                <w:rFonts w:ascii="Times New Roman" w:hAnsi="Times New Roman" w:cs="Times New Roman"/>
                <w:sz w:val="18"/>
                <w:szCs w:val="18"/>
              </w:rPr>
            </w:pPr>
            <w:proofErr w:type="spellStart"/>
            <w:r w:rsidRPr="00A53927">
              <w:rPr>
                <w:rFonts w:ascii="Times New Roman" w:hAnsi="Times New Roman" w:cs="Times New Roman"/>
                <w:sz w:val="18"/>
                <w:szCs w:val="18"/>
              </w:rPr>
              <w:t>Babaie</w:t>
            </w:r>
            <w:proofErr w:type="spellEnd"/>
            <w:r w:rsidRPr="00A53927">
              <w:rPr>
                <w:rFonts w:ascii="Times New Roman" w:hAnsi="Times New Roman" w:cs="Times New Roman"/>
                <w:sz w:val="18"/>
                <w:szCs w:val="18"/>
              </w:rPr>
              <w:t xml:space="preserve"> Mahani</w:t>
            </w:r>
            <w:r>
              <w:rPr>
                <w:rFonts w:ascii="Times New Roman" w:hAnsi="Times New Roman" w:cs="Times New Roman" w:hint="eastAsia"/>
                <w:sz w:val="18"/>
                <w:szCs w:val="18"/>
              </w:rPr>
              <w:t xml:space="preserve"> &amp; </w:t>
            </w:r>
            <w:r w:rsidRPr="00A53927">
              <w:rPr>
                <w:rFonts w:ascii="Times New Roman" w:hAnsi="Times New Roman" w:cs="Times New Roman"/>
                <w:sz w:val="18"/>
                <w:szCs w:val="18"/>
              </w:rPr>
              <w:t>Kazemian</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{"citationID":"JFMa1Sjq","properties":{"formattedCitation":"\\super 8\\nosupersub{}","plainCitation":"8","noteIndex":0},"citationItems":[{"id":294,"uris":["http://zotero.org/users/10638632/items/98EI97S3"],"itemData":{"id":294,"type":"article-journal","container-title":"Journal of Seismology","DOI":"10.1007/s10950-018-9761-x","ISSN":"1383-4649, 1573-157X","issue":"6","journalAbbreviation":"J Seismol","language":"en","page":"1339-1358","source":"DOI.org (Crossref)","title":"Strong ground motion from the November 12, 2017, M 7.3 Kermanshah earthquake in western Iran","volume":"22","author":[{"family":"Babaie Mahani","given":"Alireza"},{"family":"Kazemian","given":"Javad"}],"issued":{"date-parts":[["2018",11]]}}}],"schema":"https://github.com/citation-style-language/schema/raw/master/csl-citation.json"}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8</w:t>
            </w:r>
            <w:r>
              <w:rPr>
                <w:rFonts w:ascii="Times New Roman" w:hAnsi="Times New Roman" w:cs="Times New Roman"/>
                <w:sz w:val="18"/>
                <w:szCs w:val="18"/>
              </w:rPr>
              <w:fldChar w:fldCharType="end"/>
            </w:r>
          </w:p>
        </w:tc>
        <w:tc>
          <w:tcPr>
            <w:tcW w:w="1528" w:type="dxa"/>
          </w:tcPr>
          <w:p w14:paraId="35DDBF48" w14:textId="707450D1"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 Asc</w:t>
            </w:r>
            <w:r>
              <w:rPr>
                <w:rFonts w:ascii="Times New Roman" w:hAnsi="Times New Roman" w:cs="Times New Roman" w:hint="eastAsia"/>
                <w:sz w:val="18"/>
                <w:szCs w:val="18"/>
              </w:rPr>
              <w:t>ending</w:t>
            </w:r>
            <w:r w:rsidRPr="00E1114B">
              <w:rPr>
                <w:rFonts w:ascii="Times New Roman" w:hAnsi="Times New Roman" w:cs="Times New Roman" w:hint="eastAsia"/>
                <w:sz w:val="18"/>
                <w:szCs w:val="18"/>
              </w:rPr>
              <w:t xml:space="preserve"> 174</w:t>
            </w:r>
          </w:p>
        </w:tc>
        <w:tc>
          <w:tcPr>
            <w:tcW w:w="1527" w:type="dxa"/>
          </w:tcPr>
          <w:p w14:paraId="170003B4" w14:textId="539C89B1"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p>
        </w:tc>
        <w:tc>
          <w:tcPr>
            <w:tcW w:w="1528" w:type="dxa"/>
          </w:tcPr>
          <w:p w14:paraId="769ABBFF"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06/11/2017</w:t>
            </w:r>
          </w:p>
        </w:tc>
        <w:tc>
          <w:tcPr>
            <w:tcW w:w="1528" w:type="dxa"/>
          </w:tcPr>
          <w:p w14:paraId="292B1AE7"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18/11/2017</w:t>
            </w:r>
          </w:p>
        </w:tc>
        <w:tc>
          <w:tcPr>
            <w:tcW w:w="1528" w:type="dxa"/>
          </w:tcPr>
          <w:p w14:paraId="75B3CDBB" w14:textId="1CD9D9B7"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30</w:t>
            </w:r>
          </w:p>
        </w:tc>
        <w:tc>
          <w:tcPr>
            <w:tcW w:w="1528" w:type="dxa"/>
          </w:tcPr>
          <w:p w14:paraId="04D4594C" w14:textId="1D6DC98E" w:rsidR="00DD0C3C" w:rsidRPr="00E1114B" w:rsidRDefault="00DD0C3C" w:rsidP="00033462">
            <w:pPr>
              <w:jc w:val="left"/>
              <w:rPr>
                <w:rFonts w:ascii="Times New Roman" w:hAnsi="Times New Roman" w:cs="Times New Roman"/>
                <w:sz w:val="18"/>
                <w:szCs w:val="18"/>
              </w:rPr>
            </w:pPr>
            <w:r w:rsidRPr="00E1114B">
              <w:rPr>
                <w:rFonts w:ascii="Times New Roman" w:hAnsi="Times New Roman" w:cs="Times New Roman" w:hint="eastAsia"/>
                <w:sz w:val="18"/>
                <w:szCs w:val="18"/>
              </w:rPr>
              <w:t>This study</w:t>
            </w:r>
          </w:p>
        </w:tc>
      </w:tr>
      <w:tr w:rsidR="00DD0C3C" w14:paraId="1E7D491D" w14:textId="668A51FF" w:rsidTr="00A81971">
        <w:trPr>
          <w:trHeight w:val="819"/>
          <w:jc w:val="center"/>
        </w:trPr>
        <w:tc>
          <w:tcPr>
            <w:tcW w:w="1527" w:type="dxa"/>
          </w:tcPr>
          <w:p w14:paraId="2A8A9D16" w14:textId="77777777" w:rsidR="00DD0C3C" w:rsidRPr="00E1114B" w:rsidRDefault="00DD0C3C" w:rsidP="00033462">
            <w:pPr>
              <w:jc w:val="center"/>
              <w:rPr>
                <w:rFonts w:ascii="Times New Roman" w:hAnsi="Times New Roman" w:cs="Times New Roman"/>
                <w:sz w:val="18"/>
                <w:szCs w:val="18"/>
              </w:rPr>
            </w:pPr>
            <w:r w:rsidRPr="00E1114B">
              <w:rPr>
                <w:rFonts w:ascii="Times New Roman" w:hAnsi="Times New Roman" w:cs="Times New Roman"/>
                <w:sz w:val="18"/>
                <w:szCs w:val="18"/>
              </w:rPr>
              <w:t>Antelope</w:t>
            </w:r>
            <w:r w:rsidRPr="00E1114B">
              <w:rPr>
                <w:rFonts w:ascii="Times New Roman" w:hAnsi="Times New Roman" w:cs="Times New Roman" w:hint="eastAsia"/>
                <w:sz w:val="18"/>
                <w:szCs w:val="18"/>
              </w:rPr>
              <w:t xml:space="preserve"> Valley</w:t>
            </w:r>
          </w:p>
        </w:tc>
        <w:tc>
          <w:tcPr>
            <w:tcW w:w="1528" w:type="dxa"/>
          </w:tcPr>
          <w:p w14:paraId="22B9308F"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08/07/2021</w:t>
            </w:r>
          </w:p>
        </w:tc>
        <w:tc>
          <w:tcPr>
            <w:tcW w:w="1528" w:type="dxa"/>
          </w:tcPr>
          <w:p w14:paraId="35889014" w14:textId="64B73444" w:rsidR="00DD0C3C" w:rsidRPr="00E1114B" w:rsidRDefault="00DD0C3C" w:rsidP="00033462">
            <w:pPr>
              <w:rPr>
                <w:rFonts w:ascii="Times New Roman" w:hAnsi="Times New Roman" w:cs="Times New Roman"/>
                <w:sz w:val="18"/>
                <w:szCs w:val="18"/>
              </w:rPr>
            </w:pPr>
            <w:r w:rsidRPr="00EF0CCA">
              <w:rPr>
                <w:rFonts w:ascii="Times New Roman" w:hAnsi="Times New Roman" w:cs="Times New Roman"/>
                <w:sz w:val="18"/>
                <w:szCs w:val="18"/>
              </w:rPr>
              <w:t>Pollitz</w:t>
            </w:r>
            <w:r>
              <w:rPr>
                <w:rFonts w:ascii="Times New Roman" w:hAnsi="Times New Roman" w:cs="Times New Roman" w:hint="eastAsia"/>
                <w:sz w:val="18"/>
                <w:szCs w:val="18"/>
              </w:rPr>
              <w:t xml:space="preserve">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{"citationID":"xMftuw45","properties":{"formattedCitation":"\\super 9\\nosupersub{}","plainCitation":"9","noteIndex":0},"citationItems":[{"id":295,"uris":["http://zotero.org/users/10638632/items/C37Y28H5"],"itemData":{"id":295,"type":"article-journal","abstract":"Abstract\n            We present a kinematic slip model of the 8 July 2021 Antelope Valley earthquake from a finite-source inversion based on regional seismic waveforms and static offsets from Global Positioning System (GPS) and Interferometric Synthetic Aperture Radar (InSAR). Seismic waveforms are employed at 6 s dominant period out to 100 km from the epicenter, and the combined GPS and InSAR datasets cover the near field and far field out to </w:instrText>
            </w:r>
            <w:r>
              <w:rPr>
                <w:rFonts w:ascii="Cambria Math" w:hAnsi="Cambria Math" w:cs="Cambria Math"/>
                <w:sz w:val="18"/>
                <w:szCs w:val="18"/>
              </w:rPr>
              <w:instrText>∼</w:instrText>
            </w:r>
            <w:r>
              <w:rPr>
                <w:rFonts w:ascii="Times New Roman" w:hAnsi="Times New Roman" w:cs="Times New Roman"/>
                <w:sz w:val="18"/>
                <w:szCs w:val="18"/>
              </w:rPr>
              <w:instrText xml:space="preserve">100 km and constrain the overall rupture size. The aftershock pattern defines a nearly north-striking, 50° east-dipping fault plane. We find a unilateral rupture along this fault plane propagating southward and updip with predominantly normal slip up to </w:instrText>
            </w:r>
            <w:r>
              <w:rPr>
                <w:rFonts w:ascii="Cambria Math" w:hAnsi="Cambria Math" w:cs="Cambria Math"/>
                <w:sz w:val="18"/>
                <w:szCs w:val="18"/>
              </w:rPr>
              <w:instrText>∼</w:instrText>
            </w:r>
            <w:r>
              <w:rPr>
                <w:rFonts w:ascii="Times New Roman" w:hAnsi="Times New Roman" w:cs="Times New Roman"/>
                <w:sz w:val="18"/>
                <w:szCs w:val="18"/>
              </w:rPr>
              <w:instrText xml:space="preserve">1.5 m. The estimated seismic moment of 8.47×1017  N·m is equivalent to Mw 5.92. A finite-source inversion that retains seismic waveforms and GPS static offsets but omits InSAR range changes yields a seismic moment of 1.08×1018  N·m (Mw 5.99). Despite vigorous aftershock activity between 10 km and Earth’s surface, coseismic slip is concentrated in the depth interval 7–10 km.","container-title":"The Seismic Record","DOI":"10.1785/0320210043","ISSN":"2694-4006","issue":"1","language":"en","license":"http://creativecommons.org/licenses/by/2.0/","page":"20-28","source":"DOI.org (Crossref)","title":"Kinematic Slip Model of the 2021 M 6.0 Antelope Valley, California, Earthquake","volume":"2","author":[{"family":"Pollitz","given":"Fred F."},{"family":"Wicks","given":"Chuck W."},{"family":"Hammond","given":"William C."}],"issued":{"date-parts":[["2022",1,1]]}}}],"schema":"https://github.com/citation-style-language/schema/raw/master/csl-citation.json"}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9</w:t>
            </w:r>
            <w:r>
              <w:rPr>
                <w:rFonts w:ascii="Times New Roman" w:hAnsi="Times New Roman" w:cs="Times New Roman"/>
                <w:sz w:val="18"/>
                <w:szCs w:val="18"/>
              </w:rPr>
              <w:fldChar w:fldCharType="end"/>
            </w:r>
          </w:p>
        </w:tc>
        <w:tc>
          <w:tcPr>
            <w:tcW w:w="1528" w:type="dxa"/>
          </w:tcPr>
          <w:p w14:paraId="530C1699" w14:textId="72336F5B"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 Asc</w:t>
            </w:r>
            <w:r>
              <w:rPr>
                <w:rFonts w:ascii="Times New Roman" w:hAnsi="Times New Roman" w:cs="Times New Roman" w:hint="eastAsia"/>
                <w:sz w:val="18"/>
                <w:szCs w:val="18"/>
              </w:rPr>
              <w:t>ending</w:t>
            </w:r>
            <w:r w:rsidRPr="00E1114B">
              <w:rPr>
                <w:rFonts w:ascii="Times New Roman" w:hAnsi="Times New Roman" w:cs="Times New Roman" w:hint="eastAsia"/>
                <w:sz w:val="18"/>
                <w:szCs w:val="18"/>
              </w:rPr>
              <w:t xml:space="preserve"> 64</w:t>
            </w:r>
          </w:p>
        </w:tc>
        <w:tc>
          <w:tcPr>
            <w:tcW w:w="1527" w:type="dxa"/>
          </w:tcPr>
          <w:p w14:paraId="11CBC26D" w14:textId="187738ED"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p>
        </w:tc>
        <w:tc>
          <w:tcPr>
            <w:tcW w:w="1528" w:type="dxa"/>
          </w:tcPr>
          <w:p w14:paraId="50EE9714"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05/07/2021</w:t>
            </w:r>
          </w:p>
        </w:tc>
        <w:tc>
          <w:tcPr>
            <w:tcW w:w="1528" w:type="dxa"/>
          </w:tcPr>
          <w:p w14:paraId="6C26BF0B"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17/07/2021</w:t>
            </w:r>
          </w:p>
        </w:tc>
        <w:tc>
          <w:tcPr>
            <w:tcW w:w="1528" w:type="dxa"/>
          </w:tcPr>
          <w:p w14:paraId="257BEE9A" w14:textId="03F33EB5"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100</w:t>
            </w:r>
          </w:p>
        </w:tc>
        <w:tc>
          <w:tcPr>
            <w:tcW w:w="1528" w:type="dxa"/>
          </w:tcPr>
          <w:p w14:paraId="637889C3" w14:textId="2E56F47C" w:rsidR="00DD0C3C" w:rsidRDefault="00DD0C3C" w:rsidP="00033462">
            <w:pPr>
              <w:jc w:val="left"/>
              <w:rPr>
                <w:rFonts w:ascii="Times New Roman" w:hAnsi="Times New Roman" w:cs="Times New Roman"/>
                <w:sz w:val="18"/>
                <w:szCs w:val="18"/>
              </w:rPr>
            </w:pPr>
            <w:r>
              <w:rPr>
                <w:rFonts w:ascii="Times New Roman" w:hAnsi="Times New Roman" w:cs="Times New Roman" w:hint="eastAsia"/>
                <w:sz w:val="18"/>
                <w:szCs w:val="18"/>
              </w:rPr>
              <w:t>Wang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{"citationID":"bAT9iAKO","properties":{"formattedCitation":"\\super 10\\nosupersub{}","plainCitation":"10","noteIndex":0},"citationItems":[{"id":286,"uris":["http://zotero.org/users/10638632/items/WV8I8PDA"],"itemData":{"id":286,"type":"article-journal","abstract":"Abstract\n            We present a finite-source coseismic slip model of the 2021 Mw 6.0 Antelope Valley earthquake based on the joint inversion of regional seismic waveforms, Interferometric Synthetic Aperture Radar (InSAR), and Global Navigation Satellite Systems data. The results show that the mainshock rupture was dominated by normal slip along a nearly north–south-trending fault dipping to the east. The rupture lasted for </w:instrText>
            </w:r>
            <w:r>
              <w:rPr>
                <w:rFonts w:ascii="Cambria Math" w:hAnsi="Cambria Math" w:cs="Cambria Math"/>
                <w:sz w:val="18"/>
                <w:szCs w:val="18"/>
              </w:rPr>
              <w:instrText>∼</w:instrText>
            </w:r>
            <w:r>
              <w:rPr>
                <w:rFonts w:ascii="Times New Roman" w:hAnsi="Times New Roman" w:cs="Times New Roman"/>
                <w:sz w:val="18"/>
                <w:szCs w:val="18"/>
              </w:rPr>
              <w:instrText xml:space="preserve">10 s, with primarily unilateral propagation toward the south. Most coseismic slip is found to be within a depth range between 6 and 10 km, with apparently no slip reaching the surface. Surface projection of the modeled fault plane matches well with the southern extension of the previously mapped Slinkard Valley fault (SVF). Aftershocks one year after the mainshock are mostly distributed within a relatively narrow band of 2–3 km thickness around the up-dip portion of the inferred coseismic rupture plane. There is little aftershock activity below 10 km, suggesting a relatively shallow brittle-to-ductile transition in this area. Aftershocks are also clustered at shallow depth beneath several branches of the Antelope Valley faults to the east of the mainshock rupture, including the Mw 4.4 event on 27 August 2021, which produced clear coseismic surface deformation observed by InSAR. Most aftershocks, immediately up-dip of the coseismic rupture and to the east beneath the Antelope Valley faults, are in areas of substantial coseismic Coulomb stress increase, particularly when assuming that all faults in this area dip to the east. This suggests that like the SVF that hosted the mainshock, the Antelope Valley faults in this area also dip to the east. There is little to no postseismic deformation seen from InSAR observations </w:instrText>
            </w:r>
            <w:r>
              <w:rPr>
                <w:rFonts w:ascii="Cambria Math" w:hAnsi="Cambria Math" w:cs="Cambria Math"/>
                <w:sz w:val="18"/>
                <w:szCs w:val="18"/>
              </w:rPr>
              <w:instrText>∼</w:instrText>
            </w:r>
            <w:r>
              <w:rPr>
                <w:rFonts w:ascii="Times New Roman" w:hAnsi="Times New Roman" w:cs="Times New Roman"/>
                <w:sz w:val="18"/>
                <w:szCs w:val="18"/>
              </w:rPr>
              <w:instrText xml:space="preserve">2 months after the mainshock. The lack of clear coseismic and postseismic slip on the shallow portion of the fault suggests the potential for future shallow seismic activity.","container-title":"Seismological Research Letters","DOI":"10.1785/0220220262","ISSN":"0895-0695, 1938-2057","language":"en","source":"DOI.org (Crossref)","title":"Finite-Source Model of the 8 July 2021 M 6.0 Antelope Valley, California, Earthquake","URL":"https://pubs.geoscienceworld.org/srl/article/doi/10.1785/0220220262/620085/Finite-Source-Model-of-the-8-July-2021-M-6-0","author":[{"family":"Wang","given":"Kang"},{"family":"Dreger","given":"Douglas S."},{"family":"Burgmann","given":"Roland"},{"family":"Taira","given":"Taka’aki"}],"accessed":{"date-parts":[["2025",9,12]]},"issued":{"date-parts":[["2023",1,31]]}}}],"schema":"https://github.com/citation-style-language/schema/raw/master/csl-citation.json"}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10</w:t>
            </w:r>
            <w:r>
              <w:rPr>
                <w:rFonts w:ascii="Times New Roman" w:hAnsi="Times New Roman" w:cs="Times New Roman"/>
                <w:sz w:val="18"/>
                <w:szCs w:val="18"/>
              </w:rPr>
              <w:fldChar w:fldCharType="end"/>
            </w:r>
          </w:p>
        </w:tc>
      </w:tr>
      <w:tr w:rsidR="00DD0C3C" w14:paraId="123F3426" w14:textId="2A00603D" w:rsidTr="00A81971">
        <w:trPr>
          <w:trHeight w:val="738"/>
          <w:jc w:val="center"/>
        </w:trPr>
        <w:tc>
          <w:tcPr>
            <w:tcW w:w="1527" w:type="dxa"/>
          </w:tcPr>
          <w:p w14:paraId="476A95BB" w14:textId="2D85911F"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Greece</w:t>
            </w:r>
          </w:p>
        </w:tc>
        <w:tc>
          <w:tcPr>
            <w:tcW w:w="1528" w:type="dxa"/>
          </w:tcPr>
          <w:p w14:paraId="5EFF099D"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03/03/2021</w:t>
            </w:r>
          </w:p>
        </w:tc>
        <w:tc>
          <w:tcPr>
            <w:tcW w:w="1528" w:type="dxa"/>
          </w:tcPr>
          <w:p w14:paraId="7920AE57" w14:textId="7A3E0D0D" w:rsidR="00DD0C3C" w:rsidRPr="00E1114B" w:rsidRDefault="00DD0C3C" w:rsidP="00033462">
            <w:pPr>
              <w:rPr>
                <w:rFonts w:ascii="Times New Roman" w:hAnsi="Times New Roman" w:cs="Times New Roman"/>
                <w:sz w:val="18"/>
                <w:szCs w:val="18"/>
              </w:rPr>
            </w:pPr>
            <w:proofErr w:type="spellStart"/>
            <w:r w:rsidRPr="009C190D">
              <w:rPr>
                <w:rFonts w:ascii="Times New Roman" w:hAnsi="Times New Roman" w:cs="Times New Roman"/>
                <w:sz w:val="18"/>
                <w:szCs w:val="18"/>
              </w:rPr>
              <w:t>Koukouvelas</w:t>
            </w:r>
            <w:proofErr w:type="spellEnd"/>
            <w:r>
              <w:rPr>
                <w:rFonts w:ascii="Times New Roman" w:hAnsi="Times New Roman" w:cs="Times New Roman" w:hint="eastAsia"/>
                <w:sz w:val="18"/>
                <w:szCs w:val="18"/>
              </w:rPr>
              <w:t xml:space="preserve">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{"citationID":"zy8FJrJT","properties":{"formattedCitation":"\\super 11\\nosupersub{}","plainCitation":"11","noteIndex":0},"citationItems":[{"id":297,"uris":["http://zotero.org/users/10638632/items/9Q2RQP9Z"],"itemData":{"id":297,"type":"article-journal","abstract":"On 3 March 2021, an important seismic sequence started in northern Thessaly, Greece. The Damasi Seismic Sequence (DSS) deformed the western sector of the Tyrnavos Graben, which includes a major blind normal fault and the Titarisios River Graben (TRG). In this contribution, we provide fieldwork observations across the TRG and satellite radar interferometry of the faults controlling the graben. In addition, we provide a map of the active faults exposed in the TRG and palaeoseismological analyses of the Mesochori Fault, which together contribute to unravelling the seismic history of the area. DInSAR provides clear evidence of the Mesochori Fault surface rupture during the main shocks, while our palaeoseismological analyses document a long seismic history of the fault, with a mean recurrence interval of 1.0–1.5 ka and a mean slip per event of ~15 cm for the last four events reactivating the scarp. Quantitative geomorphological analyses based on real-time kinematic (RTK) measurements with global navigation satellite system (GNSS) receivers and data from UAV flight campaigns also provide evidence of postseismic activity across the Mesochori Fault. Based on these results showing that (at least) the Mesochori Fault has been reactivated several times in the latest Quaternary the seismotectonics of the TRG are discussed.","container-title":"Geosciences","DOI":"10.3390/geosciences13110331","ISSN":"2076-3263","issue":"11","journalAbbreviation":"Geosciences","language":"en","license":"https://creativecommons.org/licenses/by/4.0/","page":"331","source":"DOI.org (Crossref)","title":"Is the Mesochori Fault a Key Structure for Understanding the Earthquake Activity during the 2021 Damasi Earthquakes in Northern Thessaly, Greece?","volume":"13","author":[{"family":"Koukouvelas","given":"Ioannis K."},{"family":"Caputo","given":"Riccardo"},{"family":"Nikolakopoulos","given":"Konstantinos G."},{"family":"Kyriou","given":"Aggeliki"},{"family":"Famiglietti","given":"Nicola Angelo"}],"issued":{"date-parts":[["2023",10,30]]}}}],"schema":"https://github.com/citation-style-language/schema/raw/master/csl-citation.json"}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11</w:t>
            </w:r>
            <w:r>
              <w:rPr>
                <w:rFonts w:ascii="Times New Roman" w:hAnsi="Times New Roman" w:cs="Times New Roman"/>
                <w:sz w:val="18"/>
                <w:szCs w:val="18"/>
              </w:rPr>
              <w:fldChar w:fldCharType="end"/>
            </w:r>
          </w:p>
        </w:tc>
        <w:tc>
          <w:tcPr>
            <w:tcW w:w="1528" w:type="dxa"/>
          </w:tcPr>
          <w:p w14:paraId="75CD256E" w14:textId="09F15CEA"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 Asc</w:t>
            </w:r>
            <w:r>
              <w:rPr>
                <w:rFonts w:ascii="Times New Roman" w:hAnsi="Times New Roman" w:cs="Times New Roman" w:hint="eastAsia"/>
                <w:sz w:val="18"/>
                <w:szCs w:val="18"/>
              </w:rPr>
              <w:t>ending</w:t>
            </w:r>
            <w:r w:rsidRPr="00E1114B">
              <w:rPr>
                <w:rFonts w:ascii="Times New Roman" w:hAnsi="Times New Roman" w:cs="Times New Roman" w:hint="eastAsia"/>
                <w:sz w:val="18"/>
                <w:szCs w:val="18"/>
              </w:rPr>
              <w:t xml:space="preserve"> 102</w:t>
            </w:r>
          </w:p>
        </w:tc>
        <w:tc>
          <w:tcPr>
            <w:tcW w:w="1527" w:type="dxa"/>
          </w:tcPr>
          <w:p w14:paraId="5A21E778" w14:textId="5BE022BB"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p>
        </w:tc>
        <w:tc>
          <w:tcPr>
            <w:tcW w:w="1528" w:type="dxa"/>
          </w:tcPr>
          <w:p w14:paraId="61B9BFD5"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25/02/2021</w:t>
            </w:r>
          </w:p>
        </w:tc>
        <w:tc>
          <w:tcPr>
            <w:tcW w:w="1528" w:type="dxa"/>
          </w:tcPr>
          <w:p w14:paraId="2E013508"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03/03/2021</w:t>
            </w:r>
          </w:p>
        </w:tc>
        <w:tc>
          <w:tcPr>
            <w:tcW w:w="1528" w:type="dxa"/>
          </w:tcPr>
          <w:p w14:paraId="7F5C47E6" w14:textId="06894E03"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30</w:t>
            </w:r>
          </w:p>
        </w:tc>
        <w:tc>
          <w:tcPr>
            <w:tcW w:w="1528" w:type="dxa"/>
          </w:tcPr>
          <w:p w14:paraId="6B78CDD0" w14:textId="6002A2AF" w:rsidR="00DD0C3C" w:rsidRPr="006E6BF1" w:rsidRDefault="00DD0C3C" w:rsidP="00033462">
            <w:pPr>
              <w:jc w:val="left"/>
              <w:rPr>
                <w:rFonts w:ascii="Times New Roman" w:hAnsi="Times New Roman" w:cs="Times New Roman"/>
                <w:sz w:val="18"/>
                <w:szCs w:val="18"/>
              </w:rPr>
            </w:pPr>
            <w:r w:rsidRPr="006E6BF1">
              <w:rPr>
                <w:rFonts w:ascii="Times New Roman" w:hAnsi="Times New Roman" w:cs="Times New Roman"/>
                <w:sz w:val="18"/>
                <w:szCs w:val="18"/>
              </w:rPr>
              <w:t>Tolomei</w:t>
            </w:r>
            <w:r>
              <w:rPr>
                <w:rFonts w:ascii="Times New Roman" w:hAnsi="Times New Roman" w:cs="Times New Roman" w:hint="eastAsia"/>
                <w:sz w:val="18"/>
                <w:szCs w:val="18"/>
              </w:rPr>
              <w:t xml:space="preserve">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{"citationID":"8uCUY5VU","properties":{"formattedCitation":"\\super 12\\nosupersub{}","plainCitation":"12","noteIndex":0},"citationItems":[{"id":287,"uris":["http://zotero.org/users/10638632/items/LM8BXXBD"],"itemData":{"id":287,"type":"article-journal","abstract":"We study the surface deformation following a moderate size M5+ earthquake sequence that occurred close to Tyrnavos village (Thessaly, Greece) in March 2021. We adopt the interferometric synthetic aperture radar (InSAR) technique to exploit several pairs of Sentinel-1 acquisitions and successfully retrieve the ground movement caused by the three major events (M5+) of the sequence. The mainshocks occurred at depths varying from ~7 to ~10 km, and are related to the activation of at least three normal faults characterizing the area previously unknown. Thanks to the 6-day repeat time of the Sentinel-1 mission, InSAR analysis allowed us to detect both the surface displacement due to the individual analyzed earthquakes and the cumulative displacement caused by the entire seismic sequence. Especially in the case of a seismic sequence that occurs over a very short time span, it is quite uncommon to be able to separate the surface effects ascribable to the mainshock and the major aftershocks because the time frequency of radar satellite acquisitions often hamper the temporal separation of such events. In this work, we present the results obtained through the InSAR data analysis, and are able to isolate single seismic events that were part of the sequence.","container-title":"Geosciences","DOI":"10.3390/geosciences11050191","ISSN":"2076-3263","issue":"5","journalAbbreviation":"Geosciences","language":"en","license":"https://creativecommons.org/licenses/by/4.0/","page":"191","source":"DOI.org (Crossref)","title":"The Use of Interferometric Synthetic Aperture Radar for Isolating the Contribution of Major Shocks: The Case of the March 2021 Thessaly, Greece, Seismic Sequence","title-short":"The Use of Interferometric Synthetic Aperture Radar for Isolating the Contribution of Major Shocks","volume":"11","author":[{"family":"Tolomei","given":"Cristiano"},{"family":"Caputo","given":"Riccardo"},{"family":"Polcari","given":"Marco"},{"family":"Famiglietti","given":"Nicola Angelo"},{"family":"Maggini","given":"Massimiliano"},{"family":"Stramondo","given":"Salvatore"}],"issued":{"date-parts":[["2021",4,29]]}}}],"schema":"https://github.com/citation-style-language/schema/raw/master/csl-citation.json"}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12</w:t>
            </w:r>
            <w:r>
              <w:rPr>
                <w:rFonts w:ascii="Times New Roman" w:hAnsi="Times New Roman" w:cs="Times New Roman"/>
                <w:sz w:val="18"/>
                <w:szCs w:val="18"/>
              </w:rPr>
              <w:fldChar w:fldCharType="end"/>
            </w:r>
          </w:p>
        </w:tc>
      </w:tr>
      <w:tr w:rsidR="00DD0C3C" w14:paraId="40749F9B" w14:textId="0E9BA58C" w:rsidTr="00A81971">
        <w:trPr>
          <w:trHeight w:val="710"/>
          <w:jc w:val="center"/>
        </w:trPr>
        <w:tc>
          <w:tcPr>
            <w:tcW w:w="1527" w:type="dxa"/>
          </w:tcPr>
          <w:p w14:paraId="1DC0575F" w14:textId="77777777" w:rsidR="00DD0C3C" w:rsidRPr="00E1114B" w:rsidRDefault="00DD0C3C" w:rsidP="00033462">
            <w:pPr>
              <w:jc w:val="center"/>
              <w:rPr>
                <w:rFonts w:ascii="Times New Roman" w:hAnsi="Times New Roman" w:cs="Times New Roman"/>
                <w:sz w:val="18"/>
                <w:szCs w:val="18"/>
              </w:rPr>
            </w:pPr>
            <w:r w:rsidRPr="00E1114B">
              <w:rPr>
                <w:rFonts w:ascii="Times New Roman" w:hAnsi="Times New Roman" w:cs="Times New Roman" w:hint="eastAsia"/>
                <w:sz w:val="18"/>
                <w:szCs w:val="18"/>
              </w:rPr>
              <w:t>Haiti</w:t>
            </w:r>
          </w:p>
        </w:tc>
        <w:tc>
          <w:tcPr>
            <w:tcW w:w="1528" w:type="dxa"/>
          </w:tcPr>
          <w:p w14:paraId="76E48883"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14/08/2021</w:t>
            </w:r>
          </w:p>
        </w:tc>
        <w:tc>
          <w:tcPr>
            <w:tcW w:w="1528" w:type="dxa"/>
          </w:tcPr>
          <w:p w14:paraId="385601DA" w14:textId="01D8B446" w:rsidR="00DD0C3C" w:rsidRPr="002F41DB" w:rsidRDefault="00DD0C3C" w:rsidP="00033462">
            <w:pPr>
              <w:rPr>
                <w:rFonts w:ascii="Times New Roman" w:hAnsi="Times New Roman" w:cs="Times New Roman"/>
                <w:sz w:val="18"/>
                <w:szCs w:val="18"/>
              </w:rPr>
            </w:pPr>
            <w:r>
              <w:rPr>
                <w:rFonts w:ascii="Times New Roman" w:hAnsi="Times New Roman" w:cs="Times New Roman" w:hint="eastAsia"/>
                <w:sz w:val="18"/>
                <w:szCs w:val="18"/>
              </w:rPr>
              <w:t>Styron &amp; Pagani</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{"citationID":"kAhQr9OE","properties":{"formattedCitation":"\\super 1\\nosupersub{}","plainCitation":"1","noteIndex":0},"citationItems":[{"id":308,"uris":["http://zotero.org/users/10638632/items/AUFRSA8G"],"itemData":{"id":308,"type":"article-journal","abstract":"The GEM Global Active Faults Database (GAF-DB) is the first public, comprehensive database of active faults with worldwide coverage. The GAF-DB is a compilation of many regional datasets. The GAF-DB contains </w:instrText>
            </w:r>
            <w:r>
              <w:rPr>
                <w:rFonts w:ascii="Cambria Math" w:hAnsi="Cambria Math" w:cs="Cambria Math"/>
                <w:sz w:val="18"/>
                <w:szCs w:val="18"/>
              </w:rPr>
              <w:instrText>∼</w:instrText>
            </w:r>
            <w:r>
              <w:rPr>
                <w:rFonts w:ascii="Times New Roman" w:hAnsi="Times New Roman" w:cs="Times New Roman"/>
                <w:sz w:val="18"/>
                <w:szCs w:val="18"/>
              </w:rPr>
              <w:instrText xml:space="preserve">13,500 faults, each with associated attributes that describe the geometry, kinematics, slip rate, references, and other characteristics, as the information is available. Spatial completeness is high, and about 77% of the faults have slip rate information. The GAF-DB is built from its constituent datasets algorithmically and is designed to fluidly incorporate changes to or addition of any of the underlying datasets. This process reflects a philosophy of easily incorporating a change to avoid obsolescence and to quickly provide the most up-to-date information possible to the users. The database is licensed under a free and open-source license (CC-BY-SA 4.0) and is available at https://github.com/GEMScienceTools/gem-global-active-faults .","container-title":"Earthquake Spectra","DOI":"10.1177/8755293020944182","ISSN":"8755-2930, 1944-8201","issue":"1_suppl","journalAbbreviation":"Earthquake Spectra","language":"en","page":"160-180","source":"DOI.org (Crossref)","title":"The GEM Global Active Faults Database","volume":"36","author":[{"family":"Styron","given":"Richard"},{"family":"Pagani","given":"Marco"}],"issued":{"date-parts":[["2020",10]]}}}],"schema":"https://github.com/citation-style-language/schema/raw/master/csl-citation.json"} </w:instrText>
            </w:r>
            <w:r>
              <w:rPr>
                <w:rFonts w:ascii="Times New Roman" w:hAnsi="Times New Roman" w:cs="Times New Roman"/>
                <w:sz w:val="18"/>
                <w:szCs w:val="18"/>
              </w:rPr>
              <w:fldChar w:fldCharType="separate"/>
            </w:r>
            <w:r w:rsidRPr="00DC5628">
              <w:rPr>
                <w:rFonts w:ascii="Times New Roman" w:hAnsi="Times New Roman" w:cs="Times New Roman"/>
                <w:kern w:val="0"/>
                <w:sz w:val="18"/>
                <w:vertAlign w:val="superscript"/>
              </w:rPr>
              <w:t>1</w:t>
            </w:r>
            <w:r>
              <w:rPr>
                <w:rFonts w:ascii="Times New Roman" w:hAnsi="Times New Roman" w:cs="Times New Roman"/>
                <w:sz w:val="18"/>
                <w:szCs w:val="18"/>
              </w:rPr>
              <w:fldChar w:fldCharType="end"/>
            </w:r>
          </w:p>
        </w:tc>
        <w:tc>
          <w:tcPr>
            <w:tcW w:w="1528" w:type="dxa"/>
          </w:tcPr>
          <w:p w14:paraId="5691D033" w14:textId="48BC1DF4"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A</w:t>
            </w:r>
            <w:r>
              <w:rPr>
                <w:rFonts w:ascii="Times New Roman" w:hAnsi="Times New Roman" w:cs="Times New Roman" w:hint="eastAsia"/>
                <w:sz w:val="18"/>
                <w:szCs w:val="18"/>
              </w:rPr>
              <w:t xml:space="preserve">LOS-2, </w:t>
            </w:r>
            <w:r>
              <w:rPr>
                <w:rFonts w:ascii="Times New Roman" w:hAnsi="Times New Roman" w:cs="Times New Roman"/>
                <w:sz w:val="18"/>
                <w:szCs w:val="18"/>
              </w:rPr>
              <w:t>Descending</w:t>
            </w:r>
            <w:r>
              <w:rPr>
                <w:rFonts w:ascii="Times New Roman" w:hAnsi="Times New Roman" w:cs="Times New Roman" w:hint="eastAsia"/>
                <w:sz w:val="18"/>
                <w:szCs w:val="18"/>
              </w:rPr>
              <w:t xml:space="preserve"> 138</w:t>
            </w:r>
          </w:p>
        </w:tc>
        <w:tc>
          <w:tcPr>
            <w:tcW w:w="1527" w:type="dxa"/>
          </w:tcPr>
          <w:p w14:paraId="32ED23B9" w14:textId="41094DD6"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p>
        </w:tc>
        <w:tc>
          <w:tcPr>
            <w:tcW w:w="1528" w:type="dxa"/>
          </w:tcPr>
          <w:p w14:paraId="4E8038F6" w14:textId="736A76E6"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10/12/2019</w:t>
            </w:r>
          </w:p>
        </w:tc>
        <w:tc>
          <w:tcPr>
            <w:tcW w:w="1528" w:type="dxa"/>
          </w:tcPr>
          <w:p w14:paraId="28161D85" w14:textId="458933A7" w:rsidR="00DD0C3C" w:rsidRPr="00E1114B" w:rsidRDefault="00DD0C3C" w:rsidP="00033462">
            <w:pPr>
              <w:rPr>
                <w:rFonts w:ascii="Times New Roman" w:hAnsi="Times New Roman" w:cs="Times New Roman"/>
                <w:sz w:val="18"/>
                <w:szCs w:val="18"/>
              </w:rPr>
            </w:pPr>
            <w:r>
              <w:rPr>
                <w:rFonts w:ascii="Times New Roman" w:hAnsi="Times New Roman" w:cs="Times New Roman" w:hint="eastAsia"/>
                <w:sz w:val="18"/>
                <w:szCs w:val="18"/>
              </w:rPr>
              <w:t>17/08/2021</w:t>
            </w:r>
          </w:p>
        </w:tc>
        <w:tc>
          <w:tcPr>
            <w:tcW w:w="1528" w:type="dxa"/>
          </w:tcPr>
          <w:p w14:paraId="73773D39" w14:textId="693D0976"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80</w:t>
            </w:r>
          </w:p>
        </w:tc>
        <w:tc>
          <w:tcPr>
            <w:tcW w:w="1528" w:type="dxa"/>
          </w:tcPr>
          <w:p w14:paraId="042AA8C8" w14:textId="22F9DDD0" w:rsidR="00DD0C3C" w:rsidRPr="00E1114B" w:rsidRDefault="00DD0C3C" w:rsidP="00033462">
            <w:pPr>
              <w:jc w:val="left"/>
              <w:rPr>
                <w:rFonts w:ascii="Times New Roman" w:hAnsi="Times New Roman" w:cs="Times New Roman"/>
                <w:sz w:val="18"/>
                <w:szCs w:val="18"/>
              </w:rPr>
            </w:pPr>
            <w:r w:rsidRPr="00E1114B">
              <w:rPr>
                <w:rFonts w:ascii="Times New Roman" w:hAnsi="Times New Roman" w:cs="Times New Roman" w:hint="eastAsia"/>
                <w:sz w:val="18"/>
                <w:szCs w:val="18"/>
              </w:rPr>
              <w:t>This study</w:t>
            </w:r>
          </w:p>
        </w:tc>
      </w:tr>
      <w:tr w:rsidR="00DD0C3C" w14:paraId="0A4E60E4" w14:textId="32EF01E8" w:rsidTr="00B60857">
        <w:trPr>
          <w:trHeight w:val="1021"/>
          <w:jc w:val="center"/>
        </w:trPr>
        <w:tc>
          <w:tcPr>
            <w:tcW w:w="1527" w:type="dxa"/>
          </w:tcPr>
          <w:p w14:paraId="551BC65D" w14:textId="77777777" w:rsidR="00DD0C3C" w:rsidRPr="00E1114B" w:rsidRDefault="00DD0C3C" w:rsidP="00033462">
            <w:pPr>
              <w:jc w:val="center"/>
              <w:rPr>
                <w:rFonts w:ascii="Times New Roman" w:hAnsi="Times New Roman" w:cs="Times New Roman"/>
                <w:sz w:val="18"/>
                <w:szCs w:val="18"/>
              </w:rPr>
            </w:pPr>
            <w:proofErr w:type="spellStart"/>
            <w:r w:rsidRPr="00E1114B">
              <w:rPr>
                <w:rFonts w:ascii="Times New Roman" w:hAnsi="Times New Roman" w:cs="Times New Roman" w:hint="eastAsia"/>
                <w:sz w:val="18"/>
                <w:szCs w:val="18"/>
              </w:rPr>
              <w:t>Menyuan</w:t>
            </w:r>
            <w:proofErr w:type="spellEnd"/>
          </w:p>
        </w:tc>
        <w:tc>
          <w:tcPr>
            <w:tcW w:w="1528" w:type="dxa"/>
          </w:tcPr>
          <w:p w14:paraId="2595BB73"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08/01/2022</w:t>
            </w:r>
          </w:p>
        </w:tc>
        <w:tc>
          <w:tcPr>
            <w:tcW w:w="1528" w:type="dxa"/>
          </w:tcPr>
          <w:p w14:paraId="10818742" w14:textId="52265F9D" w:rsidR="00DD0C3C" w:rsidRPr="00F619B0" w:rsidRDefault="00DD0C3C" w:rsidP="00033462">
            <w:pPr>
              <w:rPr>
                <w:rFonts w:ascii="Times New Roman" w:hAnsi="Times New Roman" w:cs="Times New Roman"/>
                <w:sz w:val="18"/>
                <w:szCs w:val="18"/>
                <w:lang w:val="nl-NL"/>
              </w:rPr>
            </w:pPr>
            <w:r w:rsidRPr="00F619B0">
              <w:rPr>
                <w:rFonts w:ascii="Times New Roman" w:hAnsi="Times New Roman" w:cs="Times New Roman" w:hint="eastAsia"/>
                <w:sz w:val="18"/>
                <w:szCs w:val="18"/>
                <w:lang w:val="nl-NL"/>
              </w:rPr>
              <w:t>Li et al.</w:t>
            </w:r>
            <w:r>
              <w:rPr>
                <w:rFonts w:ascii="Times New Roman" w:hAnsi="Times New Roman" w:cs="Times New Roman"/>
                <w:sz w:val="18"/>
                <w:szCs w:val="18"/>
              </w:rPr>
              <w:fldChar w:fldCharType="begin"/>
            </w:r>
            <w:r w:rsidRPr="00F619B0">
              <w:rPr>
                <w:rFonts w:ascii="Times New Roman" w:hAnsi="Times New Roman" w:cs="Times New Roman"/>
                <w:sz w:val="18"/>
                <w:szCs w:val="18"/>
                <w:lang w:val="nl-NL"/>
              </w:rPr>
              <w:instrText xml:space="preserve"> ADDIN ZOTERO_ITEM CSL_CITATION {"citationID":"Jsw7vpLV","properties":{"formattedCitation":"\\super 13\\nosupersub{}","plainCitation":"13","noteIndex":0},"citationItems":[{"id":299,"uris":["http://zotero.org/users/10638632/items/5QSSCCT5"],"itemData":{"id":299,"type":"article-journal","container-title":"Earth and Planetary Science Letters","DOI":"10.1016/j.epsl.2023.118412","ISSN":"0012821X","journalAbbreviation":"Earth and Planetary Science Letters","language":"en","page":"118412","source":"DOI.org (Crossref)","title":"The 2022, Ms 6.9 Menyuan earthquake: Surface rupture, Paleozoic suture re-activation, slip-rate and seismic gap along the Haiyuan fault system, NE Tibet","title-short":"The 2022, Ms 6.9 Menyuan earthquake","volume":"622","author":[{"family":"Li","given":"Kang"},{"family":"Tapponnier","given":"Paul"},{"family":"Xu","given":"Xiwei"},{"family":"Kang","given":"Wenjun"}],"issued":{"date-parts":[["2023",11]]}}}],"schema":"https://github.com/citation-style-language/schema/raw/master/csl-citation.json"} </w:instrText>
            </w:r>
            <w:r>
              <w:rPr>
                <w:rFonts w:ascii="Times New Roman" w:hAnsi="Times New Roman" w:cs="Times New Roman"/>
                <w:sz w:val="18"/>
                <w:szCs w:val="18"/>
              </w:rPr>
              <w:fldChar w:fldCharType="separate"/>
            </w:r>
            <w:r w:rsidRPr="00F619B0">
              <w:rPr>
                <w:rFonts w:ascii="Times New Roman" w:hAnsi="Times New Roman" w:cs="Times New Roman"/>
                <w:kern w:val="0"/>
                <w:sz w:val="18"/>
                <w:vertAlign w:val="superscript"/>
                <w:lang w:val="nl-NL"/>
              </w:rPr>
              <w:t>13</w:t>
            </w:r>
            <w:r>
              <w:rPr>
                <w:rFonts w:ascii="Times New Roman" w:hAnsi="Times New Roman" w:cs="Times New Roman"/>
                <w:sz w:val="18"/>
                <w:szCs w:val="18"/>
              </w:rPr>
              <w:fldChar w:fldCharType="end"/>
            </w:r>
            <w:r w:rsidRPr="00F619B0">
              <w:rPr>
                <w:rFonts w:ascii="Times New Roman" w:hAnsi="Times New Roman" w:cs="Times New Roman" w:hint="eastAsia"/>
                <w:sz w:val="18"/>
                <w:szCs w:val="18"/>
                <w:lang w:val="nl-NL"/>
              </w:rPr>
              <w:t>;</w:t>
            </w:r>
          </w:p>
          <w:p w14:paraId="7C44E033" w14:textId="6F92FA45" w:rsidR="00DD0C3C" w:rsidRPr="00AF16BD" w:rsidRDefault="00DD0C3C" w:rsidP="00033462">
            <w:pPr>
              <w:rPr>
                <w:rFonts w:ascii="Times New Roman" w:hAnsi="Times New Roman" w:cs="Times New Roman"/>
                <w:sz w:val="18"/>
                <w:szCs w:val="18"/>
                <w:lang w:val="nl-NL"/>
              </w:rPr>
            </w:pPr>
            <w:proofErr w:type="spellStart"/>
            <w:r w:rsidRPr="00F619B0">
              <w:rPr>
                <w:rFonts w:ascii="Times New Roman" w:hAnsi="Times New Roman" w:cs="Times New Roman" w:hint="eastAsia"/>
                <w:sz w:val="18"/>
                <w:szCs w:val="18"/>
                <w:lang w:val="nl-NL"/>
              </w:rPr>
              <w:t>Wu</w:t>
            </w:r>
            <w:proofErr w:type="spellEnd"/>
            <w:r w:rsidRPr="00F619B0">
              <w:rPr>
                <w:rFonts w:ascii="Times New Roman" w:hAnsi="Times New Roman" w:cs="Times New Roman" w:hint="eastAsia"/>
                <w:sz w:val="18"/>
                <w:szCs w:val="18"/>
                <w:lang w:val="nl-NL"/>
              </w:rPr>
              <w:t xml:space="preserve"> et al.</w:t>
            </w:r>
            <w:r>
              <w:rPr>
                <w:rFonts w:ascii="Times New Roman" w:hAnsi="Times New Roman" w:cs="Times New Roman"/>
                <w:sz w:val="18"/>
                <w:szCs w:val="18"/>
              </w:rPr>
              <w:fldChar w:fldCharType="begin"/>
            </w:r>
            <w:r w:rsidRPr="00F619B0">
              <w:rPr>
                <w:rFonts w:ascii="Times New Roman" w:hAnsi="Times New Roman" w:cs="Times New Roman"/>
                <w:sz w:val="18"/>
                <w:szCs w:val="18"/>
                <w:lang w:val="nl-NL"/>
              </w:rPr>
              <w:instrText xml:space="preserve"> ADDIN ZOTERO_ITEM CSL_CITATION {"citationID":"Uo17lDPh","properties":{"formattedCitation":"\\super 14\\nosupersub{}","plainCitation":"14","noteIndex":0},"citationItems":[{"id":300,"uris":["http://zotero.org/users/10638632/items/T4SPDTLC"],"itemData":{"id":300,"type":"article-journal","abstract":"Abstract. Active faults serve as potential sources of destructive earthquakes. Studies and investigations of active faults are necessary for earthquake disaster prevention. This study presents a nation-scale database of active faults in China and its adjacent regions, in tandem with an associated web-based query system. This database is an updated version of the active faults data included in the Seismotectonic Map of China and its Adjacent Regions (1:4 000 000), which is one of the four essential maps of the mandatory Chinese standard GB 18306-2015 Seismic Ground Motion Parameter Zonation Maps of China. The data update and integration stem from regional-scale studies and surveys conducted over the past 2 decades (at reference scales from 1:250 000 to 1:50 000). The information amassed from these regional-scale studies and surveys encompasses geophysical probing, drill logging, measurement of offset landforms, sample dating, as well as geometric and kinematic parameters of exposed and blind faults, paleo-earthquake sequences, and recurrence intervals. These data have been acquired and analyzed utilizing a uniform technical standard framework and reviewed by expert panels in both field and laboratory settings. Our system hosts this nation-scale database accessible through a Web Geographic Information System (GIS) application, enabling browsing, querying, and downloading functionalities via a web browser. The system we built also publishes the Open Geospatial Consortium (OGC) Web Feature Service and the OGC Web Map Service of active faults data. Users can incorporate map layers and obtain fault data in OGC-compliant GIS software for further analysis through these services. The Chinese government, research institutions, and companies have widely used the active faults data from the previous versions of the database. The database is available at https://doi.org/10.12031/activefault.china.400.2023.db (Xu, 2023) and via the web system (https://data.activetectonics.cn/arcportal/apps/webappviewer/index.html?id=684737e8849c4170bbca14447608c451, CEFIS, 2023; http://data.activetectonics.cn/arcserver/services/Hosted/CAFD400_2022_WFS/MapServer/WFSServer, CAFD WFS, 2024).","container-title":"Earth System Science Data","DOI":"10.5194/essd-16-3391-2024","ISSN":"1866-3516","issue":"7","journalAbbreviation":"Earth Syst. Sci. Data","language":"en","license":"https://creativecommons.org/licenses/by/4.0/","page":"3391-3417","source":"DOI.org (Crossref)","title":"The China Active Faults Database (CAFD) and its web system","volume":"16","author":[{"family":"Wu","given":"Xiyan"},{"family":"Xu","given":"Xiwei"},{"family":"Yu","given":"Guihua"},{"family":"Ren","given":"</w:instrText>
            </w:r>
            <w:r w:rsidRPr="00AF16BD">
              <w:rPr>
                <w:rFonts w:ascii="Times New Roman" w:hAnsi="Times New Roman" w:cs="Times New Roman"/>
                <w:sz w:val="18"/>
                <w:szCs w:val="18"/>
                <w:lang w:val="nl-NL"/>
              </w:rPr>
              <w:instrText xml:space="preserve">Junjie"},{"family":"Yang","given":"Xiaoping"},{"family":"Chen","given":"Guihua"},{"family":"Xu","given":"Chong"},{"family":"Du","given":"Keping"},{"family":"Huang","given":"Xiongnan"},{"family":"Yang","given":"Haibo"},{"family":"Li","given":"Kang"},{"family":"Hao","given":"Haijian"}],"issued":{"date-parts":[["2024",7,24]]}}}],"schema":"https://github.com/citation-style-language/schema/raw/master/csl-citation.json"} </w:instrText>
            </w:r>
            <w:r>
              <w:rPr>
                <w:rFonts w:ascii="Times New Roman" w:hAnsi="Times New Roman" w:cs="Times New Roman"/>
                <w:sz w:val="18"/>
                <w:szCs w:val="18"/>
              </w:rPr>
              <w:fldChar w:fldCharType="separate"/>
            </w:r>
            <w:r w:rsidRPr="00AF16BD">
              <w:rPr>
                <w:rFonts w:ascii="Times New Roman" w:hAnsi="Times New Roman" w:cs="Times New Roman"/>
                <w:kern w:val="0"/>
                <w:sz w:val="18"/>
                <w:vertAlign w:val="superscript"/>
                <w:lang w:val="nl-NL"/>
              </w:rPr>
              <w:t>14</w:t>
            </w:r>
            <w:r>
              <w:rPr>
                <w:rFonts w:ascii="Times New Roman" w:hAnsi="Times New Roman" w:cs="Times New Roman"/>
                <w:sz w:val="18"/>
                <w:szCs w:val="18"/>
              </w:rPr>
              <w:fldChar w:fldCharType="end"/>
            </w:r>
          </w:p>
        </w:tc>
        <w:tc>
          <w:tcPr>
            <w:tcW w:w="1528" w:type="dxa"/>
          </w:tcPr>
          <w:p w14:paraId="7959F1EB" w14:textId="3A8799B0"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r w:rsidRPr="00E1114B">
              <w:rPr>
                <w:rFonts w:ascii="Times New Roman" w:hAnsi="Times New Roman" w:cs="Times New Roman" w:hint="eastAsia"/>
                <w:sz w:val="18"/>
                <w:szCs w:val="18"/>
              </w:rPr>
              <w:t>, Asc</w:t>
            </w:r>
            <w:r>
              <w:rPr>
                <w:rFonts w:ascii="Times New Roman" w:hAnsi="Times New Roman" w:cs="Times New Roman" w:hint="eastAsia"/>
                <w:sz w:val="18"/>
                <w:szCs w:val="18"/>
              </w:rPr>
              <w:t>ending</w:t>
            </w:r>
            <w:r w:rsidRPr="00E1114B">
              <w:rPr>
                <w:rFonts w:ascii="Times New Roman" w:hAnsi="Times New Roman" w:cs="Times New Roman" w:hint="eastAsia"/>
                <w:sz w:val="18"/>
                <w:szCs w:val="18"/>
              </w:rPr>
              <w:t xml:space="preserve"> 128</w:t>
            </w:r>
          </w:p>
        </w:tc>
        <w:tc>
          <w:tcPr>
            <w:tcW w:w="1527" w:type="dxa"/>
          </w:tcPr>
          <w:p w14:paraId="0AA2CC12" w14:textId="30C49DD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p>
        </w:tc>
        <w:tc>
          <w:tcPr>
            <w:tcW w:w="1528" w:type="dxa"/>
          </w:tcPr>
          <w:p w14:paraId="227B8038"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05/01/2022</w:t>
            </w:r>
          </w:p>
        </w:tc>
        <w:tc>
          <w:tcPr>
            <w:tcW w:w="1528" w:type="dxa"/>
          </w:tcPr>
          <w:p w14:paraId="76F2A83A"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17/01/2022</w:t>
            </w:r>
          </w:p>
        </w:tc>
        <w:tc>
          <w:tcPr>
            <w:tcW w:w="1528" w:type="dxa"/>
          </w:tcPr>
          <w:p w14:paraId="562CA8A3" w14:textId="05D9A845"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50</w:t>
            </w:r>
          </w:p>
        </w:tc>
        <w:tc>
          <w:tcPr>
            <w:tcW w:w="1528" w:type="dxa"/>
          </w:tcPr>
          <w:p w14:paraId="1628DE47" w14:textId="6A12EE3F" w:rsidR="00DD0C3C" w:rsidRDefault="00DD0C3C" w:rsidP="00033462">
            <w:pPr>
              <w:jc w:val="left"/>
              <w:rPr>
                <w:rFonts w:ascii="Times New Roman" w:hAnsi="Times New Roman" w:cs="Times New Roman"/>
                <w:sz w:val="18"/>
                <w:szCs w:val="18"/>
              </w:rPr>
            </w:pPr>
            <w:r>
              <w:rPr>
                <w:rFonts w:ascii="Times New Roman" w:hAnsi="Times New Roman" w:cs="Times New Roman" w:hint="eastAsia"/>
                <w:sz w:val="18"/>
                <w:szCs w:val="18"/>
              </w:rPr>
              <w:t>Liu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{"citationID":"7FjvkrfY","properties":{"formattedCitation":"\\super 16\\nosupersub{}","plainCitation":"16","noteIndex":0},"citationItems":[{"id":289,"uris":["http://zotero.org/users/10638632/items/BVKZMHY3"],"itemData":{"id":289,"type":"article-journal","abstract":"The 8 January 2022 Mw6.7 Menyuan earthquake was generated in the transition zone between the western Lenglongling fault and the eastern Tuolaishan fault, both being part of the Qilian–Haiyuan fault system with an important role in the adjustment of the regional tectonic regime. In this study, four pairs of SAR (synthetic aperture radar) data from Sentinel-1 and ALOS-2 (Advanced Land Observation Satellite-2) satellites were used to derive the surface displacement observations along the satellite line-of-sight (LOS) and azimuth directions using the differential interferometric SAR (InSAR, DInSAR), pixel offset-tracking (POT), multiple aperture InSAR (MAI), and burst overlap InSAR (BOI) methods. An SM-VCE method (i.e., a method for measuring three-dimensional (3D) surface displacements with InSAR based on a strain model and variance component estimation) was employed to combine these derived SAR displacement observations to calculate the 3D co-seismic displacements. Results indicate that the 2022 Menyuan earthquake was dominated by left-lateral slip, and the maximum horizontal and vertical displacements were 1.9 m and 0.6 m, respectively. The relative horizontal surface displacement across the fault was as large as 2–3 m, and the fault-parallel displacement magnitude was larger on the southern side of the fault compared with the northern side. Furthermore, three co-seismic strain invariants were also investigated, revealing that the near-fault area suffered severe deformation, and two obviously expanding and compressed zones were identified. We provide displacements/strains derived in this study in the prevailing geotiff format, which will be useful for the broad community studying this earthquake; in addition, the SM-VCE code used in this study is open to the public so that readers can better understand the method.","container-title":"Remote Sensing","DOI":"10.3390/rs14061404","ISSN":"2072-4292","issue":"6","journalAbbreviation":"Remote Sensing","language":"en","license":"https://creativecommons.org/licenses/by/4.0/","page":"1404","source":"DOI.org (Crossref)","title":"Three-Dimensional Surface Displacements of the 8 January 2022 Mw6.7 Menyuan Earthquake, China from Sentinel-1 and ALOS-2 SAR Observations","volume":"14","author":[{"family":"Liu","given":"Jihong"},{"family":"Hu","given":"Jun"},{"family":"Li","given":"Zhiwei"},{"family":"Ma","given":"Zhangfeng"},{"family":"Shi","given":"Jianwen"},{"family":"Xu","given":"Wenbin"},{"family":"Sun","given":"Qian"}],"issued":{"date-parts":[["2022",3,14]]}}}],"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16</w:t>
            </w:r>
            <w:r>
              <w:rPr>
                <w:rFonts w:ascii="Times New Roman" w:hAnsi="Times New Roman" w:cs="Times New Roman"/>
                <w:sz w:val="18"/>
                <w:szCs w:val="18"/>
              </w:rPr>
              <w:fldChar w:fldCharType="end"/>
            </w:r>
          </w:p>
        </w:tc>
      </w:tr>
      <w:tr w:rsidR="00DD0C3C" w14:paraId="4667B1DA" w14:textId="41F2BD24" w:rsidTr="051A9DA7">
        <w:trPr>
          <w:trHeight w:val="738"/>
          <w:jc w:val="center"/>
        </w:trPr>
        <w:tc>
          <w:tcPr>
            <w:tcW w:w="1527" w:type="dxa"/>
          </w:tcPr>
          <w:p w14:paraId="7BE7BEFA" w14:textId="77777777" w:rsidR="00DD0C3C" w:rsidRPr="00E1114B" w:rsidRDefault="00DD0C3C" w:rsidP="00033462">
            <w:pPr>
              <w:jc w:val="center"/>
              <w:rPr>
                <w:rFonts w:ascii="Times New Roman" w:hAnsi="Times New Roman" w:cs="Times New Roman"/>
                <w:sz w:val="18"/>
                <w:szCs w:val="18"/>
              </w:rPr>
            </w:pPr>
            <w:r w:rsidRPr="00E1114B">
              <w:rPr>
                <w:rFonts w:ascii="Times New Roman" w:hAnsi="Times New Roman" w:cs="Times New Roman" w:hint="eastAsia"/>
                <w:sz w:val="18"/>
                <w:szCs w:val="18"/>
              </w:rPr>
              <w:t xml:space="preserve">Noto </w:t>
            </w:r>
            <w:r w:rsidRPr="00E1114B">
              <w:rPr>
                <w:rFonts w:ascii="Times New Roman" w:hAnsi="Times New Roman" w:cs="Times New Roman"/>
                <w:sz w:val="18"/>
                <w:szCs w:val="18"/>
              </w:rPr>
              <w:t>Peninsula</w:t>
            </w:r>
          </w:p>
        </w:tc>
        <w:tc>
          <w:tcPr>
            <w:tcW w:w="1528" w:type="dxa"/>
          </w:tcPr>
          <w:p w14:paraId="049666D9" w14:textId="77777777" w:rsidR="00DD0C3C" w:rsidRPr="00E1114B" w:rsidRDefault="00DD0C3C" w:rsidP="002D66C7">
            <w:pPr>
              <w:jc w:val="center"/>
              <w:rPr>
                <w:rFonts w:ascii="Times New Roman" w:hAnsi="Times New Roman" w:cs="Times New Roman"/>
                <w:sz w:val="18"/>
                <w:szCs w:val="18"/>
              </w:rPr>
            </w:pPr>
            <w:r w:rsidRPr="00E1114B">
              <w:rPr>
                <w:rFonts w:ascii="Times New Roman" w:hAnsi="Times New Roman" w:cs="Times New Roman" w:hint="eastAsia"/>
                <w:sz w:val="18"/>
                <w:szCs w:val="18"/>
              </w:rPr>
              <w:t>01/01/2024</w:t>
            </w:r>
          </w:p>
        </w:tc>
        <w:tc>
          <w:tcPr>
            <w:tcW w:w="1528" w:type="dxa"/>
          </w:tcPr>
          <w:p w14:paraId="18F44736" w14:textId="0F116106" w:rsidR="00DD0C3C" w:rsidRPr="00157C1E" w:rsidRDefault="00DD0C3C" w:rsidP="00033462">
            <w:pPr>
              <w:rPr>
                <w:rFonts w:ascii="Times New Roman" w:hAnsi="Times New Roman" w:cs="Times New Roman"/>
                <w:sz w:val="18"/>
                <w:szCs w:val="18"/>
              </w:rPr>
            </w:pPr>
            <w:r>
              <w:rPr>
                <w:rFonts w:ascii="Times New Roman" w:hAnsi="Times New Roman" w:cs="Times New Roman" w:hint="eastAsia"/>
                <w:sz w:val="18"/>
                <w:szCs w:val="18"/>
              </w:rPr>
              <w:t xml:space="preserve">Inoue &amp; </w:t>
            </w:r>
            <w:r w:rsidRPr="005251EA">
              <w:rPr>
                <w:rFonts w:ascii="Times New Roman" w:hAnsi="Times New Roman" w:cs="Times New Roman"/>
                <w:sz w:val="18"/>
                <w:szCs w:val="18"/>
              </w:rPr>
              <w:t>Okamura</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{"citationID":"O6QgGfAL","properties":{"formattedCitation":"\\super 17\\nosupersub{}","plainCitation":"17","noteIndex":0},"citationItems":[{"id":311,"uris":["http://zotero.org/users/10638632/items/PXRM57L7"],"itemData":{"id":311,"type":"article-journal","abstract":"Marine geological map around the northern part of Noto Peninsula” was compiled based on recent survey data and previous geological maps around Noto Peninsula. The recent surveys covered a near shore area off the northern part of Noto Peninsula from Ama Misaki to Suzu Misaki in 2007 and 2008, and the data is composed of high-resolution 12 channel seismic profiles, sea bottom sediment samples and their ages and three dimensional bathymetric data. The high-resolution seismic survey was conducted using a fishing boat, which made it possible to get seismic profiles of very shallow area close to the coast. The distance between the coast and landward end of the offshore survey lines is generally less than 1 km except for off Ama Misaki area where there is a geologic data gap about 4 km wide. The offshore area of northern Noto Peninsula is underlain by acoustic basement and sedimentary covers which are divided into the Najimi-oki Group, the lower and upper parts of the Wajima-oki Group, the Machino-oki Formation and the Monzen-oki Formation in ascending order. The Mozen-oki Formation, Machino-oki Formation and upper and lower part of the Wajima-oki Group were newly defined from the Wajima-oki Group that was defined in the previous geological maps based on air-gun seismic profiles. The Najimi-oki Group is folded Miocene sequence which is truncated by an extensive erosional surface. The Pliocene to Pleistocene Wajima-oki Group is composed of nearly horizontal sediments which unconformably cover the Najimi-oki Group. The top of Wajima-oki Group is widely exposed on the seafloor which is inferred to be an erosional surface. The late Pleistocene Machino-oki Formation covers the erosional surface of the Wajima-oki Group off Machino. The Holocene Monzen-oki Formation is distributed in offshore area of northwestern part of Noto Peninsula and small area off Wajima and Machino. The latter two areas are located offshore of mouths of two largest rivers along the northern coast of the Noto Peninsula. The ENE-WSW trending folds and reverse faults are widely developed in the Najimi-oki Group. The deformation due to N-S to NNW-SSE compression is inferred to have developed mainly in the late Miocene, but some of the faults have been reactivated in Quaternary. The reactivated active faults are distributed in a narrow offshore zone along the coast from off Ama Misaki to off Suzu Misaki. Each of the faults is discontinuous and SW dipping reverse faults. The active fault zone was divided into Monzen-oki, Saruyama-oki, Wajima-oki and Suzu-oki segments from west to east based on the gaps of fault traces. The 2007 Noto Hanto Earthquake occurred by the rupture of one of the largest active faults in the Monzen-oki segment. Deformation of Holocene sediments is clearly observed along some of the active faults in this segment. The active faults in the Saruyama-oki segment have been found under the seafloor within 4 km from coast between the Monzen and the Wajima. They have deformed Holocene sediments. The Wajima-oki segment is composed of two sub-parallel rows of active faults from off Wajima to off Takaya. No Holocene sediments cover the active faults, thus displacements of erosional surface of the last glacial age are exposed on the seafloor. The Suzu-oki segment trends NE-SW that is highly oblique to the coastal trend. This segment was defined by an active flexure of the Wajima-oki Group and its erosional surface.","language":"ja","source":"Zotero","title":"Explanatory notes of 1:200,000 marine geological map around the northern part of Noto Peninsula","URL":"https://gbank.gsj.jp/ld/resource/geolis/201020551","volume":"S-1","author":[{"family":"Inoue","given":"Takahiko"},{"family":"Okamura","given":"Yukinobu"}],"issued":{"date-parts":[["2010"]]}}}],"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17</w:t>
            </w:r>
            <w:r>
              <w:rPr>
                <w:rFonts w:ascii="Times New Roman" w:hAnsi="Times New Roman" w:cs="Times New Roman"/>
                <w:sz w:val="18"/>
                <w:szCs w:val="18"/>
              </w:rPr>
              <w:fldChar w:fldCharType="end"/>
            </w:r>
          </w:p>
        </w:tc>
        <w:tc>
          <w:tcPr>
            <w:tcW w:w="1528" w:type="dxa"/>
          </w:tcPr>
          <w:p w14:paraId="6E5C94D1" w14:textId="6944FCB6"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A</w:t>
            </w:r>
            <w:r>
              <w:rPr>
                <w:rFonts w:ascii="Times New Roman" w:hAnsi="Times New Roman" w:cs="Times New Roman" w:hint="eastAsia"/>
                <w:sz w:val="18"/>
                <w:szCs w:val="18"/>
              </w:rPr>
              <w:t xml:space="preserve">LOS-2 </w:t>
            </w:r>
            <w:r w:rsidRPr="00E1114B">
              <w:rPr>
                <w:rFonts w:ascii="Times New Roman" w:hAnsi="Times New Roman" w:cs="Times New Roman" w:hint="eastAsia"/>
                <w:sz w:val="18"/>
                <w:szCs w:val="18"/>
              </w:rPr>
              <w:t>&amp;</w:t>
            </w:r>
            <w:r>
              <w:rPr>
                <w:rFonts w:ascii="Times New Roman" w:hAnsi="Times New Roman" w:cs="Times New Roman" w:hint="eastAsia"/>
                <w:sz w:val="18"/>
                <w:szCs w:val="18"/>
              </w:rPr>
              <w:t xml:space="preserve"> </w:t>
            </w:r>
            <w:r w:rsidRPr="00E1114B">
              <w:rPr>
                <w:rFonts w:ascii="Times New Roman" w:hAnsi="Times New Roman" w:cs="Times New Roman" w:hint="eastAsia"/>
                <w:sz w:val="18"/>
                <w:szCs w:val="18"/>
              </w:rPr>
              <w:t>S</w:t>
            </w:r>
            <w:r w:rsidRPr="005346BE">
              <w:rPr>
                <w:rFonts w:ascii="Times New Roman" w:hAnsi="Times New Roman" w:cs="Times New Roman"/>
                <w:sz w:val="18"/>
                <w:szCs w:val="18"/>
              </w:rPr>
              <w:t>entinel-1</w:t>
            </w:r>
          </w:p>
        </w:tc>
        <w:tc>
          <w:tcPr>
            <w:tcW w:w="1527" w:type="dxa"/>
          </w:tcPr>
          <w:p w14:paraId="70C60A96" w14:textId="645A7B42"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D</w:t>
            </w:r>
            <w:r w:rsidRPr="007738F5">
              <w:rPr>
                <w:rFonts w:ascii="Times New Roman" w:hAnsi="Times New Roman" w:cs="Times New Roman"/>
                <w:sz w:val="18"/>
                <w:szCs w:val="18"/>
              </w:rPr>
              <w:t>-InSAR</w:t>
            </w:r>
            <w:r w:rsidRPr="00E1114B">
              <w:rPr>
                <w:rFonts w:ascii="Times New Roman" w:hAnsi="Times New Roman" w:cs="Times New Roman" w:hint="eastAsia"/>
                <w:sz w:val="18"/>
                <w:szCs w:val="18"/>
              </w:rPr>
              <w:t>, P</w:t>
            </w:r>
            <w:r>
              <w:rPr>
                <w:rFonts w:ascii="Times New Roman" w:hAnsi="Times New Roman" w:cs="Times New Roman" w:hint="eastAsia"/>
                <w:sz w:val="18"/>
                <w:szCs w:val="18"/>
              </w:rPr>
              <w:t>OT</w:t>
            </w:r>
            <w:r w:rsidRPr="00E1114B">
              <w:rPr>
                <w:rFonts w:ascii="Times New Roman" w:hAnsi="Times New Roman" w:cs="Times New Roman" w:hint="eastAsia"/>
                <w:sz w:val="18"/>
                <w:szCs w:val="18"/>
              </w:rPr>
              <w:t>, R</w:t>
            </w:r>
            <w:r>
              <w:rPr>
                <w:rFonts w:ascii="Times New Roman" w:hAnsi="Times New Roman" w:cs="Times New Roman" w:hint="eastAsia"/>
                <w:sz w:val="18"/>
                <w:szCs w:val="18"/>
              </w:rPr>
              <w:t>SSI</w:t>
            </w:r>
          </w:p>
        </w:tc>
        <w:tc>
          <w:tcPr>
            <w:tcW w:w="1528" w:type="dxa"/>
          </w:tcPr>
          <w:p w14:paraId="789115A6"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06/06/2022</w:t>
            </w:r>
          </w:p>
        </w:tc>
        <w:tc>
          <w:tcPr>
            <w:tcW w:w="1528" w:type="dxa"/>
          </w:tcPr>
          <w:p w14:paraId="70F87691" w14:textId="77777777" w:rsidR="00DD0C3C" w:rsidRPr="00E1114B" w:rsidRDefault="00DD0C3C" w:rsidP="00033462">
            <w:pPr>
              <w:rPr>
                <w:rFonts w:ascii="Times New Roman" w:hAnsi="Times New Roman" w:cs="Times New Roman"/>
                <w:sz w:val="18"/>
                <w:szCs w:val="18"/>
              </w:rPr>
            </w:pPr>
            <w:r w:rsidRPr="00E1114B">
              <w:rPr>
                <w:rFonts w:ascii="Times New Roman" w:hAnsi="Times New Roman" w:cs="Times New Roman" w:hint="eastAsia"/>
                <w:sz w:val="18"/>
                <w:szCs w:val="18"/>
              </w:rPr>
              <w:t>15/01/2024</w:t>
            </w:r>
          </w:p>
        </w:tc>
        <w:tc>
          <w:tcPr>
            <w:tcW w:w="1528" w:type="dxa"/>
          </w:tcPr>
          <w:p w14:paraId="06E97CDC" w14:textId="33A76481" w:rsidR="00DD0C3C" w:rsidRPr="00E1114B" w:rsidRDefault="00DD0C3C" w:rsidP="00033462">
            <w:pPr>
              <w:jc w:val="center"/>
              <w:rPr>
                <w:rFonts w:ascii="Times New Roman" w:hAnsi="Times New Roman" w:cs="Times New Roman"/>
                <w:sz w:val="18"/>
                <w:szCs w:val="18"/>
              </w:rPr>
            </w:pPr>
            <w:r>
              <w:rPr>
                <w:rFonts w:ascii="Times New Roman" w:hAnsi="Times New Roman" w:cs="Times New Roman" w:hint="eastAsia"/>
                <w:sz w:val="18"/>
                <w:szCs w:val="18"/>
              </w:rPr>
              <w:t>120</w:t>
            </w:r>
          </w:p>
        </w:tc>
        <w:tc>
          <w:tcPr>
            <w:tcW w:w="1528" w:type="dxa"/>
          </w:tcPr>
          <w:p w14:paraId="184EE6F2" w14:textId="12E68923" w:rsidR="00DD0C3C" w:rsidRDefault="00DD0C3C" w:rsidP="00033462">
            <w:pPr>
              <w:jc w:val="left"/>
              <w:rPr>
                <w:rFonts w:ascii="Times New Roman" w:hAnsi="Times New Roman" w:cs="Times New Roman"/>
                <w:sz w:val="18"/>
                <w:szCs w:val="18"/>
              </w:rPr>
            </w:pPr>
            <w:r>
              <w:rPr>
                <w:rFonts w:ascii="Times New Roman" w:hAnsi="Times New Roman" w:cs="Times New Roman" w:hint="eastAsia"/>
                <w:sz w:val="18"/>
                <w:szCs w:val="18"/>
              </w:rPr>
              <w:t>Ma et al.</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{"citationID":"k9yBgkly","properties":{"formattedCitation":"\\super 18\\nosupersub{}","plainCitation":"18","noteIndex":0},"citationItems":[{"id":291,"uris":["http://zotero.org/users/10638632/items/SN5J8R5X"],"itemData":{"id":291,"type":"article-journal","abstract":"The 2024 moment magnitude 7.5 Noto Peninsula (Japan) earthquake caused devastation to communities and was generated by a complex rupture process. Using space geodetic and seismic observations, we have shown that the event deformed the peninsula with a peak uplift reaching 5 meters at the west coast. Shallow slip exceeded 10 meters on an offshore fault. Peak stress drop was greater than 10 megapascals. This devastating event began with a slow rupture propagation lasting 15 to 20 seconds near its hypocenter, where seismic swarms had surged since 2020 because of lower-crust fluid supply. The slow start was accompanied by intense high-frequency seismic radiation. These observations suggest a distinct coseismic slip mode reflecting high heterogeneity in fault properties within a fluid-rich fault zone.\n          , \n            Editor’s summary\n            \n              The 2024 magnitude 7.5 Noto Peninsula earthquake in Japan occurred on a fault system that has seen repeated seismic swarms since 2020. Ma\n              et al\n              . unraveled the slip behavior of this event, which seems to have ruptured a fault in a fluid-rich zone. The authors identified a slow rupture mode that immediately preceded the larger fault slip, which could be an important component for fluid-rich fault ruptures. Xu\n              et al\n              . found that the initial rupture was almost stopped by a strong asperity, a zone of increased friction, which was broken after a second rupture started on the other side of the barrier and generated strong shaking. The pattern of where seismic swarms occurred may be important for assessing risk elsewhere. —Brent Grocholski","container-title":"Science","DOI":"10.1126/science.ado5143","ISSN":"0036-8075, 1095-9203","issue":"6711","journalAbbreviation":"Science","language":"en","page":"866-871","source":"DOI.org (Crossref)","title":"Slow rupture in a fluid-rich fault zone initiated the 2024 &lt;i&gt;M&lt;/i&gt;&lt;sub&gt;w&lt;/sub&gt; 7.5 Noto earthquake","volume":"385","author":[{"family":"Ma","given":"Zhangfeng"},{"family":"Zeng","given":"Hongyu"},{"family":"Luo","given":"Haipeng"},{"family":"Liu","given":"Zemin"},{"family":"Jiang","given":"Yu"},{"family":"Aoki","given":"Yosuke"},{"family":"Wang","given":"Weitao"},{"family":"Itoh","given":"Yuji"},{"family":"Lyu","given":"Mingzhe"},{"family":"Cui","given":"Yan"},{"family":"Yun","given":"Sang-Ho"},{"family":"Hill","given":"Emma M."},{"family":"Wei","given":"Shengji"}],"issued":{"date-parts":[["2024",8,23]]}}}],"schema":"https://github.com/citation-style-language/schema/raw/master/csl-citation.json"} </w:instrText>
            </w:r>
            <w:r>
              <w:rPr>
                <w:rFonts w:ascii="Times New Roman" w:hAnsi="Times New Roman" w:cs="Times New Roman"/>
                <w:sz w:val="18"/>
                <w:szCs w:val="18"/>
              </w:rPr>
              <w:fldChar w:fldCharType="separate"/>
            </w:r>
            <w:r w:rsidRPr="008B4CFA">
              <w:rPr>
                <w:rFonts w:ascii="Times New Roman" w:hAnsi="Times New Roman" w:cs="Times New Roman"/>
                <w:kern w:val="0"/>
                <w:sz w:val="18"/>
                <w:vertAlign w:val="superscript"/>
              </w:rPr>
              <w:t>18</w:t>
            </w:r>
            <w:r>
              <w:rPr>
                <w:rFonts w:ascii="Times New Roman" w:hAnsi="Times New Roman" w:cs="Times New Roman"/>
                <w:sz w:val="18"/>
                <w:szCs w:val="18"/>
              </w:rPr>
              <w:fldChar w:fldCharType="end"/>
            </w:r>
          </w:p>
        </w:tc>
      </w:tr>
    </w:tbl>
    <w:p w14:paraId="62E741FF" w14:textId="74C49DAF" w:rsidR="00CB406F" w:rsidRDefault="00CB406F">
      <w:pPr>
        <w:widowControl/>
        <w:jc w:val="left"/>
        <w:rPr>
          <w:rFonts w:ascii="Times New Roman" w:hAnsi="Times New Roman" w:cs="Times New Roman"/>
        </w:rPr>
        <w:sectPr w:rsidR="00CB406F" w:rsidSect="00CB406F">
          <w:pgSz w:w="16838" w:h="11906" w:orient="landscape"/>
          <w:pgMar w:top="1800" w:right="1440" w:bottom="1800" w:left="1440" w:header="851" w:footer="992" w:gutter="0"/>
          <w:cols w:space="425"/>
          <w:docGrid w:type="lines" w:linePitch="312"/>
        </w:sectPr>
      </w:pPr>
    </w:p>
    <w:p w14:paraId="0E5FD3A7" w14:textId="77777777" w:rsidR="006F2D4B" w:rsidRDefault="006F2D4B" w:rsidP="006F2D4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4F9B27" wp14:editId="36FFD4CD">
            <wp:extent cx="5164927" cy="5087695"/>
            <wp:effectExtent l="0" t="0" r="4445" b="5080"/>
            <wp:docPr id="1017824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24503"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4927" cy="5087695"/>
                    </a:xfrm>
                    <a:prstGeom prst="rect">
                      <a:avLst/>
                    </a:prstGeom>
                  </pic:spPr>
                </pic:pic>
              </a:graphicData>
            </a:graphic>
          </wp:inline>
        </w:drawing>
      </w:r>
    </w:p>
    <w:p w14:paraId="0D47608C" w14:textId="62E67C3A" w:rsidR="006F2D4B" w:rsidRDefault="006F2D4B" w:rsidP="006F2D4B">
      <w:pPr>
        <w:rPr>
          <w:rFonts w:ascii="Times New Roman" w:hAnsi="Times New Roman" w:cs="Times New Roman"/>
          <w:sz w:val="24"/>
          <w:szCs w:val="24"/>
        </w:rPr>
      </w:pPr>
      <w:r w:rsidRPr="00D51E74">
        <w:rPr>
          <w:rFonts w:ascii="Times New Roman" w:hAnsi="Times New Roman" w:cs="Times New Roman"/>
          <w:b/>
          <w:bCs/>
          <w:sz w:val="24"/>
          <w:szCs w:val="24"/>
        </w:rPr>
        <w:t xml:space="preserve">Supplementary Fig. </w:t>
      </w:r>
      <w:r w:rsidR="00F10AD8">
        <w:rPr>
          <w:rFonts w:ascii="Times New Roman" w:hAnsi="Times New Roman" w:cs="Times New Roman"/>
          <w:b/>
          <w:bCs/>
          <w:sz w:val="24"/>
          <w:szCs w:val="24"/>
        </w:rPr>
        <w:t>1</w:t>
      </w:r>
      <w:r w:rsidRPr="00D51E74">
        <w:rPr>
          <w:rFonts w:ascii="Times New Roman" w:hAnsi="Times New Roman" w:cs="Times New Roman"/>
          <w:sz w:val="24"/>
          <w:szCs w:val="24"/>
        </w:rPr>
        <w:t xml:space="preserve"> Pairwise comparison of alternative relative formulations of topographic amplification (TA). Panel (a) shows the relationship between the relative ratio and the logarithmic ratio, panel (b) shows the relationship between the symmetric relative difference and the logarithmic ratio, and panel (c) shows the relationship between the symmetric relative difference and the relative ratio. Dashed lines indicate the 1:1 relationship. In each panel, </w:t>
      </w:r>
      <w:r w:rsidRPr="00D51E74">
        <w:rPr>
          <w:rFonts w:ascii="Cambria Math" w:hAnsi="Cambria Math" w:cs="Cambria Math"/>
          <w:sz w:val="24"/>
          <w:szCs w:val="24"/>
        </w:rPr>
        <w:t>𝑛</w:t>
      </w:r>
      <w:r w:rsidRPr="00D51E74">
        <w:rPr>
          <w:rFonts w:ascii="Times New Roman" w:hAnsi="Times New Roman" w:cs="Times New Roman"/>
          <w:sz w:val="24"/>
          <w:szCs w:val="24"/>
        </w:rPr>
        <w:t xml:space="preserve"> is the number of slope units, </w:t>
      </w:r>
      <w:r w:rsidRPr="00D51E74">
        <w:rPr>
          <w:rFonts w:ascii="Cambria Math" w:hAnsi="Cambria Math" w:cs="Cambria Math"/>
          <w:sz w:val="24"/>
          <w:szCs w:val="24"/>
        </w:rPr>
        <w:t>𝜌</w:t>
      </w:r>
      <w:r w:rsidRPr="00D51E74">
        <w:rPr>
          <w:rFonts w:ascii="Times New Roman" w:hAnsi="Times New Roman" w:cs="Times New Roman"/>
          <w:sz w:val="24"/>
          <w:szCs w:val="24"/>
        </w:rPr>
        <w:t xml:space="preserve"> is Spearman’s rank correlation coefficient, and</w:t>
      </w:r>
      <w:r>
        <w:rPr>
          <w:rFonts w:ascii="Times New Roman" w:hAnsi="Times New Roman" w:cs="Times New Roman"/>
          <w:sz w:val="24"/>
          <w:szCs w:val="24"/>
        </w:rPr>
        <w:t xml:space="preserve"> </w:t>
      </w:r>
      <w:r w:rsidRPr="00D51E74">
        <w:rPr>
          <w:rFonts w:ascii="Cambria Math" w:hAnsi="Cambria Math" w:cs="Cambria Math"/>
          <w:sz w:val="24"/>
          <w:szCs w:val="24"/>
        </w:rPr>
        <w:t>𝑟</w:t>
      </w:r>
      <w:r w:rsidRPr="00D51E74">
        <w:rPr>
          <w:rFonts w:ascii="Times New Roman" w:hAnsi="Times New Roman" w:cs="Times New Roman"/>
          <w:sz w:val="24"/>
          <w:szCs w:val="24"/>
        </w:rPr>
        <w:t xml:space="preserve"> is Pearson’s correlation coefficient. The high correspondence among the three formulations indicates that the observed TA patterns are robust to the choice of relative metric.</w:t>
      </w:r>
    </w:p>
    <w:p w14:paraId="62323A6B" w14:textId="77777777" w:rsidR="006F2D4B" w:rsidRDefault="006F2D4B" w:rsidP="00461082">
      <w:pPr>
        <w:jc w:val="center"/>
        <w:rPr>
          <w:rFonts w:ascii="Times New Roman" w:hAnsi="Times New Roman" w:cs="Times New Roman"/>
          <w:sz w:val="24"/>
          <w:szCs w:val="24"/>
        </w:rPr>
      </w:pPr>
    </w:p>
    <w:p w14:paraId="336810CC" w14:textId="77777777" w:rsidR="006F2D4B" w:rsidRDefault="006F2D4B" w:rsidP="00461082">
      <w:pPr>
        <w:jc w:val="center"/>
        <w:rPr>
          <w:rFonts w:ascii="Times New Roman" w:hAnsi="Times New Roman" w:cs="Times New Roman"/>
          <w:sz w:val="24"/>
          <w:szCs w:val="24"/>
        </w:rPr>
      </w:pPr>
    </w:p>
    <w:p w14:paraId="0B8BD465" w14:textId="77777777" w:rsidR="006F2D4B" w:rsidRDefault="006F2D4B" w:rsidP="00461082">
      <w:pPr>
        <w:jc w:val="center"/>
        <w:rPr>
          <w:rFonts w:ascii="Times New Roman" w:hAnsi="Times New Roman" w:cs="Times New Roman"/>
          <w:sz w:val="24"/>
          <w:szCs w:val="24"/>
        </w:rPr>
      </w:pPr>
    </w:p>
    <w:p w14:paraId="56D669E3" w14:textId="3A59367B" w:rsidR="00884ADB" w:rsidRDefault="00461082"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761F7F" wp14:editId="7AA300C8">
            <wp:extent cx="3904488" cy="7214616"/>
            <wp:effectExtent l="0" t="0" r="1270" b="5715"/>
            <wp:docPr id="16627238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23890" name="图片 16627238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4488" cy="7214616"/>
                    </a:xfrm>
                    <a:prstGeom prst="rect">
                      <a:avLst/>
                    </a:prstGeom>
                  </pic:spPr>
                </pic:pic>
              </a:graphicData>
            </a:graphic>
          </wp:inline>
        </w:drawing>
      </w:r>
    </w:p>
    <w:p w14:paraId="721CFA05" w14:textId="3471B797" w:rsidR="0090083C" w:rsidRDefault="0090083C" w:rsidP="0090083C">
      <w:pPr>
        <w:rPr>
          <w:rFonts w:ascii="Times New Roman" w:hAnsi="Times New Roman" w:cs="Times New Roman"/>
          <w:noProof/>
          <w:sz w:val="24"/>
          <w:szCs w:val="24"/>
        </w:rPr>
      </w:pPr>
      <w:r w:rsidRPr="00D468FF">
        <w:rPr>
          <w:rFonts w:ascii="Times New Roman" w:hAnsi="Times New Roman" w:cs="Times New Roman" w:hint="eastAsia"/>
          <w:b/>
          <w:bCs/>
          <w:sz w:val="24"/>
          <w:szCs w:val="24"/>
        </w:rPr>
        <w:t xml:space="preserve">Supplementary </w:t>
      </w:r>
      <w:r w:rsidRPr="00D468FF">
        <w:rPr>
          <w:rFonts w:ascii="Times New Roman" w:hAnsi="Times New Roman" w:cs="Times New Roman"/>
          <w:b/>
          <w:bCs/>
          <w:sz w:val="24"/>
          <w:szCs w:val="24"/>
        </w:rPr>
        <w:t>Fig</w:t>
      </w:r>
      <w:r w:rsidRPr="00D468FF">
        <w:rPr>
          <w:rFonts w:ascii="Times New Roman" w:hAnsi="Times New Roman" w:cs="Times New Roman" w:hint="eastAsia"/>
          <w:b/>
          <w:bCs/>
          <w:sz w:val="24"/>
          <w:szCs w:val="24"/>
        </w:rPr>
        <w:t>.</w:t>
      </w:r>
      <w:r w:rsidRPr="00D468FF">
        <w:rPr>
          <w:rFonts w:ascii="Times New Roman" w:hAnsi="Times New Roman" w:cs="Times New Roman"/>
          <w:b/>
          <w:bCs/>
          <w:sz w:val="24"/>
          <w:szCs w:val="24"/>
        </w:rPr>
        <w:t xml:space="preserve"> </w:t>
      </w:r>
      <w:r w:rsidR="00F10AD8">
        <w:rPr>
          <w:rFonts w:ascii="Times New Roman" w:hAnsi="Times New Roman" w:cs="Times New Roman"/>
          <w:b/>
          <w:bCs/>
          <w:sz w:val="24"/>
          <w:szCs w:val="24"/>
        </w:rPr>
        <w:t>2</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Gorkha.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74CC6A9F" w14:textId="77777777" w:rsidR="003814BC" w:rsidRDefault="00884ADB"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F2DC17" wp14:editId="797B929B">
            <wp:extent cx="3582537" cy="7397250"/>
            <wp:effectExtent l="0" t="0" r="0" b="0"/>
            <wp:docPr id="16423934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3467" name="图片 16423934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2605" cy="7418039"/>
                    </a:xfrm>
                    <a:prstGeom prst="rect">
                      <a:avLst/>
                    </a:prstGeom>
                  </pic:spPr>
                </pic:pic>
              </a:graphicData>
            </a:graphic>
          </wp:inline>
        </w:drawing>
      </w:r>
    </w:p>
    <w:p w14:paraId="0D4AB088" w14:textId="664DF68A" w:rsidR="0090083C"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3</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Italy.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0E70827D" w14:textId="77777777" w:rsidR="0090083C" w:rsidRDefault="0090083C" w:rsidP="00461082">
      <w:pPr>
        <w:jc w:val="center"/>
        <w:rPr>
          <w:rFonts w:ascii="Times New Roman" w:hAnsi="Times New Roman" w:cs="Times New Roman"/>
          <w:sz w:val="24"/>
          <w:szCs w:val="24"/>
        </w:rPr>
      </w:pPr>
    </w:p>
    <w:p w14:paraId="108E7458" w14:textId="55194E33" w:rsidR="00BD74C6" w:rsidRDefault="003814BC"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01849" wp14:editId="754507B9">
            <wp:extent cx="4067033" cy="7663012"/>
            <wp:effectExtent l="0" t="0" r="0" b="0"/>
            <wp:docPr id="18470363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36369" name="图片 18470363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2806" cy="7673889"/>
                    </a:xfrm>
                    <a:prstGeom prst="rect">
                      <a:avLst/>
                    </a:prstGeom>
                  </pic:spPr>
                </pic:pic>
              </a:graphicData>
            </a:graphic>
          </wp:inline>
        </w:drawing>
      </w:r>
    </w:p>
    <w:p w14:paraId="2FECFB2F" w14:textId="602C65DD" w:rsidR="0090083C"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4</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Kaikoura.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45B5AD96" w14:textId="50752C6E" w:rsidR="00CB1B28" w:rsidRDefault="00CB1B28"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FBBAAB" wp14:editId="6456C2E1">
            <wp:extent cx="3746310" cy="7702400"/>
            <wp:effectExtent l="0" t="0" r="6985" b="0"/>
            <wp:docPr id="5231308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30851" name="图片 5231308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8766" cy="7728010"/>
                    </a:xfrm>
                    <a:prstGeom prst="rect">
                      <a:avLst/>
                    </a:prstGeom>
                  </pic:spPr>
                </pic:pic>
              </a:graphicData>
            </a:graphic>
          </wp:inline>
        </w:drawing>
      </w:r>
    </w:p>
    <w:p w14:paraId="4121EBC7" w14:textId="743FE86E" w:rsidR="00CB1B28"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5</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Halabja.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5EA4992C" w14:textId="084E5BBC" w:rsidR="00CB1B28" w:rsidRDefault="00CB1B28"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B35A0" wp14:editId="1AD479F1">
            <wp:extent cx="3541518" cy="7487701"/>
            <wp:effectExtent l="0" t="0" r="1905" b="0"/>
            <wp:docPr id="8234405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0591" name="图片 8234405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7770" cy="7500919"/>
                    </a:xfrm>
                    <a:prstGeom prst="rect">
                      <a:avLst/>
                    </a:prstGeom>
                  </pic:spPr>
                </pic:pic>
              </a:graphicData>
            </a:graphic>
          </wp:inline>
        </w:drawing>
      </w:r>
    </w:p>
    <w:p w14:paraId="7370FA77" w14:textId="5ECC31DA" w:rsidR="0090083C"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6</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Antelope Valley.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65F7EDF7" w14:textId="77777777" w:rsidR="0090083C" w:rsidRDefault="0090083C" w:rsidP="00461082">
      <w:pPr>
        <w:jc w:val="center"/>
        <w:rPr>
          <w:rFonts w:ascii="Times New Roman" w:hAnsi="Times New Roman" w:cs="Times New Roman"/>
          <w:sz w:val="24"/>
          <w:szCs w:val="24"/>
        </w:rPr>
      </w:pPr>
    </w:p>
    <w:p w14:paraId="2434DB79" w14:textId="6487BF6A" w:rsidR="00CB1B28" w:rsidRDefault="00E4540A"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73ED1" wp14:editId="4E9FA856">
            <wp:extent cx="4012494" cy="7625166"/>
            <wp:effectExtent l="0" t="0" r="1270" b="0"/>
            <wp:docPr id="9226978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97860" name="图片 9226978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6001" cy="7650834"/>
                    </a:xfrm>
                    <a:prstGeom prst="rect">
                      <a:avLst/>
                    </a:prstGeom>
                  </pic:spPr>
                </pic:pic>
              </a:graphicData>
            </a:graphic>
          </wp:inline>
        </w:drawing>
      </w:r>
    </w:p>
    <w:p w14:paraId="1487BF51" w14:textId="7C72B6CE" w:rsidR="00E4540A"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7</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Greece.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2EE0C542" w14:textId="2566A611" w:rsidR="00E4540A" w:rsidRDefault="00E4540A" w:rsidP="0046108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FD92D2" wp14:editId="3367853D">
            <wp:extent cx="4038060" cy="7534838"/>
            <wp:effectExtent l="0" t="0" r="635" b="9525"/>
            <wp:docPr id="12740731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3166" name="图片 12740731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1826" cy="7541865"/>
                    </a:xfrm>
                    <a:prstGeom prst="rect">
                      <a:avLst/>
                    </a:prstGeom>
                  </pic:spPr>
                </pic:pic>
              </a:graphicData>
            </a:graphic>
          </wp:inline>
        </w:drawing>
      </w:r>
    </w:p>
    <w:p w14:paraId="7140D028" w14:textId="2D4ADD06" w:rsidR="0090083C"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8</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 xml:space="preserve">in </w:t>
      </w:r>
      <w:proofErr w:type="spellStart"/>
      <w:r>
        <w:rPr>
          <w:rFonts w:ascii="Times New Roman" w:hAnsi="Times New Roman" w:cs="Times New Roman" w:hint="eastAsia"/>
          <w:sz w:val="24"/>
          <w:szCs w:val="24"/>
        </w:rPr>
        <w:t>Menyuan</w:t>
      </w:r>
      <w:proofErr w:type="spellEnd"/>
      <w:r>
        <w:rPr>
          <w:rFonts w:ascii="Times New Roman" w:hAnsi="Times New Roman" w:cs="Times New Roman" w:hint="eastAsia"/>
          <w:sz w:val="24"/>
          <w:szCs w:val="24"/>
        </w:rPr>
        <w:t>.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3A4E9AD0" w14:textId="4BCEA81A" w:rsidR="00E4540A" w:rsidRDefault="7EEB3CC4" w:rsidP="00461082">
      <w:pPr>
        <w:jc w:val="center"/>
      </w:pPr>
      <w:r>
        <w:rPr>
          <w:noProof/>
        </w:rPr>
        <w:drawing>
          <wp:inline distT="0" distB="0" distL="0" distR="0" wp14:anchorId="200F309B" wp14:editId="42D38E90">
            <wp:extent cx="2409825" cy="5267325"/>
            <wp:effectExtent l="0" t="0" r="0" b="0"/>
            <wp:docPr id="426167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7814" name="Picture 426167814"/>
                    <pic:cNvPicPr/>
                  </pic:nvPicPr>
                  <pic:blipFill>
                    <a:blip r:embed="rId18">
                      <a:extLst>
                        <a:ext uri="{28A0092B-C50C-407E-A947-70E740481C1C}">
                          <a14:useLocalDpi xmlns:a14="http://schemas.microsoft.com/office/drawing/2010/main"/>
                        </a:ext>
                      </a:extLst>
                    </a:blip>
                    <a:stretch>
                      <a:fillRect/>
                    </a:stretch>
                  </pic:blipFill>
                  <pic:spPr>
                    <a:xfrm>
                      <a:off x="0" y="0"/>
                      <a:ext cx="2409825" cy="5267325"/>
                    </a:xfrm>
                    <a:prstGeom prst="rect">
                      <a:avLst/>
                    </a:prstGeom>
                  </pic:spPr>
                </pic:pic>
              </a:graphicData>
            </a:graphic>
          </wp:inline>
        </w:drawing>
      </w:r>
    </w:p>
    <w:p w14:paraId="74195C1C" w14:textId="2D24688A" w:rsidR="0090083C" w:rsidRDefault="0090083C" w:rsidP="0090083C">
      <w:pPr>
        <w:rPr>
          <w:rFonts w:ascii="Times New Roman" w:hAnsi="Times New Roman" w:cs="Times New Roman"/>
          <w:noProof/>
          <w:sz w:val="24"/>
          <w:szCs w:val="24"/>
        </w:rPr>
      </w:pPr>
      <w:r w:rsidRPr="00093D12">
        <w:rPr>
          <w:rFonts w:ascii="Times New Roman" w:hAnsi="Times New Roman" w:cs="Times New Roman" w:hint="eastAsia"/>
          <w:b/>
          <w:bCs/>
          <w:sz w:val="24"/>
          <w:szCs w:val="24"/>
        </w:rPr>
        <w:t xml:space="preserve">Supplementary </w:t>
      </w:r>
      <w:r w:rsidRPr="00093D12">
        <w:rPr>
          <w:rFonts w:ascii="Times New Roman" w:hAnsi="Times New Roman" w:cs="Times New Roman"/>
          <w:b/>
          <w:bCs/>
          <w:sz w:val="24"/>
          <w:szCs w:val="24"/>
        </w:rPr>
        <w:t>Fig</w:t>
      </w:r>
      <w:r w:rsidRPr="00093D12">
        <w:rPr>
          <w:rFonts w:ascii="Times New Roman" w:hAnsi="Times New Roman" w:cs="Times New Roman" w:hint="eastAsia"/>
          <w:b/>
          <w:bCs/>
          <w:sz w:val="24"/>
          <w:szCs w:val="24"/>
        </w:rPr>
        <w:t>.</w:t>
      </w:r>
      <w:r w:rsidRPr="00093D12">
        <w:rPr>
          <w:rFonts w:ascii="Times New Roman" w:hAnsi="Times New Roman" w:cs="Times New Roman"/>
          <w:b/>
          <w:bCs/>
          <w:sz w:val="24"/>
          <w:szCs w:val="24"/>
        </w:rPr>
        <w:t xml:space="preserve"> </w:t>
      </w:r>
      <w:r w:rsidR="00F10AD8">
        <w:rPr>
          <w:rFonts w:ascii="Times New Roman" w:hAnsi="Times New Roman" w:cs="Times New Roman"/>
          <w:b/>
          <w:bCs/>
          <w:sz w:val="24"/>
          <w:szCs w:val="24"/>
        </w:rPr>
        <w:t>9</w:t>
      </w:r>
      <w:r w:rsidRPr="00F41178">
        <w:rPr>
          <w:rFonts w:ascii="Times New Roman" w:hAnsi="Times New Roman" w:cs="Times New Roman"/>
          <w:sz w:val="24"/>
          <w:szCs w:val="24"/>
        </w:rPr>
        <w:t xml:space="preserve"> Coseismic deformation and topographic amplification </w:t>
      </w:r>
      <w:r>
        <w:rPr>
          <w:rFonts w:ascii="Times New Roman" w:hAnsi="Times New Roman" w:cs="Times New Roman" w:hint="eastAsia"/>
          <w:sz w:val="24"/>
          <w:szCs w:val="24"/>
        </w:rPr>
        <w:t>in Noto Peninsula. (</w:t>
      </w:r>
      <w:r w:rsidRPr="0082475C">
        <w:rPr>
          <w:rFonts w:ascii="Times New Roman" w:hAnsi="Times New Roman" w:cs="Times New Roman"/>
          <w:sz w:val="24"/>
          <w:szCs w:val="24"/>
        </w:rPr>
        <w:t>a</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InSAR-derived permanent displacements for the upper and lower parts of SUs across PGA bins. </w:t>
      </w:r>
      <w:r>
        <w:rPr>
          <w:rFonts w:ascii="Times New Roman" w:hAnsi="Times New Roman" w:cs="Times New Roman" w:hint="eastAsia"/>
          <w:sz w:val="24"/>
          <w:szCs w:val="24"/>
        </w:rPr>
        <w:t>(</w:t>
      </w:r>
      <w:r w:rsidRPr="0082475C">
        <w:rPr>
          <w:rFonts w:ascii="Times New Roman" w:hAnsi="Times New Roman" w:cs="Times New Roman"/>
          <w:sz w:val="24"/>
          <w:szCs w:val="24"/>
        </w:rPr>
        <w:t>b</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Distribution of TA values for each PGA bin. </w:t>
      </w:r>
      <w:r>
        <w:rPr>
          <w:rFonts w:ascii="Times New Roman" w:hAnsi="Times New Roman" w:cs="Times New Roman" w:hint="eastAsia"/>
          <w:sz w:val="24"/>
          <w:szCs w:val="24"/>
        </w:rPr>
        <w:t>(</w:t>
      </w:r>
      <w:r w:rsidRPr="0082475C">
        <w:rPr>
          <w:rFonts w:ascii="Times New Roman" w:hAnsi="Times New Roman" w:cs="Times New Roman"/>
          <w:sz w:val="24"/>
          <w:szCs w:val="24"/>
        </w:rPr>
        <w:t>c</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Median TA variations across PGA bins, showing decreasing amplification with increasing shaking intensity. </w:t>
      </w:r>
      <w:r>
        <w:rPr>
          <w:rFonts w:ascii="Times New Roman" w:hAnsi="Times New Roman" w:cs="Times New Roman" w:hint="eastAsia"/>
          <w:sz w:val="24"/>
          <w:szCs w:val="24"/>
        </w:rPr>
        <w:t>(</w:t>
      </w:r>
      <w:r w:rsidRPr="0082475C">
        <w:rPr>
          <w:rFonts w:ascii="Times New Roman" w:hAnsi="Times New Roman" w:cs="Times New Roman"/>
          <w:sz w:val="24"/>
          <w:szCs w:val="24"/>
        </w:rPr>
        <w:t>d</w:t>
      </w:r>
      <w:r>
        <w:rPr>
          <w:rFonts w:ascii="Times New Roman" w:hAnsi="Times New Roman" w:cs="Times New Roman" w:hint="eastAsia"/>
          <w:sz w:val="24"/>
          <w:szCs w:val="24"/>
        </w:rPr>
        <w:t>)</w:t>
      </w:r>
      <w:r w:rsidRPr="0082475C">
        <w:rPr>
          <w:rFonts w:ascii="Times New Roman" w:hAnsi="Times New Roman" w:cs="Times New Roman"/>
          <w:sz w:val="24"/>
          <w:szCs w:val="24"/>
        </w:rPr>
        <w:t xml:space="preserve"> Spatial distribution of TA across the study area.</w:t>
      </w:r>
      <w:r w:rsidRPr="00461082">
        <w:rPr>
          <w:rFonts w:ascii="Times New Roman" w:hAnsi="Times New Roman" w:cs="Times New Roman"/>
          <w:noProof/>
          <w:sz w:val="24"/>
          <w:szCs w:val="24"/>
        </w:rPr>
        <w:t xml:space="preserve"> </w:t>
      </w:r>
    </w:p>
    <w:p w14:paraId="210356BD" w14:textId="77777777" w:rsidR="00FD078C" w:rsidRDefault="00FD078C" w:rsidP="0090083C">
      <w:pPr>
        <w:rPr>
          <w:rFonts w:ascii="Times New Roman" w:hAnsi="Times New Roman" w:cs="Times New Roman"/>
          <w:noProof/>
          <w:sz w:val="24"/>
          <w:szCs w:val="24"/>
        </w:rPr>
      </w:pPr>
    </w:p>
    <w:p w14:paraId="47C707E8" w14:textId="77777777" w:rsidR="0003682A" w:rsidRDefault="0003682A" w:rsidP="00FD078C">
      <w:pPr>
        <w:rPr>
          <w:rFonts w:ascii="Times New Roman" w:hAnsi="Times New Roman" w:cs="Times New Roman"/>
          <w:sz w:val="24"/>
          <w:szCs w:val="24"/>
        </w:rPr>
      </w:pPr>
    </w:p>
    <w:p w14:paraId="140A3BDD" w14:textId="77777777" w:rsidR="0003682A" w:rsidRDefault="0003682A" w:rsidP="00FD078C">
      <w:pPr>
        <w:rPr>
          <w:rFonts w:ascii="Times New Roman" w:hAnsi="Times New Roman" w:cs="Times New Roman"/>
          <w:sz w:val="24"/>
          <w:szCs w:val="24"/>
        </w:rPr>
      </w:pPr>
    </w:p>
    <w:p w14:paraId="0068FD86" w14:textId="77777777" w:rsidR="0003682A" w:rsidRDefault="0003682A" w:rsidP="0003682A">
      <w:pP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68A46294" wp14:editId="0566B145">
            <wp:extent cx="5274310" cy="7257415"/>
            <wp:effectExtent l="0" t="0" r="2540" b="635"/>
            <wp:docPr id="7247442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44211" name="图片 7247442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57415"/>
                    </a:xfrm>
                    <a:prstGeom prst="rect">
                      <a:avLst/>
                    </a:prstGeom>
                  </pic:spPr>
                </pic:pic>
              </a:graphicData>
            </a:graphic>
          </wp:inline>
        </w:drawing>
      </w:r>
    </w:p>
    <w:p w14:paraId="56D29B80" w14:textId="79DA51B8" w:rsidR="0003682A" w:rsidRPr="00CF4C55" w:rsidRDefault="0003682A" w:rsidP="0003682A">
      <w:pPr>
        <w:rPr>
          <w:rFonts w:ascii="Times New Roman" w:hAnsi="Times New Roman" w:cs="Times New Roman"/>
          <w:sz w:val="24"/>
          <w:szCs w:val="28"/>
        </w:rPr>
      </w:pPr>
      <w:r w:rsidRPr="00093D12">
        <w:rPr>
          <w:rFonts w:ascii="Times New Roman" w:hAnsi="Times New Roman" w:cs="Times New Roman" w:hint="eastAsia"/>
          <w:b/>
          <w:bCs/>
          <w:sz w:val="24"/>
          <w:szCs w:val="28"/>
        </w:rPr>
        <w:t>Supplementary Fig</w:t>
      </w:r>
      <w:r>
        <w:rPr>
          <w:rFonts w:ascii="Times New Roman" w:hAnsi="Times New Roman" w:cs="Times New Roman" w:hint="eastAsia"/>
          <w:b/>
          <w:bCs/>
          <w:sz w:val="24"/>
          <w:szCs w:val="28"/>
        </w:rPr>
        <w:t>.</w:t>
      </w:r>
      <w:r>
        <w:rPr>
          <w:rFonts w:ascii="Times New Roman" w:hAnsi="Times New Roman" w:cs="Times New Roman"/>
          <w:b/>
          <w:bCs/>
          <w:sz w:val="24"/>
          <w:szCs w:val="28"/>
        </w:rPr>
        <w:t xml:space="preserve"> </w:t>
      </w:r>
      <w:r w:rsidRPr="00093D12">
        <w:rPr>
          <w:rFonts w:ascii="Times New Roman" w:hAnsi="Times New Roman" w:cs="Times New Roman"/>
          <w:b/>
          <w:bCs/>
          <w:sz w:val="24"/>
          <w:szCs w:val="28"/>
        </w:rPr>
        <w:t>1</w:t>
      </w:r>
      <w:r>
        <w:rPr>
          <w:rFonts w:ascii="Times New Roman" w:hAnsi="Times New Roman" w:cs="Times New Roman"/>
          <w:b/>
          <w:bCs/>
          <w:sz w:val="24"/>
          <w:szCs w:val="28"/>
        </w:rPr>
        <w:t>0</w:t>
      </w:r>
      <w:r>
        <w:rPr>
          <w:rFonts w:ascii="Times New Roman" w:hAnsi="Times New Roman" w:cs="Times New Roman" w:hint="eastAsia"/>
          <w:sz w:val="24"/>
          <w:szCs w:val="28"/>
        </w:rPr>
        <w:t xml:space="preserve"> InSAR-derived coseismic displacement fields during nine earthquakes: (a) 2021 Haiti, (b) 2017 Halabja, (c) 2015 Gorkha, (d) 2016 </w:t>
      </w:r>
      <w:proofErr w:type="spellStart"/>
      <w:r w:rsidRPr="00CF4C55">
        <w:rPr>
          <w:rFonts w:ascii="Times New Roman" w:hAnsi="Times New Roman" w:cs="Times New Roman"/>
          <w:sz w:val="24"/>
          <w:szCs w:val="28"/>
        </w:rPr>
        <w:t>Kaikōura</w:t>
      </w:r>
      <w:proofErr w:type="spellEnd"/>
      <w:r>
        <w:rPr>
          <w:rFonts w:ascii="Times New Roman" w:hAnsi="Times New Roman" w:cs="Times New Roman" w:hint="eastAsia"/>
          <w:sz w:val="24"/>
          <w:szCs w:val="28"/>
        </w:rPr>
        <w:t xml:space="preserve">, (e) 2016 Italy, (f) 2022 </w:t>
      </w:r>
      <w:proofErr w:type="spellStart"/>
      <w:r>
        <w:rPr>
          <w:rFonts w:ascii="Times New Roman" w:hAnsi="Times New Roman" w:cs="Times New Roman" w:hint="eastAsia"/>
          <w:sz w:val="24"/>
          <w:szCs w:val="28"/>
        </w:rPr>
        <w:t>Menyuan</w:t>
      </w:r>
      <w:proofErr w:type="spellEnd"/>
      <w:r>
        <w:rPr>
          <w:rFonts w:ascii="Times New Roman" w:hAnsi="Times New Roman" w:cs="Times New Roman" w:hint="eastAsia"/>
          <w:sz w:val="24"/>
          <w:szCs w:val="28"/>
        </w:rPr>
        <w:t>, (g) 2021 Greece, (h) 2024 Noto Peninsula, (</w:t>
      </w:r>
      <w:proofErr w:type="spellStart"/>
      <w:r>
        <w:rPr>
          <w:rFonts w:ascii="Times New Roman" w:hAnsi="Times New Roman" w:cs="Times New Roman" w:hint="eastAsia"/>
          <w:sz w:val="24"/>
          <w:szCs w:val="28"/>
        </w:rPr>
        <w:t>i</w:t>
      </w:r>
      <w:proofErr w:type="spellEnd"/>
      <w:r>
        <w:rPr>
          <w:rFonts w:ascii="Times New Roman" w:hAnsi="Times New Roman" w:cs="Times New Roman" w:hint="eastAsia"/>
          <w:sz w:val="24"/>
          <w:szCs w:val="28"/>
        </w:rPr>
        <w:t>) 2021 Antelope valley</w:t>
      </w:r>
      <w:r>
        <w:rPr>
          <w:rFonts w:ascii="Times New Roman" w:hAnsi="Times New Roman" w:cs="Times New Roman"/>
          <w:sz w:val="24"/>
          <w:szCs w:val="28"/>
        </w:rPr>
        <w:t>.</w:t>
      </w:r>
    </w:p>
    <w:p w14:paraId="186BF37F" w14:textId="77777777" w:rsidR="0003682A" w:rsidRDefault="0003682A" w:rsidP="00FD078C">
      <w:pPr>
        <w:rPr>
          <w:rFonts w:ascii="Times New Roman" w:hAnsi="Times New Roman" w:cs="Times New Roman"/>
          <w:sz w:val="24"/>
          <w:szCs w:val="24"/>
        </w:rPr>
      </w:pPr>
    </w:p>
    <w:p w14:paraId="1BB7A75D" w14:textId="77777777" w:rsidR="00FD078C" w:rsidRDefault="00FD078C" w:rsidP="0090083C">
      <w:pPr>
        <w:rPr>
          <w:rFonts w:ascii="Times New Roman" w:hAnsi="Times New Roman" w:cs="Times New Roman"/>
          <w:noProof/>
          <w:sz w:val="24"/>
          <w:szCs w:val="24"/>
        </w:rPr>
      </w:pPr>
    </w:p>
    <w:p w14:paraId="5E9D3A88" w14:textId="5055A19F" w:rsidR="00427F5A" w:rsidRPr="00EE7759" w:rsidRDefault="00BB0D79" w:rsidP="003B5275">
      <w:pPr>
        <w:rPr>
          <w:rFonts w:ascii="Times New Roman" w:hAnsi="Times New Roman" w:cs="Times New Roman"/>
          <w:b/>
          <w:bCs/>
          <w:sz w:val="24"/>
          <w:szCs w:val="24"/>
        </w:rPr>
      </w:pPr>
      <w:r w:rsidRPr="00EE7759">
        <w:rPr>
          <w:rFonts w:ascii="Times New Roman" w:hAnsi="Times New Roman" w:cs="Times New Roman"/>
          <w:b/>
          <w:bCs/>
          <w:sz w:val="24"/>
          <w:szCs w:val="24"/>
        </w:rPr>
        <w:t>References</w:t>
      </w:r>
    </w:p>
    <w:p w14:paraId="1AB6F3FD" w14:textId="77777777" w:rsidR="008B4CFA" w:rsidRPr="00EE7759" w:rsidRDefault="00FE750D"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fldChar w:fldCharType="begin"/>
      </w:r>
      <w:r w:rsidR="00EB4A32" w:rsidRPr="00EE7759">
        <w:rPr>
          <w:rFonts w:ascii="Times New Roman" w:hAnsi="Times New Roman" w:cs="Times New Roman"/>
          <w:sz w:val="24"/>
          <w:szCs w:val="24"/>
        </w:rPr>
        <w:instrText xml:space="preserve"> ADDIN ZOTERO_BIBL {"uncited":[],"omitted":[],"custom":[]} CSL_BIBLIOGRAPHY </w:instrText>
      </w:r>
      <w:r w:rsidRPr="00EE7759">
        <w:rPr>
          <w:rFonts w:ascii="Times New Roman" w:hAnsi="Times New Roman" w:cs="Times New Roman"/>
          <w:sz w:val="24"/>
          <w:szCs w:val="24"/>
        </w:rPr>
        <w:fldChar w:fldCharType="separate"/>
      </w:r>
      <w:r w:rsidR="008B4CFA" w:rsidRPr="00EE7759">
        <w:rPr>
          <w:rFonts w:ascii="Times New Roman" w:hAnsi="Times New Roman" w:cs="Times New Roman"/>
          <w:sz w:val="24"/>
          <w:szCs w:val="24"/>
        </w:rPr>
        <w:t>1.</w:t>
      </w:r>
      <w:r w:rsidR="008B4CFA" w:rsidRPr="00EE7759">
        <w:rPr>
          <w:rFonts w:ascii="Times New Roman" w:hAnsi="Times New Roman" w:cs="Times New Roman"/>
          <w:sz w:val="24"/>
          <w:szCs w:val="24"/>
        </w:rPr>
        <w:tab/>
        <w:t xml:space="preserve">Styron, R. &amp; Pagani, M. The GEM Global Active Faults Database. </w:t>
      </w:r>
      <w:r w:rsidR="008B4CFA" w:rsidRPr="00EE7759">
        <w:rPr>
          <w:rFonts w:ascii="Times New Roman" w:hAnsi="Times New Roman" w:cs="Times New Roman"/>
          <w:i/>
          <w:iCs/>
          <w:sz w:val="24"/>
          <w:szCs w:val="24"/>
        </w:rPr>
        <w:t>Earthq. Spectra</w:t>
      </w:r>
      <w:r w:rsidR="008B4CFA" w:rsidRPr="00EE7759">
        <w:rPr>
          <w:rFonts w:ascii="Times New Roman" w:hAnsi="Times New Roman" w:cs="Times New Roman"/>
          <w:sz w:val="24"/>
          <w:szCs w:val="24"/>
        </w:rPr>
        <w:t xml:space="preserve"> 36, 160–180 (2020).</w:t>
      </w:r>
    </w:p>
    <w:p w14:paraId="77BAFD8F"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2.</w:t>
      </w:r>
      <w:r w:rsidRPr="00EE7759">
        <w:rPr>
          <w:rFonts w:ascii="Times New Roman" w:hAnsi="Times New Roman" w:cs="Times New Roman"/>
          <w:sz w:val="24"/>
          <w:szCs w:val="24"/>
        </w:rPr>
        <w:tab/>
        <w:t xml:space="preserve">Koketsu, K.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Widespread ground motion distribution caused by rupture directivity during the 2015 Gorkha, Nepal earthquake. </w:t>
      </w:r>
      <w:r w:rsidRPr="00EE7759">
        <w:rPr>
          <w:rFonts w:ascii="Times New Roman" w:hAnsi="Times New Roman" w:cs="Times New Roman"/>
          <w:i/>
          <w:iCs/>
          <w:sz w:val="24"/>
          <w:szCs w:val="24"/>
        </w:rPr>
        <w:t>Sci. Rep.</w:t>
      </w:r>
      <w:r w:rsidRPr="00EE7759">
        <w:rPr>
          <w:rFonts w:ascii="Times New Roman" w:hAnsi="Times New Roman" w:cs="Times New Roman"/>
          <w:sz w:val="24"/>
          <w:szCs w:val="24"/>
        </w:rPr>
        <w:t xml:space="preserve"> 6, 28536 (2016).</w:t>
      </w:r>
    </w:p>
    <w:p w14:paraId="5B9E502F"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3.</w:t>
      </w:r>
      <w:r w:rsidRPr="00EE7759">
        <w:rPr>
          <w:rFonts w:ascii="Times New Roman" w:hAnsi="Times New Roman" w:cs="Times New Roman"/>
          <w:sz w:val="24"/>
          <w:szCs w:val="24"/>
        </w:rPr>
        <w:tab/>
        <w:t xml:space="preserve">Lindsey, E. O.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Line‐of‐sight displacement from ALOS‐2 interferometry: </w:t>
      </w:r>
      <w:r w:rsidRPr="00EE7759">
        <w:rPr>
          <w:rFonts w:ascii="Times New Roman" w:hAnsi="Times New Roman" w:cs="Times New Roman"/>
          <w:i/>
          <w:iCs/>
          <w:sz w:val="24"/>
          <w:szCs w:val="24"/>
        </w:rPr>
        <w:t xml:space="preserve"> M</w:t>
      </w:r>
      <w:r w:rsidRPr="00EE7759">
        <w:rPr>
          <w:rFonts w:ascii="Times New Roman" w:hAnsi="Times New Roman" w:cs="Times New Roman"/>
          <w:i/>
          <w:iCs/>
          <w:sz w:val="24"/>
          <w:szCs w:val="24"/>
          <w:vertAlign w:val="subscript"/>
        </w:rPr>
        <w:t>w</w:t>
      </w:r>
      <w:r w:rsidRPr="00EE7759">
        <w:rPr>
          <w:rFonts w:ascii="Times New Roman" w:hAnsi="Times New Roman" w:cs="Times New Roman"/>
          <w:i/>
          <w:iCs/>
          <w:sz w:val="24"/>
          <w:szCs w:val="24"/>
        </w:rPr>
        <w:t xml:space="preserve"> </w:t>
      </w:r>
      <w:r w:rsidRPr="00EE7759">
        <w:rPr>
          <w:rFonts w:ascii="Times New Roman" w:hAnsi="Times New Roman" w:cs="Times New Roman"/>
          <w:sz w:val="24"/>
          <w:szCs w:val="24"/>
        </w:rPr>
        <w:t xml:space="preserve"> 7.8 Gorkha Earthquake and </w:t>
      </w:r>
      <w:r w:rsidRPr="00EE7759">
        <w:rPr>
          <w:rFonts w:ascii="Times New Roman" w:hAnsi="Times New Roman" w:cs="Times New Roman"/>
          <w:i/>
          <w:iCs/>
          <w:sz w:val="24"/>
          <w:szCs w:val="24"/>
        </w:rPr>
        <w:t xml:space="preserve"> M</w:t>
      </w:r>
      <w:r w:rsidRPr="00EE7759">
        <w:rPr>
          <w:rFonts w:ascii="Times New Roman" w:hAnsi="Times New Roman" w:cs="Times New Roman"/>
          <w:i/>
          <w:iCs/>
          <w:sz w:val="24"/>
          <w:szCs w:val="24"/>
          <w:vertAlign w:val="subscript"/>
        </w:rPr>
        <w:t>w</w:t>
      </w:r>
      <w:r w:rsidRPr="00EE7759">
        <w:rPr>
          <w:rFonts w:ascii="Times New Roman" w:hAnsi="Times New Roman" w:cs="Times New Roman"/>
          <w:i/>
          <w:iCs/>
          <w:sz w:val="24"/>
          <w:szCs w:val="24"/>
        </w:rPr>
        <w:t xml:space="preserve"> </w:t>
      </w:r>
      <w:r w:rsidRPr="00EE7759">
        <w:rPr>
          <w:rFonts w:ascii="Times New Roman" w:hAnsi="Times New Roman" w:cs="Times New Roman"/>
          <w:sz w:val="24"/>
          <w:szCs w:val="24"/>
        </w:rPr>
        <w:t xml:space="preserve"> 7.3 aftershock. </w:t>
      </w:r>
      <w:r w:rsidRPr="00EE7759">
        <w:rPr>
          <w:rFonts w:ascii="Times New Roman" w:hAnsi="Times New Roman" w:cs="Times New Roman"/>
          <w:i/>
          <w:iCs/>
          <w:sz w:val="24"/>
          <w:szCs w:val="24"/>
        </w:rPr>
        <w:t>Geophys. Res. Lett.</w:t>
      </w:r>
      <w:r w:rsidRPr="00EE7759">
        <w:rPr>
          <w:rFonts w:ascii="Times New Roman" w:hAnsi="Times New Roman" w:cs="Times New Roman"/>
          <w:sz w:val="24"/>
          <w:szCs w:val="24"/>
        </w:rPr>
        <w:t xml:space="preserve"> 42, 6655–6661 (2015).</w:t>
      </w:r>
    </w:p>
    <w:p w14:paraId="6376F104" w14:textId="77777777" w:rsidR="008B4CFA" w:rsidRPr="00EE7759" w:rsidRDefault="008B4CFA" w:rsidP="008B4CFA">
      <w:pPr>
        <w:pStyle w:val="Bibliography"/>
        <w:rPr>
          <w:rFonts w:ascii="Times New Roman" w:hAnsi="Times New Roman" w:cs="Times New Roman"/>
          <w:sz w:val="24"/>
          <w:szCs w:val="24"/>
          <w:lang w:val="nl-NL"/>
        </w:rPr>
      </w:pPr>
      <w:r w:rsidRPr="00EE7759">
        <w:rPr>
          <w:rFonts w:ascii="Times New Roman" w:hAnsi="Times New Roman" w:cs="Times New Roman"/>
          <w:sz w:val="24"/>
          <w:szCs w:val="24"/>
        </w:rPr>
        <w:t>4.</w:t>
      </w:r>
      <w:r w:rsidRPr="00EE7759">
        <w:rPr>
          <w:rFonts w:ascii="Times New Roman" w:hAnsi="Times New Roman" w:cs="Times New Roman"/>
          <w:sz w:val="24"/>
          <w:szCs w:val="24"/>
        </w:rPr>
        <w:tab/>
        <w:t xml:space="preserve">Lavecchia, G.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Host Faults Database of central Italy. </w:t>
      </w:r>
      <w:r w:rsidRPr="00EE7759">
        <w:rPr>
          <w:rFonts w:ascii="Times New Roman" w:hAnsi="Times New Roman" w:cs="Times New Roman"/>
          <w:sz w:val="24"/>
          <w:szCs w:val="24"/>
          <w:lang w:val="nl-NL"/>
        </w:rPr>
        <w:t>Zenodo https://doi.org/10.5281/ZENODO.5603003 (2021).</w:t>
      </w:r>
    </w:p>
    <w:p w14:paraId="65090D67"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5.</w:t>
      </w:r>
      <w:r w:rsidRPr="00EE7759">
        <w:rPr>
          <w:rFonts w:ascii="Times New Roman" w:hAnsi="Times New Roman" w:cs="Times New Roman"/>
          <w:sz w:val="24"/>
          <w:szCs w:val="24"/>
        </w:rPr>
        <w:tab/>
        <w:t xml:space="preserve">Pucci, S.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Coseismic ruptures of the 24 August 2016, </w:t>
      </w:r>
      <w:r w:rsidRPr="00EE7759">
        <w:rPr>
          <w:rFonts w:ascii="Times New Roman" w:hAnsi="Times New Roman" w:cs="Times New Roman"/>
          <w:i/>
          <w:iCs/>
          <w:sz w:val="24"/>
          <w:szCs w:val="24"/>
        </w:rPr>
        <w:t xml:space="preserve"> M</w:t>
      </w:r>
      <w:r w:rsidRPr="00EE7759">
        <w:rPr>
          <w:rFonts w:ascii="Times New Roman" w:hAnsi="Times New Roman" w:cs="Times New Roman"/>
          <w:i/>
          <w:iCs/>
          <w:sz w:val="24"/>
          <w:szCs w:val="24"/>
          <w:vertAlign w:val="subscript"/>
        </w:rPr>
        <w:t>w</w:t>
      </w:r>
      <w:r w:rsidRPr="00EE7759">
        <w:rPr>
          <w:rFonts w:ascii="Times New Roman" w:hAnsi="Times New Roman" w:cs="Times New Roman"/>
          <w:i/>
          <w:iCs/>
          <w:sz w:val="24"/>
          <w:szCs w:val="24"/>
        </w:rPr>
        <w:t xml:space="preserve"> </w:t>
      </w:r>
      <w:r w:rsidRPr="00EE7759">
        <w:rPr>
          <w:rFonts w:ascii="Times New Roman" w:hAnsi="Times New Roman" w:cs="Times New Roman"/>
          <w:sz w:val="24"/>
          <w:szCs w:val="24"/>
        </w:rPr>
        <w:t xml:space="preserve"> 6.0 Amatrice earthquake (central Italy). </w:t>
      </w:r>
      <w:r w:rsidRPr="00EE7759">
        <w:rPr>
          <w:rFonts w:ascii="Times New Roman" w:hAnsi="Times New Roman" w:cs="Times New Roman"/>
          <w:i/>
          <w:iCs/>
          <w:sz w:val="24"/>
          <w:szCs w:val="24"/>
        </w:rPr>
        <w:t>Geophys. Res. Lett.</w:t>
      </w:r>
      <w:r w:rsidRPr="00EE7759">
        <w:rPr>
          <w:rFonts w:ascii="Times New Roman" w:hAnsi="Times New Roman" w:cs="Times New Roman"/>
          <w:sz w:val="24"/>
          <w:szCs w:val="24"/>
        </w:rPr>
        <w:t xml:space="preserve"> 44, 2138–2147 (2017).</w:t>
      </w:r>
    </w:p>
    <w:p w14:paraId="2754184A"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6.</w:t>
      </w:r>
      <w:r w:rsidRPr="00EE7759">
        <w:rPr>
          <w:rFonts w:ascii="Times New Roman" w:hAnsi="Times New Roman" w:cs="Times New Roman"/>
          <w:sz w:val="24"/>
          <w:szCs w:val="24"/>
        </w:rPr>
        <w:tab/>
        <w:t xml:space="preserve">Langridge, R.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The New Zealand Active Faults Database. </w:t>
      </w:r>
      <w:r w:rsidRPr="00EE7759">
        <w:rPr>
          <w:rFonts w:ascii="Times New Roman" w:hAnsi="Times New Roman" w:cs="Times New Roman"/>
          <w:i/>
          <w:iCs/>
          <w:sz w:val="24"/>
          <w:szCs w:val="24"/>
        </w:rPr>
        <w:t>N. Z. J. Geol. Geophys.</w:t>
      </w:r>
      <w:r w:rsidRPr="00EE7759">
        <w:rPr>
          <w:rFonts w:ascii="Times New Roman" w:hAnsi="Times New Roman" w:cs="Times New Roman"/>
          <w:sz w:val="24"/>
          <w:szCs w:val="24"/>
        </w:rPr>
        <w:t xml:space="preserve"> 59, 86–96 (2016).</w:t>
      </w:r>
    </w:p>
    <w:p w14:paraId="603489A0"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7.</w:t>
      </w:r>
      <w:r w:rsidRPr="00EE7759">
        <w:rPr>
          <w:rFonts w:ascii="Times New Roman" w:hAnsi="Times New Roman" w:cs="Times New Roman"/>
          <w:sz w:val="24"/>
          <w:szCs w:val="24"/>
        </w:rPr>
        <w:tab/>
        <w:t xml:space="preserve">Du, H.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Source complexity of the 2016 </w:t>
      </w:r>
      <w:r w:rsidRPr="00EE7759">
        <w:rPr>
          <w:rFonts w:ascii="Times New Roman" w:hAnsi="Times New Roman" w:cs="Times New Roman"/>
          <w:i/>
          <w:iCs/>
          <w:sz w:val="24"/>
          <w:szCs w:val="24"/>
        </w:rPr>
        <w:t>M</w:t>
      </w:r>
      <w:r w:rsidRPr="00EE7759">
        <w:rPr>
          <w:rFonts w:ascii="Times New Roman" w:hAnsi="Times New Roman" w:cs="Times New Roman"/>
          <w:sz w:val="24"/>
          <w:szCs w:val="24"/>
          <w:vertAlign w:val="subscript"/>
        </w:rPr>
        <w:t>W</w:t>
      </w:r>
      <w:r w:rsidRPr="00EE7759">
        <w:rPr>
          <w:rFonts w:ascii="Times New Roman" w:hAnsi="Times New Roman" w:cs="Times New Roman"/>
          <w:sz w:val="24"/>
          <w:szCs w:val="24"/>
        </w:rPr>
        <w:t xml:space="preserve">7.8 Kaikoura (New Zealand) earthquake revealed from teleseismic and InSAR data. </w:t>
      </w:r>
      <w:r w:rsidRPr="00EE7759">
        <w:rPr>
          <w:rFonts w:ascii="Times New Roman" w:hAnsi="Times New Roman" w:cs="Times New Roman"/>
          <w:i/>
          <w:iCs/>
          <w:sz w:val="24"/>
          <w:szCs w:val="24"/>
        </w:rPr>
        <w:t>Earth Planet. Phys.</w:t>
      </w:r>
      <w:r w:rsidRPr="00EE7759">
        <w:rPr>
          <w:rFonts w:ascii="Times New Roman" w:hAnsi="Times New Roman" w:cs="Times New Roman"/>
          <w:sz w:val="24"/>
          <w:szCs w:val="24"/>
        </w:rPr>
        <w:t xml:space="preserve"> 2, 1–17 (2018).</w:t>
      </w:r>
    </w:p>
    <w:p w14:paraId="5A90A88C"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8.</w:t>
      </w:r>
      <w:r w:rsidRPr="00EE7759">
        <w:rPr>
          <w:rFonts w:ascii="Times New Roman" w:hAnsi="Times New Roman" w:cs="Times New Roman"/>
          <w:sz w:val="24"/>
          <w:szCs w:val="24"/>
        </w:rPr>
        <w:tab/>
        <w:t xml:space="preserve">Babaie Mahani, A. &amp; Kazemian, J. Strong ground motion from the November 12, 2017, M 7.3 Kermanshah earthquake in western Iran. </w:t>
      </w:r>
      <w:r w:rsidRPr="00EE7759">
        <w:rPr>
          <w:rFonts w:ascii="Times New Roman" w:hAnsi="Times New Roman" w:cs="Times New Roman"/>
          <w:i/>
          <w:iCs/>
          <w:sz w:val="24"/>
          <w:szCs w:val="24"/>
        </w:rPr>
        <w:t>J. Seismol.</w:t>
      </w:r>
      <w:r w:rsidRPr="00EE7759">
        <w:rPr>
          <w:rFonts w:ascii="Times New Roman" w:hAnsi="Times New Roman" w:cs="Times New Roman"/>
          <w:sz w:val="24"/>
          <w:szCs w:val="24"/>
        </w:rPr>
        <w:t xml:space="preserve"> 22, 1339–1358 (2018).</w:t>
      </w:r>
    </w:p>
    <w:p w14:paraId="7A9EF280"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9.</w:t>
      </w:r>
      <w:r w:rsidRPr="00EE7759">
        <w:rPr>
          <w:rFonts w:ascii="Times New Roman" w:hAnsi="Times New Roman" w:cs="Times New Roman"/>
          <w:sz w:val="24"/>
          <w:szCs w:val="24"/>
        </w:rPr>
        <w:tab/>
        <w:t xml:space="preserve">Pollitz, F. F., Wicks, C. W. &amp; Hammond, W. C. Kinematic Slip Model of the 2021 M 6.0 Antelope Valley, California, Earthquake. </w:t>
      </w:r>
      <w:r w:rsidRPr="00EE7759">
        <w:rPr>
          <w:rFonts w:ascii="Times New Roman" w:hAnsi="Times New Roman" w:cs="Times New Roman"/>
          <w:i/>
          <w:iCs/>
          <w:sz w:val="24"/>
          <w:szCs w:val="24"/>
        </w:rPr>
        <w:t>Seism. Rec.</w:t>
      </w:r>
      <w:r w:rsidRPr="00EE7759">
        <w:rPr>
          <w:rFonts w:ascii="Times New Roman" w:hAnsi="Times New Roman" w:cs="Times New Roman"/>
          <w:sz w:val="24"/>
          <w:szCs w:val="24"/>
        </w:rPr>
        <w:t xml:space="preserve"> 2, 20–28 (2022).</w:t>
      </w:r>
    </w:p>
    <w:p w14:paraId="3ECA0B11"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10.</w:t>
      </w:r>
      <w:r w:rsidRPr="00EE7759">
        <w:rPr>
          <w:rFonts w:ascii="Times New Roman" w:hAnsi="Times New Roman" w:cs="Times New Roman"/>
          <w:sz w:val="24"/>
          <w:szCs w:val="24"/>
        </w:rPr>
        <w:tab/>
        <w:t xml:space="preserve">Wang, K., Dreger, D. S., Burgmann, R. &amp; Taira, T. Finite-Source Model of the 8 July 2021 M 6.0 Antelope Valley, California, Earthquake. </w:t>
      </w:r>
      <w:r w:rsidRPr="00EE7759">
        <w:rPr>
          <w:rFonts w:ascii="Times New Roman" w:hAnsi="Times New Roman" w:cs="Times New Roman"/>
          <w:i/>
          <w:iCs/>
          <w:sz w:val="24"/>
          <w:szCs w:val="24"/>
        </w:rPr>
        <w:t>Seismol. Res. Lett.</w:t>
      </w:r>
      <w:r w:rsidRPr="00EE7759">
        <w:rPr>
          <w:rFonts w:ascii="Times New Roman" w:hAnsi="Times New Roman" w:cs="Times New Roman"/>
          <w:sz w:val="24"/>
          <w:szCs w:val="24"/>
        </w:rPr>
        <w:t xml:space="preserve"> (2023) doi:10.1785/0220220262.</w:t>
      </w:r>
    </w:p>
    <w:p w14:paraId="68175AAC"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11.</w:t>
      </w:r>
      <w:r w:rsidRPr="00EE7759">
        <w:rPr>
          <w:rFonts w:ascii="Times New Roman" w:hAnsi="Times New Roman" w:cs="Times New Roman"/>
          <w:sz w:val="24"/>
          <w:szCs w:val="24"/>
        </w:rPr>
        <w:tab/>
        <w:t xml:space="preserve">Koukouvelas, I. K., Caputo, R., Nikolakopoulos, K. G., Kyriou, A. &amp; Famiglietti, N. A. Is the Mesochori Fault a Key Structure for Understanding the Earthquake Activity during the 2021 Damasi Earthquakes in Northern Thessaly, Greece? </w:t>
      </w:r>
      <w:r w:rsidRPr="00EE7759">
        <w:rPr>
          <w:rFonts w:ascii="Times New Roman" w:hAnsi="Times New Roman" w:cs="Times New Roman"/>
          <w:i/>
          <w:iCs/>
          <w:sz w:val="24"/>
          <w:szCs w:val="24"/>
        </w:rPr>
        <w:t>Geosciences</w:t>
      </w:r>
      <w:r w:rsidRPr="00EE7759">
        <w:rPr>
          <w:rFonts w:ascii="Times New Roman" w:hAnsi="Times New Roman" w:cs="Times New Roman"/>
          <w:sz w:val="24"/>
          <w:szCs w:val="24"/>
        </w:rPr>
        <w:t xml:space="preserve"> 13, 331 (2023).</w:t>
      </w:r>
    </w:p>
    <w:p w14:paraId="62FE6DF8"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12.</w:t>
      </w:r>
      <w:r w:rsidRPr="00EE7759">
        <w:rPr>
          <w:rFonts w:ascii="Times New Roman" w:hAnsi="Times New Roman" w:cs="Times New Roman"/>
          <w:sz w:val="24"/>
          <w:szCs w:val="24"/>
        </w:rPr>
        <w:tab/>
        <w:t xml:space="preserve">Tolomei, C.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The Use of Interferometric Synthetic Aperture Radar for Isolating the Contribution of Major Shocks: The Case of the March 2021 Thessaly, Greece, Seismic Sequence. </w:t>
      </w:r>
      <w:r w:rsidRPr="00EE7759">
        <w:rPr>
          <w:rFonts w:ascii="Times New Roman" w:hAnsi="Times New Roman" w:cs="Times New Roman"/>
          <w:i/>
          <w:iCs/>
          <w:sz w:val="24"/>
          <w:szCs w:val="24"/>
        </w:rPr>
        <w:t>Geosciences</w:t>
      </w:r>
      <w:r w:rsidRPr="00EE7759">
        <w:rPr>
          <w:rFonts w:ascii="Times New Roman" w:hAnsi="Times New Roman" w:cs="Times New Roman"/>
          <w:sz w:val="24"/>
          <w:szCs w:val="24"/>
        </w:rPr>
        <w:t xml:space="preserve"> 11, 191 (2021).</w:t>
      </w:r>
    </w:p>
    <w:p w14:paraId="55CDBC1A"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13.</w:t>
      </w:r>
      <w:r w:rsidRPr="00EE7759">
        <w:rPr>
          <w:rFonts w:ascii="Times New Roman" w:hAnsi="Times New Roman" w:cs="Times New Roman"/>
          <w:sz w:val="24"/>
          <w:szCs w:val="24"/>
        </w:rPr>
        <w:tab/>
        <w:t xml:space="preserve">Li, K., Tapponnier, P., Xu, X. &amp; Kang, W. The 2022, Ms 6.9 Menyuan earthquake: Surface rupture, Paleozoic suture re-activation, slip-rate and seismic gap along the Haiyuan fault system, NE Tibet. </w:t>
      </w:r>
      <w:r w:rsidRPr="00EE7759">
        <w:rPr>
          <w:rFonts w:ascii="Times New Roman" w:hAnsi="Times New Roman" w:cs="Times New Roman"/>
          <w:i/>
          <w:iCs/>
          <w:sz w:val="24"/>
          <w:szCs w:val="24"/>
        </w:rPr>
        <w:t>Earth Planet. Sci. Lett.</w:t>
      </w:r>
      <w:r w:rsidRPr="00EE7759">
        <w:rPr>
          <w:rFonts w:ascii="Times New Roman" w:hAnsi="Times New Roman" w:cs="Times New Roman"/>
          <w:sz w:val="24"/>
          <w:szCs w:val="24"/>
        </w:rPr>
        <w:t xml:space="preserve"> 622, 118412 (2023).</w:t>
      </w:r>
    </w:p>
    <w:p w14:paraId="50B618B2"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14.</w:t>
      </w:r>
      <w:r w:rsidRPr="00EE7759">
        <w:rPr>
          <w:rFonts w:ascii="Times New Roman" w:hAnsi="Times New Roman" w:cs="Times New Roman"/>
          <w:sz w:val="24"/>
          <w:szCs w:val="24"/>
        </w:rPr>
        <w:tab/>
        <w:t xml:space="preserve">Wu, X.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The China Active Faults Database (CAFD) and its web system. </w:t>
      </w:r>
      <w:r w:rsidRPr="00EE7759">
        <w:rPr>
          <w:rFonts w:ascii="Times New Roman" w:hAnsi="Times New Roman" w:cs="Times New Roman"/>
          <w:i/>
          <w:iCs/>
          <w:sz w:val="24"/>
          <w:szCs w:val="24"/>
        </w:rPr>
        <w:t>Earth Syst. Sci. Data</w:t>
      </w:r>
      <w:r w:rsidRPr="00EE7759">
        <w:rPr>
          <w:rFonts w:ascii="Times New Roman" w:hAnsi="Times New Roman" w:cs="Times New Roman"/>
          <w:sz w:val="24"/>
          <w:szCs w:val="24"/>
        </w:rPr>
        <w:t xml:space="preserve"> 16, 3391–3417 (2024).</w:t>
      </w:r>
    </w:p>
    <w:p w14:paraId="74DE4A0A"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15.</w:t>
      </w:r>
      <w:r w:rsidRPr="00EE7759">
        <w:rPr>
          <w:rFonts w:ascii="Times New Roman" w:hAnsi="Times New Roman" w:cs="Times New Roman"/>
          <w:sz w:val="24"/>
          <w:szCs w:val="24"/>
        </w:rPr>
        <w:tab/>
        <w:t xml:space="preserve">Xie, J.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Quantification of rupture directivity effects on strong ground motion during the 8 January 2022 MS6.9 Menyuan earthquake in Qinghai, China. </w:t>
      </w:r>
      <w:r w:rsidRPr="00EE7759">
        <w:rPr>
          <w:rFonts w:ascii="Times New Roman" w:hAnsi="Times New Roman" w:cs="Times New Roman"/>
          <w:i/>
          <w:iCs/>
          <w:sz w:val="24"/>
          <w:szCs w:val="24"/>
        </w:rPr>
        <w:t>Front. Earth Sci.</w:t>
      </w:r>
      <w:r w:rsidRPr="00EE7759">
        <w:rPr>
          <w:rFonts w:ascii="Times New Roman" w:hAnsi="Times New Roman" w:cs="Times New Roman"/>
          <w:sz w:val="24"/>
          <w:szCs w:val="24"/>
        </w:rPr>
        <w:t xml:space="preserve"> 10, 1068536 (2023).</w:t>
      </w:r>
    </w:p>
    <w:p w14:paraId="0ECB589F"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16.</w:t>
      </w:r>
      <w:r w:rsidRPr="00EE7759">
        <w:rPr>
          <w:rFonts w:ascii="Times New Roman" w:hAnsi="Times New Roman" w:cs="Times New Roman"/>
          <w:sz w:val="24"/>
          <w:szCs w:val="24"/>
        </w:rPr>
        <w:tab/>
        <w:t xml:space="preserve">Liu, J.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Three-Dimensional Surface Displacements of the 8 January 2022 Mw6.7 Menyuan Earthquake, China from Sentinel-1 and ALOS-2 SAR Observations. </w:t>
      </w:r>
      <w:r w:rsidRPr="00EE7759">
        <w:rPr>
          <w:rFonts w:ascii="Times New Roman" w:hAnsi="Times New Roman" w:cs="Times New Roman"/>
          <w:i/>
          <w:iCs/>
          <w:sz w:val="24"/>
          <w:szCs w:val="24"/>
        </w:rPr>
        <w:t>Remote Sens.</w:t>
      </w:r>
      <w:r w:rsidRPr="00EE7759">
        <w:rPr>
          <w:rFonts w:ascii="Times New Roman" w:hAnsi="Times New Roman" w:cs="Times New Roman"/>
          <w:sz w:val="24"/>
          <w:szCs w:val="24"/>
        </w:rPr>
        <w:t xml:space="preserve"> 14, 1404 (2022).</w:t>
      </w:r>
    </w:p>
    <w:p w14:paraId="2A139053"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17.</w:t>
      </w:r>
      <w:r w:rsidRPr="00EE7759">
        <w:rPr>
          <w:rFonts w:ascii="Times New Roman" w:hAnsi="Times New Roman" w:cs="Times New Roman"/>
          <w:sz w:val="24"/>
          <w:szCs w:val="24"/>
        </w:rPr>
        <w:tab/>
        <w:t>Inoue T. &amp; Okamura Y. Explanatory notes of 1:200,000 marine geological map around the northern part of Noto Peninsula. S-1, (2010).</w:t>
      </w:r>
    </w:p>
    <w:p w14:paraId="4B947B58" w14:textId="77777777" w:rsidR="008B4CFA" w:rsidRPr="00EE7759" w:rsidRDefault="008B4CFA" w:rsidP="008B4CFA">
      <w:pPr>
        <w:pStyle w:val="Bibliography"/>
        <w:rPr>
          <w:rFonts w:ascii="Times New Roman" w:hAnsi="Times New Roman" w:cs="Times New Roman"/>
          <w:sz w:val="24"/>
          <w:szCs w:val="24"/>
        </w:rPr>
      </w:pPr>
      <w:r w:rsidRPr="00EE7759">
        <w:rPr>
          <w:rFonts w:ascii="Times New Roman" w:hAnsi="Times New Roman" w:cs="Times New Roman"/>
          <w:sz w:val="24"/>
          <w:szCs w:val="24"/>
        </w:rPr>
        <w:t>18.</w:t>
      </w:r>
      <w:r w:rsidRPr="00EE7759">
        <w:rPr>
          <w:rFonts w:ascii="Times New Roman" w:hAnsi="Times New Roman" w:cs="Times New Roman"/>
          <w:sz w:val="24"/>
          <w:szCs w:val="24"/>
        </w:rPr>
        <w:tab/>
        <w:t xml:space="preserve">Ma, Z. </w:t>
      </w:r>
      <w:r w:rsidRPr="00EE7759">
        <w:rPr>
          <w:rFonts w:ascii="Times New Roman" w:hAnsi="Times New Roman" w:cs="Times New Roman"/>
          <w:i/>
          <w:iCs/>
          <w:sz w:val="24"/>
          <w:szCs w:val="24"/>
        </w:rPr>
        <w:t>et al.</w:t>
      </w:r>
      <w:r w:rsidRPr="00EE7759">
        <w:rPr>
          <w:rFonts w:ascii="Times New Roman" w:hAnsi="Times New Roman" w:cs="Times New Roman"/>
          <w:sz w:val="24"/>
          <w:szCs w:val="24"/>
        </w:rPr>
        <w:t xml:space="preserve"> Slow rupture in a fluid-rich fault zone initiated the 2024 </w:t>
      </w:r>
      <w:r w:rsidRPr="00EE7759">
        <w:rPr>
          <w:rFonts w:ascii="Times New Roman" w:hAnsi="Times New Roman" w:cs="Times New Roman"/>
          <w:i/>
          <w:iCs/>
          <w:sz w:val="24"/>
          <w:szCs w:val="24"/>
        </w:rPr>
        <w:t>M</w:t>
      </w:r>
      <w:r w:rsidRPr="00EE7759">
        <w:rPr>
          <w:rFonts w:ascii="Times New Roman" w:hAnsi="Times New Roman" w:cs="Times New Roman"/>
          <w:sz w:val="24"/>
          <w:szCs w:val="24"/>
          <w:vertAlign w:val="subscript"/>
        </w:rPr>
        <w:t>w</w:t>
      </w:r>
      <w:r w:rsidRPr="00EE7759">
        <w:rPr>
          <w:rFonts w:ascii="Times New Roman" w:hAnsi="Times New Roman" w:cs="Times New Roman"/>
          <w:sz w:val="24"/>
          <w:szCs w:val="24"/>
        </w:rPr>
        <w:t xml:space="preserve"> 7.5 Noto earthquake. </w:t>
      </w:r>
      <w:r w:rsidRPr="00EE7759">
        <w:rPr>
          <w:rFonts w:ascii="Times New Roman" w:hAnsi="Times New Roman" w:cs="Times New Roman"/>
          <w:i/>
          <w:iCs/>
          <w:sz w:val="24"/>
          <w:szCs w:val="24"/>
        </w:rPr>
        <w:t>Science</w:t>
      </w:r>
      <w:r w:rsidRPr="00EE7759">
        <w:rPr>
          <w:rFonts w:ascii="Times New Roman" w:hAnsi="Times New Roman" w:cs="Times New Roman"/>
          <w:sz w:val="24"/>
          <w:szCs w:val="24"/>
        </w:rPr>
        <w:t xml:space="preserve"> 385, 866–871 (2024).</w:t>
      </w:r>
    </w:p>
    <w:p w14:paraId="51E15744" w14:textId="7F285E01" w:rsidR="00BB0D79" w:rsidRPr="00BB0D79" w:rsidRDefault="00FE750D" w:rsidP="003B5275">
      <w:pPr>
        <w:rPr>
          <w:rFonts w:ascii="Times New Roman" w:hAnsi="Times New Roman" w:cs="Times New Roman"/>
        </w:rPr>
      </w:pPr>
      <w:r w:rsidRPr="00EE7759">
        <w:rPr>
          <w:rFonts w:ascii="Times New Roman" w:hAnsi="Times New Roman" w:cs="Times New Roman"/>
          <w:sz w:val="24"/>
          <w:szCs w:val="24"/>
        </w:rPr>
        <w:fldChar w:fldCharType="end"/>
      </w:r>
    </w:p>
    <w:sectPr w:rsidR="00BB0D79" w:rsidRPr="00BB0D79" w:rsidSect="003B52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0035B" w14:textId="77777777" w:rsidR="004B20EE" w:rsidRDefault="004B20EE" w:rsidP="00BD74C6">
      <w:r>
        <w:separator/>
      </w:r>
    </w:p>
  </w:endnote>
  <w:endnote w:type="continuationSeparator" w:id="0">
    <w:p w14:paraId="56C3A3CF" w14:textId="77777777" w:rsidR="004B20EE" w:rsidRDefault="004B20EE" w:rsidP="00BD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Microsoft YaHei"/>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2CC44" w14:textId="77777777" w:rsidR="004B20EE" w:rsidRDefault="004B20EE" w:rsidP="00BD74C6">
      <w:r>
        <w:separator/>
      </w:r>
    </w:p>
  </w:footnote>
  <w:footnote w:type="continuationSeparator" w:id="0">
    <w:p w14:paraId="60B30F87" w14:textId="77777777" w:rsidR="004B20EE" w:rsidRDefault="004B20EE" w:rsidP="00BD7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8774E"/>
    <w:multiLevelType w:val="hybridMultilevel"/>
    <w:tmpl w:val="EF02C5BE"/>
    <w:lvl w:ilvl="0" w:tplc="9DE25C5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85619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FD3"/>
    <w:rsid w:val="000038AA"/>
    <w:rsid w:val="00004265"/>
    <w:rsid w:val="00032B04"/>
    <w:rsid w:val="00033462"/>
    <w:rsid w:val="0003682A"/>
    <w:rsid w:val="000404C8"/>
    <w:rsid w:val="00091613"/>
    <w:rsid w:val="00093D12"/>
    <w:rsid w:val="00094A11"/>
    <w:rsid w:val="000A14B5"/>
    <w:rsid w:val="000B24C7"/>
    <w:rsid w:val="000C2C14"/>
    <w:rsid w:val="000D122A"/>
    <w:rsid w:val="000D2DD3"/>
    <w:rsid w:val="000D7C02"/>
    <w:rsid w:val="000F5D07"/>
    <w:rsid w:val="000F6EEB"/>
    <w:rsid w:val="001065DD"/>
    <w:rsid w:val="00111C47"/>
    <w:rsid w:val="00112ECC"/>
    <w:rsid w:val="00127735"/>
    <w:rsid w:val="00157C1E"/>
    <w:rsid w:val="0018146D"/>
    <w:rsid w:val="00183743"/>
    <w:rsid w:val="001A7B2D"/>
    <w:rsid w:val="001B36C7"/>
    <w:rsid w:val="001C1BB2"/>
    <w:rsid w:val="001C213F"/>
    <w:rsid w:val="001C4AFC"/>
    <w:rsid w:val="001E72E6"/>
    <w:rsid w:val="002038FB"/>
    <w:rsid w:val="00204E0C"/>
    <w:rsid w:val="0021070E"/>
    <w:rsid w:val="00214846"/>
    <w:rsid w:val="002506F5"/>
    <w:rsid w:val="00251000"/>
    <w:rsid w:val="002530A9"/>
    <w:rsid w:val="002628D9"/>
    <w:rsid w:val="0026439D"/>
    <w:rsid w:val="0028402A"/>
    <w:rsid w:val="00284F0D"/>
    <w:rsid w:val="00297206"/>
    <w:rsid w:val="002A2C79"/>
    <w:rsid w:val="002C3803"/>
    <w:rsid w:val="002C4495"/>
    <w:rsid w:val="002D5084"/>
    <w:rsid w:val="002D66C7"/>
    <w:rsid w:val="002F41DB"/>
    <w:rsid w:val="00316C11"/>
    <w:rsid w:val="00321083"/>
    <w:rsid w:val="00326BA2"/>
    <w:rsid w:val="00350213"/>
    <w:rsid w:val="0036183C"/>
    <w:rsid w:val="00380441"/>
    <w:rsid w:val="003814BC"/>
    <w:rsid w:val="003929D9"/>
    <w:rsid w:val="0039329A"/>
    <w:rsid w:val="00396E20"/>
    <w:rsid w:val="003A1CF7"/>
    <w:rsid w:val="003A2B93"/>
    <w:rsid w:val="003A2D32"/>
    <w:rsid w:val="003A4F88"/>
    <w:rsid w:val="003B5275"/>
    <w:rsid w:val="003D1A75"/>
    <w:rsid w:val="003E4451"/>
    <w:rsid w:val="003E713C"/>
    <w:rsid w:val="003F2FDB"/>
    <w:rsid w:val="004004FD"/>
    <w:rsid w:val="00402510"/>
    <w:rsid w:val="00402CBA"/>
    <w:rsid w:val="004143A3"/>
    <w:rsid w:val="00421709"/>
    <w:rsid w:val="004244F7"/>
    <w:rsid w:val="00427F5A"/>
    <w:rsid w:val="0045780C"/>
    <w:rsid w:val="00461082"/>
    <w:rsid w:val="00465A7A"/>
    <w:rsid w:val="00481F7B"/>
    <w:rsid w:val="00493A8A"/>
    <w:rsid w:val="00497D30"/>
    <w:rsid w:val="004A2030"/>
    <w:rsid w:val="004B115B"/>
    <w:rsid w:val="004B20EE"/>
    <w:rsid w:val="004B4BAB"/>
    <w:rsid w:val="004E3717"/>
    <w:rsid w:val="004F0AE9"/>
    <w:rsid w:val="004F2AC6"/>
    <w:rsid w:val="00507D6F"/>
    <w:rsid w:val="005251EA"/>
    <w:rsid w:val="005346BE"/>
    <w:rsid w:val="005760CE"/>
    <w:rsid w:val="0058048E"/>
    <w:rsid w:val="00581BBB"/>
    <w:rsid w:val="0059047F"/>
    <w:rsid w:val="005A0928"/>
    <w:rsid w:val="005A421F"/>
    <w:rsid w:val="005B2803"/>
    <w:rsid w:val="005B4984"/>
    <w:rsid w:val="005D16AB"/>
    <w:rsid w:val="005E5C03"/>
    <w:rsid w:val="005F6595"/>
    <w:rsid w:val="006013B2"/>
    <w:rsid w:val="0060333B"/>
    <w:rsid w:val="0061156B"/>
    <w:rsid w:val="00613A84"/>
    <w:rsid w:val="006224C6"/>
    <w:rsid w:val="00631CC1"/>
    <w:rsid w:val="00637264"/>
    <w:rsid w:val="00644CDB"/>
    <w:rsid w:val="00655FD3"/>
    <w:rsid w:val="006579C0"/>
    <w:rsid w:val="00665E6E"/>
    <w:rsid w:val="006A74D1"/>
    <w:rsid w:val="006C268B"/>
    <w:rsid w:val="006E0A58"/>
    <w:rsid w:val="006E1D70"/>
    <w:rsid w:val="006E6BF1"/>
    <w:rsid w:val="006F2D4B"/>
    <w:rsid w:val="00703D37"/>
    <w:rsid w:val="0071117D"/>
    <w:rsid w:val="0071128D"/>
    <w:rsid w:val="00716EDF"/>
    <w:rsid w:val="00720454"/>
    <w:rsid w:val="007315C2"/>
    <w:rsid w:val="0073485E"/>
    <w:rsid w:val="00737CC8"/>
    <w:rsid w:val="00746B3A"/>
    <w:rsid w:val="007574A3"/>
    <w:rsid w:val="00765588"/>
    <w:rsid w:val="007708E0"/>
    <w:rsid w:val="007738F5"/>
    <w:rsid w:val="00777823"/>
    <w:rsid w:val="007875D8"/>
    <w:rsid w:val="00787E7B"/>
    <w:rsid w:val="007907D0"/>
    <w:rsid w:val="00796235"/>
    <w:rsid w:val="007A2FB4"/>
    <w:rsid w:val="007A7B73"/>
    <w:rsid w:val="007B4684"/>
    <w:rsid w:val="007D2B9A"/>
    <w:rsid w:val="007F2DF9"/>
    <w:rsid w:val="008134B5"/>
    <w:rsid w:val="0082475C"/>
    <w:rsid w:val="00837804"/>
    <w:rsid w:val="008435D4"/>
    <w:rsid w:val="008465C6"/>
    <w:rsid w:val="008465D2"/>
    <w:rsid w:val="008508C8"/>
    <w:rsid w:val="00875C84"/>
    <w:rsid w:val="00884ADB"/>
    <w:rsid w:val="00885B46"/>
    <w:rsid w:val="008B2A1D"/>
    <w:rsid w:val="008B4CFA"/>
    <w:rsid w:val="008C0826"/>
    <w:rsid w:val="008C5CFF"/>
    <w:rsid w:val="008D0EE6"/>
    <w:rsid w:val="008D7335"/>
    <w:rsid w:val="008E3961"/>
    <w:rsid w:val="008F27D3"/>
    <w:rsid w:val="008F3F09"/>
    <w:rsid w:val="008F5CC2"/>
    <w:rsid w:val="0090083C"/>
    <w:rsid w:val="009264EE"/>
    <w:rsid w:val="00940C32"/>
    <w:rsid w:val="00944DB4"/>
    <w:rsid w:val="0095084D"/>
    <w:rsid w:val="00954D7C"/>
    <w:rsid w:val="00960ED1"/>
    <w:rsid w:val="00971501"/>
    <w:rsid w:val="00973BE1"/>
    <w:rsid w:val="009830A4"/>
    <w:rsid w:val="00986307"/>
    <w:rsid w:val="00990304"/>
    <w:rsid w:val="00993146"/>
    <w:rsid w:val="00997C4B"/>
    <w:rsid w:val="009A2344"/>
    <w:rsid w:val="009C10E0"/>
    <w:rsid w:val="009C190D"/>
    <w:rsid w:val="009C7643"/>
    <w:rsid w:val="009E7EB8"/>
    <w:rsid w:val="009F0D78"/>
    <w:rsid w:val="009F45D3"/>
    <w:rsid w:val="00A01404"/>
    <w:rsid w:val="00A01F9E"/>
    <w:rsid w:val="00A028AC"/>
    <w:rsid w:val="00A33562"/>
    <w:rsid w:val="00A41C90"/>
    <w:rsid w:val="00A53927"/>
    <w:rsid w:val="00A6300F"/>
    <w:rsid w:val="00A721A9"/>
    <w:rsid w:val="00A81971"/>
    <w:rsid w:val="00A84F10"/>
    <w:rsid w:val="00A85ED3"/>
    <w:rsid w:val="00A91BF3"/>
    <w:rsid w:val="00A940E3"/>
    <w:rsid w:val="00AB739B"/>
    <w:rsid w:val="00AC6ED2"/>
    <w:rsid w:val="00AC700F"/>
    <w:rsid w:val="00AC76A3"/>
    <w:rsid w:val="00AF16BD"/>
    <w:rsid w:val="00B06794"/>
    <w:rsid w:val="00B100E2"/>
    <w:rsid w:val="00B60857"/>
    <w:rsid w:val="00B677A4"/>
    <w:rsid w:val="00B708BF"/>
    <w:rsid w:val="00B73A7A"/>
    <w:rsid w:val="00B73CAB"/>
    <w:rsid w:val="00B97257"/>
    <w:rsid w:val="00B97E1A"/>
    <w:rsid w:val="00BB0D79"/>
    <w:rsid w:val="00BB608C"/>
    <w:rsid w:val="00BC4983"/>
    <w:rsid w:val="00BC549C"/>
    <w:rsid w:val="00BD37C3"/>
    <w:rsid w:val="00BD7251"/>
    <w:rsid w:val="00BD74C6"/>
    <w:rsid w:val="00BE290F"/>
    <w:rsid w:val="00BF3A1A"/>
    <w:rsid w:val="00C00585"/>
    <w:rsid w:val="00C017AE"/>
    <w:rsid w:val="00C0332B"/>
    <w:rsid w:val="00C10273"/>
    <w:rsid w:val="00C227CF"/>
    <w:rsid w:val="00C36883"/>
    <w:rsid w:val="00C833C9"/>
    <w:rsid w:val="00C8340C"/>
    <w:rsid w:val="00C83FB6"/>
    <w:rsid w:val="00C87374"/>
    <w:rsid w:val="00CA67AD"/>
    <w:rsid w:val="00CB1B28"/>
    <w:rsid w:val="00CB406F"/>
    <w:rsid w:val="00CB79C7"/>
    <w:rsid w:val="00CD4BA8"/>
    <w:rsid w:val="00CD75E7"/>
    <w:rsid w:val="00CF4C55"/>
    <w:rsid w:val="00CF52EA"/>
    <w:rsid w:val="00CF5735"/>
    <w:rsid w:val="00CF627F"/>
    <w:rsid w:val="00CF649B"/>
    <w:rsid w:val="00CF6BB6"/>
    <w:rsid w:val="00CF7ADB"/>
    <w:rsid w:val="00D03F6E"/>
    <w:rsid w:val="00D04EEE"/>
    <w:rsid w:val="00D11CA4"/>
    <w:rsid w:val="00D1609E"/>
    <w:rsid w:val="00D217E1"/>
    <w:rsid w:val="00D22F2D"/>
    <w:rsid w:val="00D31635"/>
    <w:rsid w:val="00D321BD"/>
    <w:rsid w:val="00D37D46"/>
    <w:rsid w:val="00D37FAD"/>
    <w:rsid w:val="00D468FF"/>
    <w:rsid w:val="00D46E82"/>
    <w:rsid w:val="00D51E74"/>
    <w:rsid w:val="00D55346"/>
    <w:rsid w:val="00D568DF"/>
    <w:rsid w:val="00D56B93"/>
    <w:rsid w:val="00D629F7"/>
    <w:rsid w:val="00D62B53"/>
    <w:rsid w:val="00D63202"/>
    <w:rsid w:val="00D67DBB"/>
    <w:rsid w:val="00D76886"/>
    <w:rsid w:val="00D82D4A"/>
    <w:rsid w:val="00DA674E"/>
    <w:rsid w:val="00DC0D35"/>
    <w:rsid w:val="00DC5628"/>
    <w:rsid w:val="00DD0C3C"/>
    <w:rsid w:val="00DF6FAA"/>
    <w:rsid w:val="00E1114B"/>
    <w:rsid w:val="00E11817"/>
    <w:rsid w:val="00E11CE9"/>
    <w:rsid w:val="00E34403"/>
    <w:rsid w:val="00E34D3D"/>
    <w:rsid w:val="00E4519D"/>
    <w:rsid w:val="00E4540A"/>
    <w:rsid w:val="00E47F9C"/>
    <w:rsid w:val="00E533C3"/>
    <w:rsid w:val="00E56E7E"/>
    <w:rsid w:val="00E56EF5"/>
    <w:rsid w:val="00E60132"/>
    <w:rsid w:val="00E67619"/>
    <w:rsid w:val="00E72D9C"/>
    <w:rsid w:val="00E752F7"/>
    <w:rsid w:val="00E81642"/>
    <w:rsid w:val="00E9272F"/>
    <w:rsid w:val="00E96E15"/>
    <w:rsid w:val="00EA14C5"/>
    <w:rsid w:val="00EB2C1C"/>
    <w:rsid w:val="00EB4A32"/>
    <w:rsid w:val="00EB580A"/>
    <w:rsid w:val="00EB5B38"/>
    <w:rsid w:val="00EC02B3"/>
    <w:rsid w:val="00EC43B7"/>
    <w:rsid w:val="00EE7759"/>
    <w:rsid w:val="00EF0CCA"/>
    <w:rsid w:val="00EF301D"/>
    <w:rsid w:val="00F0272D"/>
    <w:rsid w:val="00F05019"/>
    <w:rsid w:val="00F0704A"/>
    <w:rsid w:val="00F10AD8"/>
    <w:rsid w:val="00F15F88"/>
    <w:rsid w:val="00F35A79"/>
    <w:rsid w:val="00F41178"/>
    <w:rsid w:val="00F54BD6"/>
    <w:rsid w:val="00F619B0"/>
    <w:rsid w:val="00F7257F"/>
    <w:rsid w:val="00F80830"/>
    <w:rsid w:val="00F83727"/>
    <w:rsid w:val="00F93D48"/>
    <w:rsid w:val="00F953A9"/>
    <w:rsid w:val="00F9637D"/>
    <w:rsid w:val="00FA45C8"/>
    <w:rsid w:val="00FA6D6B"/>
    <w:rsid w:val="00FB747C"/>
    <w:rsid w:val="00FC0F17"/>
    <w:rsid w:val="00FC1976"/>
    <w:rsid w:val="00FC4C0A"/>
    <w:rsid w:val="00FD078C"/>
    <w:rsid w:val="00FE5C91"/>
    <w:rsid w:val="00FE750D"/>
    <w:rsid w:val="00FF322C"/>
    <w:rsid w:val="051A9DA7"/>
    <w:rsid w:val="056BA03C"/>
    <w:rsid w:val="06199361"/>
    <w:rsid w:val="1206D66A"/>
    <w:rsid w:val="16BCDFBB"/>
    <w:rsid w:val="17F7E319"/>
    <w:rsid w:val="1C09AB07"/>
    <w:rsid w:val="224C953E"/>
    <w:rsid w:val="25DEC53B"/>
    <w:rsid w:val="2A6F82B6"/>
    <w:rsid w:val="2DE78A99"/>
    <w:rsid w:val="33C591A8"/>
    <w:rsid w:val="370BF461"/>
    <w:rsid w:val="373F1626"/>
    <w:rsid w:val="3990E6FE"/>
    <w:rsid w:val="3BB439ED"/>
    <w:rsid w:val="3DED467E"/>
    <w:rsid w:val="57419803"/>
    <w:rsid w:val="5F035416"/>
    <w:rsid w:val="75383A6D"/>
    <w:rsid w:val="7EEB3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ADB8E"/>
  <w15:chartTrackingRefBased/>
  <w15:docId w15:val="{C6BB8476-EEB3-468A-843A-7F6A921B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655FD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655FD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655FD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655FD3"/>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655FD3"/>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655FD3"/>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655FD3"/>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655FD3"/>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655FD3"/>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FD3"/>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655FD3"/>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655FD3"/>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655FD3"/>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655FD3"/>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655FD3"/>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655FD3"/>
    <w:rPr>
      <w:rFonts w:cstheme="majorBidi"/>
      <w:b/>
      <w:bCs/>
      <w:color w:val="595959" w:themeColor="text1" w:themeTint="A6"/>
    </w:rPr>
  </w:style>
  <w:style w:type="character" w:customStyle="1" w:styleId="Heading8Char">
    <w:name w:val="Heading 8 Char"/>
    <w:basedOn w:val="DefaultParagraphFont"/>
    <w:link w:val="Heading8"/>
    <w:uiPriority w:val="9"/>
    <w:semiHidden/>
    <w:rsid w:val="00655FD3"/>
    <w:rPr>
      <w:rFonts w:cstheme="majorBidi"/>
      <w:color w:val="595959" w:themeColor="text1" w:themeTint="A6"/>
    </w:rPr>
  </w:style>
  <w:style w:type="character" w:customStyle="1" w:styleId="Heading9Char">
    <w:name w:val="Heading 9 Char"/>
    <w:basedOn w:val="DefaultParagraphFont"/>
    <w:link w:val="Heading9"/>
    <w:uiPriority w:val="9"/>
    <w:semiHidden/>
    <w:rsid w:val="00655FD3"/>
    <w:rPr>
      <w:rFonts w:eastAsiaTheme="majorEastAsia" w:cstheme="majorBidi"/>
      <w:color w:val="595959" w:themeColor="text1" w:themeTint="A6"/>
    </w:rPr>
  </w:style>
  <w:style w:type="paragraph" w:styleId="Title">
    <w:name w:val="Title"/>
    <w:basedOn w:val="Normal"/>
    <w:next w:val="Normal"/>
    <w:link w:val="TitleChar"/>
    <w:uiPriority w:val="10"/>
    <w:qFormat/>
    <w:rsid w:val="00655FD3"/>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F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5FD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5FD3"/>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655F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5FD3"/>
    <w:rPr>
      <w:i/>
      <w:iCs/>
      <w:color w:val="404040" w:themeColor="text1" w:themeTint="BF"/>
    </w:rPr>
  </w:style>
  <w:style w:type="paragraph" w:styleId="ListParagraph">
    <w:name w:val="List Paragraph"/>
    <w:basedOn w:val="Normal"/>
    <w:uiPriority w:val="34"/>
    <w:qFormat/>
    <w:rsid w:val="00655FD3"/>
    <w:pPr>
      <w:ind w:left="720"/>
      <w:contextualSpacing/>
    </w:pPr>
  </w:style>
  <w:style w:type="character" w:styleId="IntenseEmphasis">
    <w:name w:val="Intense Emphasis"/>
    <w:basedOn w:val="DefaultParagraphFont"/>
    <w:uiPriority w:val="21"/>
    <w:qFormat/>
    <w:rsid w:val="00655FD3"/>
    <w:rPr>
      <w:i/>
      <w:iCs/>
      <w:color w:val="0F4761" w:themeColor="accent1" w:themeShade="BF"/>
    </w:rPr>
  </w:style>
  <w:style w:type="paragraph" w:styleId="IntenseQuote">
    <w:name w:val="Intense Quote"/>
    <w:basedOn w:val="Normal"/>
    <w:next w:val="Normal"/>
    <w:link w:val="IntenseQuoteChar"/>
    <w:uiPriority w:val="30"/>
    <w:qFormat/>
    <w:rsid w:val="00655F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5FD3"/>
    <w:rPr>
      <w:i/>
      <w:iCs/>
      <w:color w:val="0F4761" w:themeColor="accent1" w:themeShade="BF"/>
    </w:rPr>
  </w:style>
  <w:style w:type="character" w:styleId="IntenseReference">
    <w:name w:val="Intense Reference"/>
    <w:basedOn w:val="DefaultParagraphFont"/>
    <w:uiPriority w:val="32"/>
    <w:qFormat/>
    <w:rsid w:val="00655FD3"/>
    <w:rPr>
      <w:b/>
      <w:bCs/>
      <w:smallCaps/>
      <w:color w:val="0F4761" w:themeColor="accent1" w:themeShade="BF"/>
      <w:spacing w:val="5"/>
    </w:rPr>
  </w:style>
  <w:style w:type="paragraph" w:styleId="Header">
    <w:name w:val="header"/>
    <w:basedOn w:val="Normal"/>
    <w:link w:val="HeaderChar"/>
    <w:uiPriority w:val="99"/>
    <w:unhideWhenUsed/>
    <w:rsid w:val="00BD74C6"/>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74C6"/>
    <w:rPr>
      <w:sz w:val="18"/>
      <w:szCs w:val="18"/>
    </w:rPr>
  </w:style>
  <w:style w:type="paragraph" w:styleId="Footer">
    <w:name w:val="footer"/>
    <w:basedOn w:val="Normal"/>
    <w:link w:val="FooterChar"/>
    <w:uiPriority w:val="99"/>
    <w:unhideWhenUsed/>
    <w:rsid w:val="00BD74C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D74C6"/>
    <w:rPr>
      <w:sz w:val="18"/>
      <w:szCs w:val="18"/>
    </w:rPr>
  </w:style>
  <w:style w:type="table" w:styleId="TableGrid">
    <w:name w:val="Table Grid"/>
    <w:basedOn w:val="TableNormal"/>
    <w:uiPriority w:val="39"/>
    <w:rsid w:val="00BD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5275"/>
    <w:rPr>
      <w:color w:val="467886" w:themeColor="hyperlink"/>
      <w:u w:val="single"/>
    </w:rPr>
  </w:style>
  <w:style w:type="character" w:styleId="UnresolvedMention">
    <w:name w:val="Unresolved Mention"/>
    <w:basedOn w:val="DefaultParagraphFont"/>
    <w:uiPriority w:val="99"/>
    <w:semiHidden/>
    <w:unhideWhenUsed/>
    <w:rsid w:val="003B5275"/>
    <w:rPr>
      <w:color w:val="605E5C"/>
      <w:shd w:val="clear" w:color="auto" w:fill="E1DFDD"/>
    </w:rPr>
  </w:style>
  <w:style w:type="paragraph" w:styleId="Bibliography">
    <w:name w:val="Bibliography"/>
    <w:basedOn w:val="Normal"/>
    <w:next w:val="Normal"/>
    <w:uiPriority w:val="37"/>
    <w:unhideWhenUsed/>
    <w:rsid w:val="00AB739B"/>
  </w:style>
  <w:style w:type="character" w:styleId="CommentReference">
    <w:name w:val="annotation reference"/>
    <w:basedOn w:val="DefaultParagraphFont"/>
    <w:uiPriority w:val="99"/>
    <w:semiHidden/>
    <w:unhideWhenUsed/>
    <w:rsid w:val="00F619B0"/>
    <w:rPr>
      <w:sz w:val="16"/>
      <w:szCs w:val="16"/>
    </w:rPr>
  </w:style>
  <w:style w:type="paragraph" w:styleId="CommentText">
    <w:name w:val="annotation text"/>
    <w:basedOn w:val="Normal"/>
    <w:link w:val="CommentTextChar"/>
    <w:uiPriority w:val="99"/>
    <w:semiHidden/>
    <w:unhideWhenUsed/>
    <w:rsid w:val="00F619B0"/>
    <w:rPr>
      <w:sz w:val="20"/>
      <w:szCs w:val="20"/>
    </w:rPr>
  </w:style>
  <w:style w:type="character" w:customStyle="1" w:styleId="CommentTextChar">
    <w:name w:val="Comment Text Char"/>
    <w:basedOn w:val="DefaultParagraphFont"/>
    <w:link w:val="CommentText"/>
    <w:uiPriority w:val="99"/>
    <w:semiHidden/>
    <w:rsid w:val="00F619B0"/>
    <w:rPr>
      <w:sz w:val="20"/>
      <w:szCs w:val="20"/>
    </w:rPr>
  </w:style>
  <w:style w:type="paragraph" w:styleId="CommentSubject">
    <w:name w:val="annotation subject"/>
    <w:basedOn w:val="CommentText"/>
    <w:next w:val="CommentText"/>
    <w:link w:val="CommentSubjectChar"/>
    <w:uiPriority w:val="99"/>
    <w:semiHidden/>
    <w:unhideWhenUsed/>
    <w:rsid w:val="00F619B0"/>
    <w:rPr>
      <w:b/>
      <w:bCs/>
    </w:rPr>
  </w:style>
  <w:style w:type="character" w:customStyle="1" w:styleId="CommentSubjectChar">
    <w:name w:val="Comment Subject Char"/>
    <w:basedOn w:val="CommentTextChar"/>
    <w:link w:val="CommentSubject"/>
    <w:uiPriority w:val="99"/>
    <w:semiHidden/>
    <w:rsid w:val="00F619B0"/>
    <w:rPr>
      <w:b/>
      <w:bCs/>
      <w:sz w:val="20"/>
      <w:szCs w:val="20"/>
    </w:rPr>
  </w:style>
  <w:style w:type="character" w:styleId="Mention">
    <w:name w:val="Mention"/>
    <w:basedOn w:val="DefaultParagraphFont"/>
    <w:uiPriority w:val="99"/>
    <w:unhideWhenUsed/>
    <w:rsid w:val="00F619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7cf145-38ed-4cad-84dd-1105011d2c20">
      <Terms xmlns="http://schemas.microsoft.com/office/infopath/2007/PartnerControls"/>
    </lcf76f155ced4ddcb4097134ff3c332f>
    <TaxCatchAll xmlns="4c508b22-6075-4561-a91e-58f605cf31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BC631B47BD0B4D95E030C0F428485A" ma:contentTypeVersion="10" ma:contentTypeDescription="Een nieuw document maken." ma:contentTypeScope="" ma:versionID="304c97c32ed93ff63e4aa42b450529da">
  <xsd:schema xmlns:xsd="http://www.w3.org/2001/XMLSchema" xmlns:xs="http://www.w3.org/2001/XMLSchema" xmlns:p="http://schemas.microsoft.com/office/2006/metadata/properties" xmlns:ns2="6b7cf145-38ed-4cad-84dd-1105011d2c20" xmlns:ns3="4c508b22-6075-4561-a91e-58f605cf310b" targetNamespace="http://schemas.microsoft.com/office/2006/metadata/properties" ma:root="true" ma:fieldsID="3726de477948423719d114bda0b8b1f7" ns2:_="" ns3:_="">
    <xsd:import namespace="6b7cf145-38ed-4cad-84dd-1105011d2c20"/>
    <xsd:import namespace="4c508b22-6075-4561-a91e-58f605cf31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cf145-38ed-4cad-84dd-1105011d2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508b22-6075-4561-a91e-58f605cf31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a3943c-fe55-496d-b578-e59923db74da}" ma:internalName="TaxCatchAll" ma:showField="CatchAllData" ma:web="4c508b22-6075-4561-a91e-58f605cf31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BC243-CB66-4E78-97DC-53DD3215BC6A}">
  <ds:schemaRefs>
    <ds:schemaRef ds:uri="http://schemas.microsoft.com/office/2006/metadata/properties"/>
    <ds:schemaRef ds:uri="http://schemas.microsoft.com/office/infopath/2007/PartnerControls"/>
    <ds:schemaRef ds:uri="6b7cf145-38ed-4cad-84dd-1105011d2c20"/>
    <ds:schemaRef ds:uri="4c508b22-6075-4561-a91e-58f605cf310b"/>
  </ds:schemaRefs>
</ds:datastoreItem>
</file>

<file path=customXml/itemProps2.xml><?xml version="1.0" encoding="utf-8"?>
<ds:datastoreItem xmlns:ds="http://schemas.openxmlformats.org/officeDocument/2006/customXml" ds:itemID="{0F6D904C-64AE-48E1-88D4-CC1A2660647A}"/>
</file>

<file path=customXml/itemProps3.xml><?xml version="1.0" encoding="utf-8"?>
<ds:datastoreItem xmlns:ds="http://schemas.openxmlformats.org/officeDocument/2006/customXml" ds:itemID="{8DFD16B1-D722-47B3-9C21-EA229C4888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7610</Words>
  <Characters>43378</Characters>
  <Application>Microsoft Office Word</Application>
  <DocSecurity>4</DocSecurity>
  <Lines>361</Lines>
  <Paragraphs>101</Paragraphs>
  <ScaleCrop>false</ScaleCrop>
  <Company/>
  <LinksUpToDate>false</LinksUpToDate>
  <CharactersWithSpaces>50887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Yu</dc:creator>
  <cp:keywords/>
  <dc:description/>
  <cp:lastModifiedBy>345525873</cp:lastModifiedBy>
  <cp:revision>240</cp:revision>
  <dcterms:created xsi:type="dcterms:W3CDTF">2025-05-21T11:13:00Z</dcterms:created>
  <dcterms:modified xsi:type="dcterms:W3CDTF">2026-04-23T14:08:00Z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0x01010095BC631B47BD0B4D95E030C0F428485A</vt:lpwstr>
  </property>
  <property fmtid="{D5CDD505-2E9C-101B-9397-08002B2CF9AE}" pid="3" name="MediaServiceImageTags">
    <vt:lpwstr/>
  </property>
  <property fmtid="{D5CDD505-2E9C-101B-9397-08002B2CF9AE}" pid="4" name="ZOTERO_PREF_1">
    <vt:lpwstr>&lt;data data-version="3" zotero-version="7.0.24"&gt;&lt;session id="PY6RHYqi"/&gt;&lt;style id="http://www.zotero.org/styles/nature" hasBibliography="1" bibliographyStyleHasBeenSet="1"/&gt;&lt;prefs&gt;&lt;pref name="fieldType" value="Field"/&gt;&lt;pref name="automaticJournalAbbreviati</vt:lpwstr>
  </property>
  <property fmtid="{D5CDD505-2E9C-101B-9397-08002B2CF9AE}" pid="5" name="ZOTERO_PREF_2">
    <vt:lpwstr>ons" value="true"/&gt;&lt;/prefs&gt;&lt;/data&gt;</vt:lpwstr>
  </property>
</Properties>
</file>