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D4FB" w14:textId="3847B80D" w:rsidR="009C6149" w:rsidRDefault="009C6149" w:rsidP="00DB4BE3">
      <w:pPr>
        <w:rPr>
          <w:rFonts w:asciiTheme="minorBidi" w:hAnsiTheme="minorBidi"/>
          <w:sz w:val="22"/>
          <w:szCs w:val="22"/>
        </w:rPr>
      </w:pPr>
      <w:r>
        <w:rPr>
          <w:noProof/>
        </w:rPr>
        <w:drawing>
          <wp:inline distT="0" distB="0" distL="0" distR="0" wp14:anchorId="2D2615EF" wp14:editId="783BB0A4">
            <wp:extent cx="5943600" cy="1929765"/>
            <wp:effectExtent l="0" t="0" r="0" b="0"/>
            <wp:docPr id="182507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9765"/>
                    </a:xfrm>
                    <a:prstGeom prst="rect">
                      <a:avLst/>
                    </a:prstGeom>
                    <a:noFill/>
                    <a:ln>
                      <a:noFill/>
                    </a:ln>
                  </pic:spPr>
                </pic:pic>
              </a:graphicData>
            </a:graphic>
          </wp:inline>
        </w:drawing>
      </w:r>
    </w:p>
    <w:p w14:paraId="0D65FB39" w14:textId="7A158F56" w:rsidR="009C6149" w:rsidRDefault="009C6149" w:rsidP="009C6149">
      <w:pPr>
        <w:rPr>
          <w:rFonts w:asciiTheme="minorBidi" w:hAnsiTheme="minorBidi"/>
          <w:sz w:val="20"/>
          <w:szCs w:val="20"/>
        </w:rPr>
      </w:pPr>
      <w:r w:rsidRPr="00DD6066">
        <w:rPr>
          <w:rFonts w:asciiTheme="minorBidi" w:hAnsiTheme="minorBidi"/>
          <w:b/>
          <w:bCs/>
          <w:sz w:val="20"/>
          <w:szCs w:val="20"/>
        </w:rPr>
        <w:t xml:space="preserve">Supplementary Figure </w:t>
      </w:r>
      <w:r>
        <w:rPr>
          <w:rFonts w:asciiTheme="minorBidi" w:hAnsiTheme="minorBidi"/>
          <w:b/>
          <w:bCs/>
          <w:sz w:val="20"/>
          <w:szCs w:val="20"/>
        </w:rPr>
        <w:t>1</w:t>
      </w:r>
      <w:r w:rsidR="00A86A5D">
        <w:rPr>
          <w:rFonts w:asciiTheme="minorBidi" w:hAnsiTheme="minorBidi"/>
          <w:b/>
          <w:bCs/>
          <w:sz w:val="20"/>
          <w:szCs w:val="20"/>
        </w:rPr>
        <w:t xml:space="preserve"> |</w:t>
      </w:r>
      <w:r w:rsidRPr="00DD6066">
        <w:rPr>
          <w:rFonts w:asciiTheme="minorBidi" w:hAnsiTheme="minorBidi"/>
          <w:b/>
          <w:bCs/>
          <w:sz w:val="20"/>
          <w:szCs w:val="20"/>
        </w:rPr>
        <w:t xml:space="preserve"> SEM images of the GLNs/Ni powder</w:t>
      </w:r>
      <w:r w:rsidR="00A86A5D">
        <w:rPr>
          <w:rFonts w:asciiTheme="minorBidi" w:hAnsiTheme="minorBidi"/>
          <w:b/>
          <w:bCs/>
          <w:sz w:val="20"/>
          <w:szCs w:val="20"/>
        </w:rPr>
        <w:t xml:space="preserve">. </w:t>
      </w:r>
      <w:r w:rsidRPr="00DD6066">
        <w:rPr>
          <w:rFonts w:asciiTheme="minorBidi" w:hAnsiTheme="minorBidi"/>
          <w:b/>
          <w:bCs/>
          <w:sz w:val="20"/>
          <w:szCs w:val="20"/>
        </w:rPr>
        <w:t xml:space="preserve">a </w:t>
      </w:r>
      <w:r w:rsidRPr="00DD6066">
        <w:rPr>
          <w:rFonts w:asciiTheme="minorBidi" w:hAnsiTheme="minorBidi"/>
          <w:sz w:val="20"/>
          <w:szCs w:val="20"/>
        </w:rPr>
        <w:t xml:space="preserve">RTA at 800°C. </w:t>
      </w:r>
      <w:r w:rsidRPr="00DD6066">
        <w:rPr>
          <w:rFonts w:asciiTheme="minorBidi" w:hAnsiTheme="minorBidi"/>
          <w:b/>
          <w:bCs/>
          <w:sz w:val="20"/>
          <w:szCs w:val="20"/>
        </w:rPr>
        <w:t xml:space="preserve">b </w:t>
      </w:r>
      <w:r w:rsidRPr="00DD6066">
        <w:rPr>
          <w:rFonts w:asciiTheme="minorBidi" w:hAnsiTheme="minorBidi"/>
          <w:sz w:val="20"/>
          <w:szCs w:val="20"/>
        </w:rPr>
        <w:t xml:space="preserve">RTA at 900°C. </w:t>
      </w:r>
      <w:r w:rsidRPr="00DD6066">
        <w:rPr>
          <w:rFonts w:asciiTheme="minorBidi" w:hAnsiTheme="minorBidi"/>
          <w:b/>
          <w:bCs/>
          <w:sz w:val="20"/>
          <w:szCs w:val="20"/>
        </w:rPr>
        <w:t xml:space="preserve">c </w:t>
      </w:r>
      <w:r w:rsidRPr="00DD6066">
        <w:rPr>
          <w:rFonts w:asciiTheme="minorBidi" w:hAnsiTheme="minorBidi"/>
          <w:sz w:val="20"/>
          <w:szCs w:val="20"/>
        </w:rPr>
        <w:t>RTA at 1100°C. With increasing temperature, the Ni powders exhibited a clear tendency to sinter together gradually losing their individual powder morphology, particularly at temperatures above 800 °C</w:t>
      </w:r>
      <w:r w:rsidR="00A86A5D">
        <w:rPr>
          <w:rFonts w:asciiTheme="minorBidi" w:hAnsiTheme="minorBidi"/>
          <w:sz w:val="20"/>
          <w:szCs w:val="20"/>
        </w:rPr>
        <w:t>.</w:t>
      </w:r>
    </w:p>
    <w:p w14:paraId="6B140520" w14:textId="77777777" w:rsidR="00A86A5D" w:rsidRDefault="00A86A5D" w:rsidP="009C6149">
      <w:pPr>
        <w:rPr>
          <w:rFonts w:asciiTheme="minorBidi" w:hAnsiTheme="minorBidi"/>
          <w:sz w:val="20"/>
          <w:szCs w:val="20"/>
        </w:rPr>
      </w:pPr>
    </w:p>
    <w:p w14:paraId="59D25324" w14:textId="6A7BD100" w:rsidR="009678B4" w:rsidRDefault="00386FFE" w:rsidP="00386FFE">
      <w:pPr>
        <w:rPr>
          <w:rFonts w:asciiTheme="minorBidi" w:hAnsiTheme="minorBidi"/>
          <w:sz w:val="20"/>
          <w:szCs w:val="20"/>
        </w:rPr>
      </w:pPr>
      <w:r>
        <w:rPr>
          <w:noProof/>
        </w:rPr>
        <w:drawing>
          <wp:inline distT="0" distB="0" distL="0" distR="0" wp14:anchorId="7D99CE42" wp14:editId="63252E81">
            <wp:extent cx="5943600" cy="3246120"/>
            <wp:effectExtent l="0" t="0" r="0" b="0"/>
            <wp:docPr id="551728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46120"/>
                    </a:xfrm>
                    <a:prstGeom prst="rect">
                      <a:avLst/>
                    </a:prstGeom>
                    <a:noFill/>
                    <a:ln>
                      <a:noFill/>
                    </a:ln>
                  </pic:spPr>
                </pic:pic>
              </a:graphicData>
            </a:graphic>
          </wp:inline>
        </w:drawing>
      </w:r>
      <w:r w:rsidRPr="00DD6066">
        <w:rPr>
          <w:rFonts w:asciiTheme="minorBidi" w:hAnsiTheme="minorBidi"/>
          <w:b/>
          <w:bCs/>
          <w:sz w:val="20"/>
          <w:szCs w:val="20"/>
        </w:rPr>
        <w:t xml:space="preserve">Supplementary Figure </w:t>
      </w:r>
      <w:r>
        <w:rPr>
          <w:rFonts w:asciiTheme="minorBidi" w:hAnsiTheme="minorBidi"/>
          <w:b/>
          <w:bCs/>
          <w:sz w:val="20"/>
          <w:szCs w:val="20"/>
        </w:rPr>
        <w:t>2</w:t>
      </w:r>
      <w:r w:rsidR="00A86A5D">
        <w:rPr>
          <w:rFonts w:asciiTheme="minorBidi" w:hAnsiTheme="minorBidi"/>
          <w:b/>
          <w:bCs/>
          <w:sz w:val="20"/>
          <w:szCs w:val="20"/>
        </w:rPr>
        <w:t xml:space="preserve"> |</w:t>
      </w:r>
      <w:r w:rsidRPr="00AC01EA">
        <w:rPr>
          <w:rFonts w:asciiTheme="minorBidi" w:hAnsiTheme="minorBidi"/>
          <w:b/>
          <w:bCs/>
          <w:sz w:val="20"/>
          <w:szCs w:val="20"/>
        </w:rPr>
        <w:t xml:space="preserve"> Raman </w:t>
      </w:r>
      <w:r w:rsidR="00AC01EA" w:rsidRPr="00AC01EA">
        <w:rPr>
          <w:rFonts w:asciiTheme="minorBidi" w:hAnsiTheme="minorBidi"/>
          <w:b/>
          <w:bCs/>
          <w:sz w:val="20"/>
          <w:szCs w:val="20"/>
        </w:rPr>
        <w:t>shift</w:t>
      </w:r>
      <w:r w:rsidR="00431D01">
        <w:rPr>
          <w:rFonts w:asciiTheme="minorBidi" w:hAnsiTheme="minorBidi"/>
          <w:b/>
          <w:bCs/>
          <w:sz w:val="20"/>
          <w:szCs w:val="20"/>
        </w:rPr>
        <w:t xml:space="preserve"> </w:t>
      </w:r>
      <w:r w:rsidRPr="00AC01EA">
        <w:rPr>
          <w:rFonts w:asciiTheme="minorBidi" w:hAnsiTheme="minorBidi"/>
          <w:b/>
          <w:bCs/>
          <w:sz w:val="20"/>
          <w:szCs w:val="20"/>
        </w:rPr>
        <w:t>results for three sucrose concentrations at two temperatures (700 °C and 750 °C).</w:t>
      </w:r>
      <w:r w:rsidRPr="00AC01EA">
        <w:rPr>
          <w:rFonts w:asciiTheme="minorBidi" w:hAnsiTheme="minorBidi"/>
          <w:sz w:val="20"/>
          <w:szCs w:val="20"/>
        </w:rPr>
        <w:t xml:space="preserve"> </w:t>
      </w:r>
      <w:r w:rsidRPr="00A86A5D">
        <w:rPr>
          <w:rFonts w:asciiTheme="minorBidi" w:hAnsiTheme="minorBidi"/>
          <w:b/>
          <w:bCs/>
          <w:sz w:val="20"/>
          <w:szCs w:val="20"/>
        </w:rPr>
        <w:t>a–c</w:t>
      </w:r>
      <w:r w:rsidRPr="00DD6066">
        <w:rPr>
          <w:rFonts w:asciiTheme="minorBidi" w:hAnsiTheme="minorBidi"/>
          <w:sz w:val="20"/>
          <w:szCs w:val="20"/>
        </w:rPr>
        <w:t xml:space="preserve"> Correspond to sucrose contents of 1.6, 2.4, and 3.2 wt.% at 700 °C, respectively</w:t>
      </w:r>
      <w:r w:rsidR="00A86A5D">
        <w:rPr>
          <w:rFonts w:asciiTheme="minorBidi" w:hAnsiTheme="minorBidi"/>
          <w:sz w:val="20"/>
          <w:szCs w:val="20"/>
        </w:rPr>
        <w:t>.</w:t>
      </w:r>
      <w:r>
        <w:rPr>
          <w:rFonts w:asciiTheme="minorBidi" w:hAnsiTheme="minorBidi"/>
          <w:sz w:val="20"/>
          <w:szCs w:val="20"/>
        </w:rPr>
        <w:t xml:space="preserve"> </w:t>
      </w:r>
      <w:r w:rsidRPr="00A86A5D">
        <w:rPr>
          <w:rFonts w:asciiTheme="minorBidi" w:hAnsiTheme="minorBidi"/>
          <w:b/>
          <w:bCs/>
          <w:sz w:val="20"/>
          <w:szCs w:val="20"/>
        </w:rPr>
        <w:t>d–f</w:t>
      </w:r>
      <w:r w:rsidRPr="00DD6066">
        <w:rPr>
          <w:rFonts w:asciiTheme="minorBidi" w:hAnsiTheme="minorBidi"/>
          <w:sz w:val="20"/>
          <w:szCs w:val="20"/>
        </w:rPr>
        <w:t xml:space="preserve"> Correspond to sucrose contents of 1.6, 2.4, and 3.2 wt.% at 750 °C, respectively.</w:t>
      </w:r>
    </w:p>
    <w:p w14:paraId="4A00F713" w14:textId="77777777" w:rsidR="00386FFE" w:rsidRDefault="00386FFE" w:rsidP="00386FFE">
      <w:pPr>
        <w:rPr>
          <w:rFonts w:asciiTheme="minorBidi" w:hAnsiTheme="minorBidi"/>
          <w:sz w:val="20"/>
          <w:szCs w:val="20"/>
        </w:rPr>
      </w:pPr>
    </w:p>
    <w:p w14:paraId="5FFE1154" w14:textId="4FD413BD" w:rsidR="00386FFE" w:rsidRDefault="00FE3D7F" w:rsidP="00386FFE">
      <w:pPr>
        <w:rPr>
          <w:rFonts w:asciiTheme="minorBidi" w:hAnsiTheme="minorBidi"/>
          <w:sz w:val="20"/>
          <w:szCs w:val="20"/>
        </w:rPr>
      </w:pPr>
      <w:r>
        <w:rPr>
          <w:noProof/>
        </w:rPr>
        <w:lastRenderedPageBreak/>
        <w:drawing>
          <wp:inline distT="0" distB="0" distL="0" distR="0" wp14:anchorId="350B557A" wp14:editId="7CF7A6AC">
            <wp:extent cx="5943600" cy="3146425"/>
            <wp:effectExtent l="0" t="0" r="0" b="0"/>
            <wp:docPr id="855726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46425"/>
                    </a:xfrm>
                    <a:prstGeom prst="rect">
                      <a:avLst/>
                    </a:prstGeom>
                    <a:noFill/>
                    <a:ln>
                      <a:noFill/>
                    </a:ln>
                  </pic:spPr>
                </pic:pic>
              </a:graphicData>
            </a:graphic>
          </wp:inline>
        </w:drawing>
      </w:r>
    </w:p>
    <w:p w14:paraId="5214BF8A" w14:textId="060CE964" w:rsidR="00386FFE" w:rsidRPr="00386FFE" w:rsidRDefault="00386FFE" w:rsidP="00386FFE">
      <w:pPr>
        <w:rPr>
          <w:rFonts w:asciiTheme="minorBidi" w:hAnsiTheme="minorBidi"/>
          <w:sz w:val="20"/>
          <w:szCs w:val="20"/>
        </w:rPr>
      </w:pPr>
      <w:r w:rsidRPr="00C640BA">
        <w:rPr>
          <w:rFonts w:asciiTheme="minorBidi" w:hAnsiTheme="minorBidi"/>
          <w:b/>
          <w:bCs/>
          <w:sz w:val="20"/>
          <w:szCs w:val="20"/>
        </w:rPr>
        <w:t>Supplementary Figure</w:t>
      </w:r>
      <w:r>
        <w:rPr>
          <w:rFonts w:asciiTheme="minorBidi" w:hAnsiTheme="minorBidi"/>
          <w:b/>
          <w:bCs/>
          <w:sz w:val="20"/>
          <w:szCs w:val="20"/>
        </w:rPr>
        <w:t xml:space="preserve"> 3</w:t>
      </w:r>
      <w:r w:rsidR="005B681D">
        <w:rPr>
          <w:rFonts w:asciiTheme="minorBidi" w:hAnsiTheme="minorBidi"/>
          <w:b/>
          <w:bCs/>
          <w:sz w:val="20"/>
          <w:szCs w:val="20"/>
        </w:rPr>
        <w:t xml:space="preserve"> |</w:t>
      </w:r>
      <w:r w:rsidR="002A74D2">
        <w:rPr>
          <w:rFonts w:asciiTheme="minorBidi" w:hAnsiTheme="minorBidi"/>
          <w:sz w:val="22"/>
          <w:szCs w:val="22"/>
        </w:rPr>
        <w:t xml:space="preserve"> </w:t>
      </w:r>
      <w:r w:rsidR="005B681D" w:rsidRPr="005B681D">
        <w:rPr>
          <w:rFonts w:asciiTheme="minorBidi" w:hAnsiTheme="minorBidi"/>
          <w:b/>
          <w:bCs/>
          <w:sz w:val="22"/>
          <w:szCs w:val="22"/>
        </w:rPr>
        <w:t>a</w:t>
      </w:r>
      <w:r w:rsidR="005B681D">
        <w:rPr>
          <w:rFonts w:asciiTheme="minorBidi" w:hAnsiTheme="minorBidi"/>
          <w:sz w:val="22"/>
          <w:szCs w:val="22"/>
        </w:rPr>
        <w:t xml:space="preserve"> </w:t>
      </w:r>
      <w:r w:rsidR="00A1357D">
        <w:rPr>
          <w:rFonts w:asciiTheme="minorBidi" w:hAnsiTheme="minorBidi"/>
          <w:sz w:val="22"/>
          <w:szCs w:val="22"/>
        </w:rPr>
        <w:t>S</w:t>
      </w:r>
      <w:r w:rsidRPr="00DD6066">
        <w:rPr>
          <w:rFonts w:asciiTheme="minorBidi" w:hAnsiTheme="minorBidi"/>
          <w:sz w:val="22"/>
          <w:szCs w:val="22"/>
        </w:rPr>
        <w:t>chematic view of the miniature tensile test sample, according to ASTM E8-E*M-24</w:t>
      </w:r>
      <w:r w:rsidR="00396029">
        <w:rPr>
          <w:rFonts w:asciiTheme="minorBidi" w:hAnsiTheme="minorBidi"/>
          <w:sz w:val="22"/>
          <w:szCs w:val="22"/>
        </w:rPr>
        <w:t>.</w:t>
      </w:r>
      <w:r w:rsidRPr="00DD6066">
        <w:rPr>
          <w:rFonts w:asciiTheme="minorBidi" w:hAnsiTheme="minorBidi"/>
          <w:sz w:val="22"/>
          <w:szCs w:val="22"/>
        </w:rPr>
        <w:t xml:space="preserve"> </w:t>
      </w:r>
      <w:r w:rsidRPr="00396029">
        <w:rPr>
          <w:rFonts w:asciiTheme="minorBidi" w:hAnsiTheme="minorBidi"/>
          <w:b/>
          <w:bCs/>
          <w:sz w:val="22"/>
          <w:szCs w:val="22"/>
        </w:rPr>
        <w:t>b</w:t>
      </w:r>
      <w:r w:rsidRPr="00DD6066">
        <w:rPr>
          <w:rFonts w:asciiTheme="minorBidi" w:hAnsiTheme="minorBidi"/>
          <w:sz w:val="22"/>
          <w:szCs w:val="22"/>
        </w:rPr>
        <w:t xml:space="preserve"> real test tensile sample</w:t>
      </w:r>
      <w:r w:rsidR="004D1240">
        <w:rPr>
          <w:rFonts w:asciiTheme="minorBidi" w:hAnsiTheme="minorBidi"/>
          <w:sz w:val="22"/>
          <w:szCs w:val="22"/>
        </w:rPr>
        <w:t>.</w:t>
      </w:r>
      <w:r w:rsidRPr="00DD6066">
        <w:rPr>
          <w:rFonts w:asciiTheme="minorBidi" w:hAnsiTheme="minorBidi"/>
          <w:sz w:val="22"/>
          <w:szCs w:val="22"/>
        </w:rPr>
        <w:t xml:space="preserve"> </w:t>
      </w:r>
      <w:r w:rsidRPr="00396029">
        <w:rPr>
          <w:rFonts w:asciiTheme="minorBidi" w:hAnsiTheme="minorBidi"/>
          <w:b/>
          <w:bCs/>
          <w:sz w:val="22"/>
          <w:szCs w:val="22"/>
        </w:rPr>
        <w:t>c</w:t>
      </w:r>
      <w:r w:rsidRPr="00DD6066">
        <w:rPr>
          <w:rFonts w:asciiTheme="minorBidi" w:hAnsiTheme="minorBidi"/>
          <w:sz w:val="22"/>
          <w:szCs w:val="22"/>
        </w:rPr>
        <w:t xml:space="preserve"> miniature test specimen </w:t>
      </w:r>
      <w:r w:rsidR="00FE3D7F">
        <w:rPr>
          <w:rFonts w:asciiTheme="minorBidi" w:hAnsiTheme="minorBidi"/>
          <w:sz w:val="22"/>
          <w:szCs w:val="22"/>
        </w:rPr>
        <w:t xml:space="preserve">(2) </w:t>
      </w:r>
      <w:r w:rsidRPr="00DD6066">
        <w:rPr>
          <w:rFonts w:asciiTheme="minorBidi" w:hAnsiTheme="minorBidi"/>
          <w:sz w:val="22"/>
          <w:szCs w:val="22"/>
        </w:rPr>
        <w:t>dimensions</w:t>
      </w:r>
    </w:p>
    <w:p w14:paraId="56CFB780" w14:textId="3D29871F" w:rsidR="008618FA" w:rsidRPr="00D10E0B" w:rsidRDefault="00D10E0B" w:rsidP="004F1448">
      <w:pPr>
        <w:rPr>
          <w:rFonts w:asciiTheme="minorBidi" w:hAnsiTheme="minorBidi"/>
          <w:b/>
          <w:bCs/>
        </w:rPr>
      </w:pPr>
      <w:r w:rsidRPr="00D10E0B">
        <w:rPr>
          <w:rFonts w:asciiTheme="minorBidi" w:hAnsiTheme="minorBidi"/>
          <w:b/>
          <w:bCs/>
        </w:rPr>
        <w:t xml:space="preserve">Mechanical performance </w:t>
      </w:r>
    </w:p>
    <w:p w14:paraId="6ADF549C" w14:textId="54E98013" w:rsidR="006240C0" w:rsidRPr="004F1448" w:rsidRDefault="5F5F5EE1" w:rsidP="5B4D7F36">
      <w:pPr>
        <w:rPr>
          <w:rFonts w:asciiTheme="minorBidi" w:hAnsiTheme="minorBidi"/>
        </w:rPr>
      </w:pPr>
      <w:r w:rsidRPr="5B4D7F36">
        <w:rPr>
          <w:rFonts w:asciiTheme="minorBidi" w:hAnsiTheme="minorBidi"/>
        </w:rPr>
        <w:t>The stress-strain curve can be divided into four regimes: (I) elastic behavior which loads up to the yield point, (II) Lüders drop or yield point phenomenon caused by sudden dislocation release, (III) strain hardening with dislocation pile-up inside Ni grains and balanced annihilation at the GLNs/Ni interface, and (IV) post-UTS elongation until fracture, dominated by interactions between 3D-GLNs and microcracks. The absence of regime (II) in 700-30-1000 suggests that elevated SPS temperatures may promote grain coarsening and induce defects in the in-situ grown 3D-GLNs, thus altering the deformation mechanism</w:t>
      </w:r>
      <w:r w:rsidR="00CD5036" w:rsidRPr="5B4D7F36">
        <w:rPr>
          <w:rFonts w:asciiTheme="minorBidi" w:hAnsiTheme="minorBidi"/>
        </w:rPr>
        <w:fldChar w:fldCharType="begin"/>
      </w:r>
      <w:r w:rsidR="00CD5036" w:rsidRPr="5B4D7F36">
        <w:rPr>
          <w:rFonts w:asciiTheme="minorBidi" w:hAnsiTheme="minorBidi"/>
        </w:rPr>
        <w:instrText xml:space="preserve"> ADDIN EN.CITE &lt;EndNote&gt;&lt;Cite&gt;&lt;Author&gt;Zhang&lt;/Author&gt;&lt;Year&gt;2020&lt;/Year&gt;&lt;RecNum&gt;27&lt;/RecNum&gt;&lt;DisplayText&gt;&lt;style face="superscript"&gt;1&lt;/style&gt;&lt;/DisplayText&gt;&lt;record&gt;&lt;rec-number&gt;27&lt;/rec-number&gt;&lt;foreign-keys&gt;&lt;key app="EN" db-id="2pv9vvetewfsx6ezat6pa9xv5sp59tp0s5wd" timestamp="1763248757"&gt;27&lt;/key&gt;&lt;/foreign-keys&gt;&lt;ref-type name="Journal Article"&gt;17&lt;/ref-type&gt;&lt;contributors&gt;&lt;authors&gt;&lt;author&gt;Zhang, Xiang&lt;/author&gt;&lt;author&gt;Xu, Yixin&lt;/author&gt;&lt;author&gt;Wang, Miaocao&lt;/author&gt;&lt;author&gt;Liu, Enzuo&lt;/author&gt;&lt;author&gt;Zhao, Naiqin&lt;/author&gt;&lt;author&gt;Shi, Chunsheng&lt;/author&gt;&lt;author&gt;Lin, Dong&lt;/author&gt;&lt;author&gt;Zhu, Fulong&lt;/author&gt;&lt;author&gt;He, Chunnian&lt;/author&gt;&lt;/authors&gt;&lt;/contributors&gt;&lt;titles&gt;&lt;title&gt;A powder-metallurgy-based strategy toward three-dimensional graphene-like network for reinforcing copper matrix composites&lt;/title&gt;&lt;secondary-title&gt;Nature communications&lt;/secondary-title&gt;&lt;/titles&gt;&lt;periodical&gt;&lt;full-title&gt;Nature communications&lt;/full-title&gt;&lt;/periodical&gt;&lt;pages&gt;2775&lt;/pages&gt;&lt;volume&gt;11&lt;/volume&gt;&lt;number&gt;1&lt;/number&gt;&lt;dates&gt;&lt;year&gt;2020&lt;/year&gt;&lt;/dates&gt;&lt;isbn&gt;2041-1723&lt;/isbn&gt;&lt;urls&gt;&lt;/urls&gt;&lt;/record&gt;&lt;/Cite&gt;&lt;/EndNote&gt;</w:instrText>
      </w:r>
      <w:r w:rsidR="00CD5036" w:rsidRPr="5B4D7F36">
        <w:rPr>
          <w:rFonts w:asciiTheme="minorBidi" w:hAnsiTheme="minorBidi"/>
        </w:rPr>
        <w:fldChar w:fldCharType="separate"/>
      </w:r>
      <w:r w:rsidR="70877506" w:rsidRPr="5B4D7F36">
        <w:rPr>
          <w:rFonts w:asciiTheme="minorBidi" w:hAnsiTheme="minorBidi"/>
          <w:noProof/>
          <w:vertAlign w:val="superscript"/>
        </w:rPr>
        <w:t>1</w:t>
      </w:r>
      <w:r w:rsidR="00CD5036" w:rsidRPr="5B4D7F36">
        <w:rPr>
          <w:rFonts w:asciiTheme="minorBidi" w:hAnsiTheme="minorBidi"/>
        </w:rPr>
        <w:fldChar w:fldCharType="end"/>
      </w:r>
      <w:r w:rsidRPr="5B4D7F36">
        <w:rPr>
          <w:rFonts w:asciiTheme="minorBidi" w:hAnsiTheme="minorBidi"/>
        </w:rPr>
        <w:t xml:space="preserve">. The peak UTS points for all samples are marked by orange triangles in the curves. The 700-30-1000 specimen showed a continuous, nearly linear strain-hardening behavior after yielding, without the characteristic Lüders drop, indicating a smooth elastic–plastic transition typical of recrystallized Ni with coarser grains. In contrast, 700-30-850, 750-45-850, and 750-45-1000 displayed a clear Lüders drop following the yield point, attributed to GLNs acting as interstitial obstacles that pin dislocations within the Ni lattice. Once the applied stress surpassed the critical level, dislocations broke free, producing a temporary stress drop before entering the strain-hardening regime. </w:t>
      </w:r>
    </w:p>
    <w:p w14:paraId="42690BA2" w14:textId="0134AA3F" w:rsidR="006240C0" w:rsidRDefault="006240C0" w:rsidP="00B647CA">
      <w:pPr>
        <w:rPr>
          <w:rFonts w:asciiTheme="minorBidi" w:hAnsiTheme="minorBidi"/>
        </w:rPr>
      </w:pPr>
    </w:p>
    <w:p w14:paraId="753C2A53" w14:textId="206877B3" w:rsidR="00B647CA" w:rsidRPr="00CD5036" w:rsidRDefault="00B647CA" w:rsidP="006240C0">
      <w:pPr>
        <w:jc w:val="center"/>
        <w:rPr>
          <w:rFonts w:asciiTheme="minorBidi" w:hAnsiTheme="minorBidi"/>
        </w:rPr>
      </w:pPr>
      <w:r>
        <w:rPr>
          <w:noProof/>
        </w:rPr>
        <w:lastRenderedPageBreak/>
        <w:drawing>
          <wp:inline distT="0" distB="0" distL="0" distR="0" wp14:anchorId="1E08CFF1" wp14:editId="5C73EF21">
            <wp:extent cx="3606440" cy="2711450"/>
            <wp:effectExtent l="0" t="0" r="0" b="0"/>
            <wp:docPr id="77201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1280" cy="2715089"/>
                    </a:xfrm>
                    <a:prstGeom prst="rect">
                      <a:avLst/>
                    </a:prstGeom>
                    <a:noFill/>
                    <a:ln>
                      <a:noFill/>
                    </a:ln>
                  </pic:spPr>
                </pic:pic>
              </a:graphicData>
            </a:graphic>
          </wp:inline>
        </w:drawing>
      </w:r>
    </w:p>
    <w:p w14:paraId="34CB7A7B" w14:textId="022E2C74" w:rsidR="00FC3F37" w:rsidRPr="00BD2C7A" w:rsidRDefault="00DD3669" w:rsidP="00E34F47">
      <w:pPr>
        <w:rPr>
          <w:rFonts w:asciiTheme="minorBidi" w:hAnsiTheme="minorBidi"/>
          <w:sz w:val="20"/>
          <w:szCs w:val="20"/>
        </w:rPr>
      </w:pPr>
      <w:r w:rsidRPr="00DB6218">
        <w:rPr>
          <w:rFonts w:asciiTheme="minorBidi" w:hAnsiTheme="minorBidi"/>
          <w:b/>
          <w:bCs/>
          <w:sz w:val="20"/>
          <w:szCs w:val="20"/>
        </w:rPr>
        <w:t xml:space="preserve">Supplementary Figure </w:t>
      </w:r>
      <w:r w:rsidR="0062317D">
        <w:rPr>
          <w:rFonts w:asciiTheme="minorBidi" w:hAnsiTheme="minorBidi"/>
          <w:b/>
          <w:bCs/>
          <w:sz w:val="20"/>
          <w:szCs w:val="20"/>
        </w:rPr>
        <w:t>4</w:t>
      </w:r>
      <w:r w:rsidR="00E531BE">
        <w:rPr>
          <w:rFonts w:asciiTheme="minorBidi" w:hAnsiTheme="minorBidi"/>
          <w:b/>
          <w:bCs/>
          <w:sz w:val="20"/>
          <w:szCs w:val="20"/>
        </w:rPr>
        <w:t xml:space="preserve"> | </w:t>
      </w:r>
      <w:r w:rsidR="00E34F47" w:rsidRPr="00BD2C7A">
        <w:rPr>
          <w:rFonts w:asciiTheme="minorBidi" w:hAnsiTheme="minorBidi"/>
          <w:sz w:val="20"/>
          <w:szCs w:val="20"/>
        </w:rPr>
        <w:t>Tensile stress-strain curves of pure Ni, 700-30 and 750-45 at 850 and 1000 SPS</w:t>
      </w:r>
    </w:p>
    <w:p w14:paraId="0A13B5C8" w14:textId="77777777" w:rsidR="004E4137" w:rsidRDefault="004E4137" w:rsidP="00110AC3">
      <w:pPr>
        <w:rPr>
          <w:rFonts w:asciiTheme="minorBidi" w:hAnsiTheme="minorBidi"/>
          <w:sz w:val="22"/>
          <w:szCs w:val="22"/>
        </w:rPr>
      </w:pPr>
    </w:p>
    <w:p w14:paraId="5BD99D06" w14:textId="77777777" w:rsidR="00860623" w:rsidRPr="00862ABB" w:rsidRDefault="00860623" w:rsidP="00860623">
      <w:pPr>
        <w:jc w:val="both"/>
        <w:rPr>
          <w:rFonts w:asciiTheme="minorBidi" w:hAnsiTheme="minorBidi"/>
        </w:rPr>
      </w:pPr>
      <w:r w:rsidRPr="00862ABB">
        <w:rPr>
          <w:rFonts w:asciiTheme="minorBidi" w:hAnsiTheme="minorBidi"/>
        </w:rPr>
        <w:t>References</w:t>
      </w:r>
    </w:p>
    <w:p w14:paraId="12FFF76E" w14:textId="77777777" w:rsidR="00FC3F37" w:rsidRPr="00FC3F37" w:rsidRDefault="005857FC" w:rsidP="00FC3F37">
      <w:pPr>
        <w:pStyle w:val="EndNoteBibliography"/>
        <w:spacing w:after="0"/>
        <w:ind w:left="720" w:hanging="720"/>
      </w:pPr>
      <w:r>
        <w:rPr>
          <w:rFonts w:asciiTheme="minorBidi" w:hAnsiTheme="minorBidi"/>
          <w:sz w:val="22"/>
          <w:szCs w:val="22"/>
        </w:rPr>
        <w:fldChar w:fldCharType="begin"/>
      </w:r>
      <w:r>
        <w:rPr>
          <w:rFonts w:asciiTheme="minorBidi" w:hAnsiTheme="minorBidi"/>
          <w:sz w:val="22"/>
          <w:szCs w:val="22"/>
        </w:rPr>
        <w:instrText xml:space="preserve"> ADDIN EN.REFLIST </w:instrText>
      </w:r>
      <w:r>
        <w:rPr>
          <w:rFonts w:asciiTheme="minorBidi" w:hAnsiTheme="minorBidi"/>
          <w:sz w:val="22"/>
          <w:szCs w:val="22"/>
        </w:rPr>
        <w:fldChar w:fldCharType="separate"/>
      </w:r>
      <w:r w:rsidR="00FC3F37" w:rsidRPr="00FC3F37">
        <w:t xml:space="preserve">1. </w:t>
      </w:r>
      <w:r w:rsidR="00FC3F37" w:rsidRPr="00FC3F37">
        <w:tab/>
        <w:t>Zhang, X.</w:t>
      </w:r>
      <w:r w:rsidR="00FC3F37" w:rsidRPr="00FC3F37">
        <w:rPr>
          <w:i/>
        </w:rPr>
        <w:t xml:space="preserve"> et al.</w:t>
      </w:r>
      <w:r w:rsidR="00FC3F37" w:rsidRPr="00FC3F37">
        <w:t xml:space="preserve"> A powder-metallurgy-based strategy toward three-dimensional graphene-like network for reinforcing copper matrix composites. </w:t>
      </w:r>
      <w:r w:rsidR="00FC3F37" w:rsidRPr="00FC3F37">
        <w:rPr>
          <w:i/>
        </w:rPr>
        <w:t>Nature communications</w:t>
      </w:r>
      <w:r w:rsidR="00FC3F37" w:rsidRPr="00FC3F37">
        <w:t xml:space="preserve"> </w:t>
      </w:r>
      <w:r w:rsidR="00FC3F37" w:rsidRPr="00FC3F37">
        <w:rPr>
          <w:b/>
        </w:rPr>
        <w:t>11</w:t>
      </w:r>
      <w:r w:rsidR="00FC3F37" w:rsidRPr="00FC3F37">
        <w:t>, 2775 (2020).</w:t>
      </w:r>
    </w:p>
    <w:p w14:paraId="48C6A6F2" w14:textId="78D187AA" w:rsidR="00F370C2" w:rsidRPr="008B495C" w:rsidRDefault="005857FC" w:rsidP="00FC3F37">
      <w:pPr>
        <w:rPr>
          <w:rFonts w:asciiTheme="minorBidi" w:hAnsiTheme="minorBidi"/>
          <w:sz w:val="22"/>
          <w:szCs w:val="22"/>
        </w:rPr>
      </w:pPr>
      <w:r>
        <w:rPr>
          <w:rFonts w:asciiTheme="minorBidi" w:hAnsiTheme="minorBidi"/>
          <w:sz w:val="22"/>
          <w:szCs w:val="22"/>
        </w:rPr>
        <w:fldChar w:fldCharType="end"/>
      </w:r>
    </w:p>
    <w:sectPr w:rsidR="00F370C2" w:rsidRPr="008B4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F3B"/>
    <w:multiLevelType w:val="multilevel"/>
    <w:tmpl w:val="5A1C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EB3EE6"/>
    <w:multiLevelType w:val="multilevel"/>
    <w:tmpl w:val="64E8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88356C"/>
    <w:multiLevelType w:val="multilevel"/>
    <w:tmpl w:val="7196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3787780">
    <w:abstractNumId w:val="0"/>
  </w:num>
  <w:num w:numId="2" w16cid:durableId="1685130853">
    <w:abstractNumId w:val="2"/>
  </w:num>
  <w:num w:numId="3" w16cid:durableId="60950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_dot&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v9vvetewfsx6ezat6pa9xv5sp59tp0s5wd&quot;&gt;My EndNote Library&lt;record-ids&gt;&lt;item&gt;27&lt;/item&gt;&lt;item&gt;41&lt;/item&gt;&lt;/record-ids&gt;&lt;/item&gt;&lt;/Libraries&gt;"/>
  </w:docVars>
  <w:rsids>
    <w:rsidRoot w:val="00FB4F31"/>
    <w:rsid w:val="00006D3A"/>
    <w:rsid w:val="00086A42"/>
    <w:rsid w:val="000B4BF3"/>
    <w:rsid w:val="000D3912"/>
    <w:rsid w:val="000D4CCF"/>
    <w:rsid w:val="000D7055"/>
    <w:rsid w:val="000E37C3"/>
    <w:rsid w:val="000F1FC1"/>
    <w:rsid w:val="00110AC3"/>
    <w:rsid w:val="001178F4"/>
    <w:rsid w:val="001234C1"/>
    <w:rsid w:val="001663D7"/>
    <w:rsid w:val="00192526"/>
    <w:rsid w:val="001B4A7B"/>
    <w:rsid w:val="001B5BBA"/>
    <w:rsid w:val="001E303B"/>
    <w:rsid w:val="00206544"/>
    <w:rsid w:val="002530A5"/>
    <w:rsid w:val="00253BF1"/>
    <w:rsid w:val="0025698E"/>
    <w:rsid w:val="00260A6F"/>
    <w:rsid w:val="00272104"/>
    <w:rsid w:val="00290A97"/>
    <w:rsid w:val="002A42C6"/>
    <w:rsid w:val="002A73D4"/>
    <w:rsid w:val="002A74D2"/>
    <w:rsid w:val="002B7F66"/>
    <w:rsid w:val="00310D66"/>
    <w:rsid w:val="00313968"/>
    <w:rsid w:val="00323D85"/>
    <w:rsid w:val="00331E3D"/>
    <w:rsid w:val="00347092"/>
    <w:rsid w:val="00380B86"/>
    <w:rsid w:val="00380C62"/>
    <w:rsid w:val="00386FFE"/>
    <w:rsid w:val="003929F5"/>
    <w:rsid w:val="00396029"/>
    <w:rsid w:val="003A2F90"/>
    <w:rsid w:val="003A3DAA"/>
    <w:rsid w:val="003A54F4"/>
    <w:rsid w:val="003B09F2"/>
    <w:rsid w:val="003B49F5"/>
    <w:rsid w:val="003D164D"/>
    <w:rsid w:val="003E1AA5"/>
    <w:rsid w:val="004153EB"/>
    <w:rsid w:val="00431D01"/>
    <w:rsid w:val="00441A61"/>
    <w:rsid w:val="004914FB"/>
    <w:rsid w:val="004D1240"/>
    <w:rsid w:val="004E4137"/>
    <w:rsid w:val="004F1448"/>
    <w:rsid w:val="004F1632"/>
    <w:rsid w:val="005057D7"/>
    <w:rsid w:val="00534218"/>
    <w:rsid w:val="00537E12"/>
    <w:rsid w:val="005415F5"/>
    <w:rsid w:val="005857FC"/>
    <w:rsid w:val="005B2823"/>
    <w:rsid w:val="005B681D"/>
    <w:rsid w:val="005C0CB4"/>
    <w:rsid w:val="005C6089"/>
    <w:rsid w:val="005D075A"/>
    <w:rsid w:val="005D08FB"/>
    <w:rsid w:val="005F09D6"/>
    <w:rsid w:val="00606335"/>
    <w:rsid w:val="0062317D"/>
    <w:rsid w:val="006240C0"/>
    <w:rsid w:val="00627998"/>
    <w:rsid w:val="006E23C9"/>
    <w:rsid w:val="006E7012"/>
    <w:rsid w:val="00704D61"/>
    <w:rsid w:val="00711341"/>
    <w:rsid w:val="00717FFA"/>
    <w:rsid w:val="00737CC8"/>
    <w:rsid w:val="00785348"/>
    <w:rsid w:val="00795059"/>
    <w:rsid w:val="0079796E"/>
    <w:rsid w:val="007A4778"/>
    <w:rsid w:val="007D4DF4"/>
    <w:rsid w:val="00844B9B"/>
    <w:rsid w:val="00860623"/>
    <w:rsid w:val="008618FA"/>
    <w:rsid w:val="008708D8"/>
    <w:rsid w:val="00872D9E"/>
    <w:rsid w:val="008962A5"/>
    <w:rsid w:val="008B39EB"/>
    <w:rsid w:val="008B495C"/>
    <w:rsid w:val="008B6028"/>
    <w:rsid w:val="008C0C7C"/>
    <w:rsid w:val="008F55CA"/>
    <w:rsid w:val="008F7F38"/>
    <w:rsid w:val="0090653B"/>
    <w:rsid w:val="00917714"/>
    <w:rsid w:val="009222D4"/>
    <w:rsid w:val="009339C2"/>
    <w:rsid w:val="00941A67"/>
    <w:rsid w:val="009470B9"/>
    <w:rsid w:val="00962748"/>
    <w:rsid w:val="009678B4"/>
    <w:rsid w:val="00982BB4"/>
    <w:rsid w:val="0098469A"/>
    <w:rsid w:val="009C6149"/>
    <w:rsid w:val="009C78C2"/>
    <w:rsid w:val="009E1FAC"/>
    <w:rsid w:val="00A04C64"/>
    <w:rsid w:val="00A1357D"/>
    <w:rsid w:val="00A135CF"/>
    <w:rsid w:val="00A52E48"/>
    <w:rsid w:val="00A86A5D"/>
    <w:rsid w:val="00A966FB"/>
    <w:rsid w:val="00AA55F2"/>
    <w:rsid w:val="00AB7A0A"/>
    <w:rsid w:val="00AC01EA"/>
    <w:rsid w:val="00AC3D1D"/>
    <w:rsid w:val="00AD23AC"/>
    <w:rsid w:val="00AF1EED"/>
    <w:rsid w:val="00B024F4"/>
    <w:rsid w:val="00B06A87"/>
    <w:rsid w:val="00B21208"/>
    <w:rsid w:val="00B26A4D"/>
    <w:rsid w:val="00B37887"/>
    <w:rsid w:val="00B46D9E"/>
    <w:rsid w:val="00B52D18"/>
    <w:rsid w:val="00B64000"/>
    <w:rsid w:val="00B647CA"/>
    <w:rsid w:val="00B7783A"/>
    <w:rsid w:val="00BA2272"/>
    <w:rsid w:val="00BA5E88"/>
    <w:rsid w:val="00BA61AD"/>
    <w:rsid w:val="00BC6D8E"/>
    <w:rsid w:val="00BD2C7A"/>
    <w:rsid w:val="00C17420"/>
    <w:rsid w:val="00C26CAF"/>
    <w:rsid w:val="00C27135"/>
    <w:rsid w:val="00C311BE"/>
    <w:rsid w:val="00C3191C"/>
    <w:rsid w:val="00C41F1A"/>
    <w:rsid w:val="00C54773"/>
    <w:rsid w:val="00C558FB"/>
    <w:rsid w:val="00C60BD4"/>
    <w:rsid w:val="00C61FA4"/>
    <w:rsid w:val="00C640BA"/>
    <w:rsid w:val="00CC54AB"/>
    <w:rsid w:val="00CD0E0B"/>
    <w:rsid w:val="00CD5036"/>
    <w:rsid w:val="00CE388D"/>
    <w:rsid w:val="00CE7D72"/>
    <w:rsid w:val="00CE7E02"/>
    <w:rsid w:val="00CF2F8B"/>
    <w:rsid w:val="00CF613F"/>
    <w:rsid w:val="00D10B94"/>
    <w:rsid w:val="00D10E0B"/>
    <w:rsid w:val="00D13D5E"/>
    <w:rsid w:val="00D34975"/>
    <w:rsid w:val="00D4422E"/>
    <w:rsid w:val="00D66CFC"/>
    <w:rsid w:val="00D86C4B"/>
    <w:rsid w:val="00DA1DC4"/>
    <w:rsid w:val="00DB4BE3"/>
    <w:rsid w:val="00DB4CD9"/>
    <w:rsid w:val="00DB6218"/>
    <w:rsid w:val="00DD3669"/>
    <w:rsid w:val="00DD6066"/>
    <w:rsid w:val="00DE1FF4"/>
    <w:rsid w:val="00DE5BF5"/>
    <w:rsid w:val="00E00EBA"/>
    <w:rsid w:val="00E17E0A"/>
    <w:rsid w:val="00E34F47"/>
    <w:rsid w:val="00E531BE"/>
    <w:rsid w:val="00E72A8E"/>
    <w:rsid w:val="00E827A7"/>
    <w:rsid w:val="00EA0D6A"/>
    <w:rsid w:val="00EB72B4"/>
    <w:rsid w:val="00EF065E"/>
    <w:rsid w:val="00F20E3A"/>
    <w:rsid w:val="00F35018"/>
    <w:rsid w:val="00F370C2"/>
    <w:rsid w:val="00FB3E18"/>
    <w:rsid w:val="00FB4F31"/>
    <w:rsid w:val="00FC3F37"/>
    <w:rsid w:val="00FD4E09"/>
    <w:rsid w:val="00FE3D7F"/>
    <w:rsid w:val="00FF3958"/>
    <w:rsid w:val="5B4D7F36"/>
    <w:rsid w:val="5F5F5EE1"/>
    <w:rsid w:val="708775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665F"/>
  <w15:chartTrackingRefBased/>
  <w15:docId w15:val="{80D0BAEB-AA04-4240-968A-9E07AC9ED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F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F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F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F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F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F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F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F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F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F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F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F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F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F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F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F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F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F31"/>
    <w:rPr>
      <w:rFonts w:eastAsiaTheme="majorEastAsia" w:cstheme="majorBidi"/>
      <w:color w:val="272727" w:themeColor="text1" w:themeTint="D8"/>
    </w:rPr>
  </w:style>
  <w:style w:type="paragraph" w:styleId="Title">
    <w:name w:val="Title"/>
    <w:basedOn w:val="Normal"/>
    <w:next w:val="Normal"/>
    <w:link w:val="TitleChar"/>
    <w:uiPriority w:val="10"/>
    <w:qFormat/>
    <w:rsid w:val="00FB4F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F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F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F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F31"/>
    <w:pPr>
      <w:spacing w:before="160"/>
      <w:jc w:val="center"/>
    </w:pPr>
    <w:rPr>
      <w:i/>
      <w:iCs/>
      <w:color w:val="404040" w:themeColor="text1" w:themeTint="BF"/>
    </w:rPr>
  </w:style>
  <w:style w:type="character" w:customStyle="1" w:styleId="QuoteChar">
    <w:name w:val="Quote Char"/>
    <w:basedOn w:val="DefaultParagraphFont"/>
    <w:link w:val="Quote"/>
    <w:uiPriority w:val="29"/>
    <w:rsid w:val="00FB4F31"/>
    <w:rPr>
      <w:i/>
      <w:iCs/>
      <w:color w:val="404040" w:themeColor="text1" w:themeTint="BF"/>
    </w:rPr>
  </w:style>
  <w:style w:type="paragraph" w:styleId="ListParagraph">
    <w:name w:val="List Paragraph"/>
    <w:basedOn w:val="Normal"/>
    <w:uiPriority w:val="34"/>
    <w:qFormat/>
    <w:rsid w:val="00FB4F31"/>
    <w:pPr>
      <w:ind w:left="720"/>
      <w:contextualSpacing/>
    </w:pPr>
  </w:style>
  <w:style w:type="character" w:styleId="IntenseEmphasis">
    <w:name w:val="Intense Emphasis"/>
    <w:basedOn w:val="DefaultParagraphFont"/>
    <w:uiPriority w:val="21"/>
    <w:qFormat/>
    <w:rsid w:val="00FB4F31"/>
    <w:rPr>
      <w:i/>
      <w:iCs/>
      <w:color w:val="0F4761" w:themeColor="accent1" w:themeShade="BF"/>
    </w:rPr>
  </w:style>
  <w:style w:type="paragraph" w:styleId="IntenseQuote">
    <w:name w:val="Intense Quote"/>
    <w:basedOn w:val="Normal"/>
    <w:next w:val="Normal"/>
    <w:link w:val="IntenseQuoteChar"/>
    <w:uiPriority w:val="30"/>
    <w:qFormat/>
    <w:rsid w:val="00FB4F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F31"/>
    <w:rPr>
      <w:i/>
      <w:iCs/>
      <w:color w:val="0F4761" w:themeColor="accent1" w:themeShade="BF"/>
    </w:rPr>
  </w:style>
  <w:style w:type="character" w:styleId="IntenseReference">
    <w:name w:val="Intense Reference"/>
    <w:basedOn w:val="DefaultParagraphFont"/>
    <w:uiPriority w:val="32"/>
    <w:qFormat/>
    <w:rsid w:val="00FB4F31"/>
    <w:rPr>
      <w:b/>
      <w:bCs/>
      <w:smallCaps/>
      <w:color w:val="0F4761" w:themeColor="accent1" w:themeShade="BF"/>
      <w:spacing w:val="5"/>
    </w:rPr>
  </w:style>
  <w:style w:type="table" w:styleId="TableGrid">
    <w:name w:val="Table Grid"/>
    <w:basedOn w:val="TableNormal"/>
    <w:uiPriority w:val="39"/>
    <w:rsid w:val="0094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66F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5857FC"/>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5857FC"/>
    <w:rPr>
      <w:rFonts w:ascii="Aptos" w:hAnsi="Aptos"/>
      <w:noProof/>
    </w:rPr>
  </w:style>
  <w:style w:type="paragraph" w:customStyle="1" w:styleId="EndNoteBibliography">
    <w:name w:val="EndNote Bibliography"/>
    <w:basedOn w:val="Normal"/>
    <w:link w:val="EndNoteBibliographyChar"/>
    <w:rsid w:val="005857FC"/>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5857FC"/>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e57ab6-c33f-4861-a0db-8e139a9cee45">
      <Terms xmlns="http://schemas.microsoft.com/office/infopath/2007/PartnerControls"/>
    </lcf76f155ced4ddcb4097134ff3c332f>
    <_ip_UnifiedCompliancePolicyProperties xmlns="http://schemas.microsoft.com/sharepoint/v3" xsi:nil="true"/>
    <TaxCatchAll xmlns="5ea6178a-3e9c-490d-933a-4e2e33256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EACA709242E945A210AF93C5ADE87E" ma:contentTypeVersion="16" ma:contentTypeDescription="Create a new document." ma:contentTypeScope="" ma:versionID="e5f02278f2d0909cb2f833caf949267d">
  <xsd:schema xmlns:xsd="http://www.w3.org/2001/XMLSchema" xmlns:xs="http://www.w3.org/2001/XMLSchema" xmlns:p="http://schemas.microsoft.com/office/2006/metadata/properties" xmlns:ns1="http://schemas.microsoft.com/sharepoint/v3" xmlns:ns2="93e57ab6-c33f-4861-a0db-8e139a9cee45" xmlns:ns3="5ea6178a-3e9c-490d-933a-4e2e33256987" targetNamespace="http://schemas.microsoft.com/office/2006/metadata/properties" ma:root="true" ma:fieldsID="99fa1f1c992091d97f9ceae2dafaddf9" ns1:_="" ns2:_="" ns3:_="">
    <xsd:import namespace="http://schemas.microsoft.com/sharepoint/v3"/>
    <xsd:import namespace="93e57ab6-c33f-4861-a0db-8e139a9cee45"/>
    <xsd:import namespace="5ea6178a-3e9c-490d-933a-4e2e332569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57ab6-c33f-4861-a0db-8e139a9ce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777389-5812-4b7a-9ab1-3d72f209808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a6178a-3e9c-490d-933a-4e2e3325698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fa0651e-a4cf-4124-bcc7-226dc38a42a0}" ma:internalName="TaxCatchAll" ma:showField="CatchAllData" ma:web="5ea6178a-3e9c-490d-933a-4e2e33256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6E70C-9466-4766-A7E9-46F5EB8B09CE}">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schemas.microsoft.com/office/2006/metadata/properties"/>
    <ds:schemaRef ds:uri="5ea6178a-3e9c-490d-933a-4e2e33256987"/>
    <ds:schemaRef ds:uri="93e57ab6-c33f-4861-a0db-8e139a9cee45"/>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7F3F0C5C-5EFA-4565-A161-7BA6DFF4B0B6}">
  <ds:schemaRefs>
    <ds:schemaRef ds:uri="http://schemas.microsoft.com/sharepoint/v3/contenttype/forms"/>
  </ds:schemaRefs>
</ds:datastoreItem>
</file>

<file path=customXml/itemProps3.xml><?xml version="1.0" encoding="utf-8"?>
<ds:datastoreItem xmlns:ds="http://schemas.openxmlformats.org/officeDocument/2006/customXml" ds:itemID="{2A286F52-F43A-4FBF-8D9B-49FE62447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e57ab6-c33f-4861-a0db-8e139a9cee45"/>
    <ds:schemaRef ds:uri="5ea6178a-3e9c-490d-933a-4e2e3325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C9B89-7029-4F5E-BF6F-9DA26AAB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3001</Characters>
  <Application>Microsoft Office Word</Application>
  <DocSecurity>0</DocSecurity>
  <Lines>58</Lines>
  <Paragraphs>13</Paragraphs>
  <ScaleCrop>false</ScaleCrop>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Hatami Farzaneh, Omid</dc:creator>
  <cp:keywords/>
  <dc:description/>
  <cp:lastModifiedBy>Hatami Farzaneh, Omid</cp:lastModifiedBy>
  <cp:revision>171</cp:revision>
  <dcterms:created xsi:type="dcterms:W3CDTF">2025-07-14T04:17:00Z</dcterms:created>
  <dcterms:modified xsi:type="dcterms:W3CDTF">2026-04-07T21:01:00Z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0x010100D9EACA709242E945A210AF93C5ADE87E</vt:lpwstr>
  </property>
  <property fmtid="{D5CDD505-2E9C-101B-9397-08002B2CF9AE}" pid="3" name="MediaServiceImageTags">
    <vt:lpwstr/>
  </property>
</Properties>
</file>