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7830"/>
        <w:gridCol w:w="2943"/>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Section / Topic</w:t>
            </w:r>
          </w:p>
          <w:p w14:paraId="0F5F40E3">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c>
          <w:tcPr>
            <w:tcW w:w="992" w:type="dxa"/>
            <w:shd w:val="clear" w:color="auto" w:fill="BFBFBF"/>
          </w:tcPr>
          <w:p w14:paraId="5449031B">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No</w:t>
            </w:r>
          </w:p>
        </w:tc>
        <w:tc>
          <w:tcPr>
            <w:tcW w:w="7830" w:type="dxa"/>
            <w:shd w:val="clear" w:color="auto" w:fill="BEBEBE" w:themeFill="background1" w:themeFillShade="BF"/>
          </w:tcPr>
          <w:p w14:paraId="1008F6F5">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CONSORT 2025 checklist item description</w:t>
            </w:r>
          </w:p>
        </w:tc>
        <w:tc>
          <w:tcPr>
            <w:tcW w:w="2943" w:type="dxa"/>
            <w:shd w:val="clear" w:color="auto" w:fill="BEBEBE" w:themeFill="background1" w:themeFillShade="BF"/>
          </w:tcPr>
          <w:p w14:paraId="6927BCB3">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1369" w:type="dxa"/>
            <w:gridSpan w:val="3"/>
            <w:shd w:val="clear" w:color="auto" w:fill="C6D9F0" w:themeFill="text2" w:themeFillTint="33"/>
          </w:tcPr>
          <w:p w14:paraId="105C0986">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Title and abstract</w:t>
            </w:r>
          </w:p>
        </w:tc>
        <w:tc>
          <w:tcPr>
            <w:tcW w:w="2943" w:type="dxa"/>
            <w:shd w:val="clear" w:color="auto" w:fill="C6D9F0" w:themeFill="text2" w:themeFillTint="33"/>
          </w:tcPr>
          <w:p w14:paraId="0AC158EA">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Title and structured abstract</w:t>
            </w:r>
          </w:p>
        </w:tc>
        <w:tc>
          <w:tcPr>
            <w:tcW w:w="992" w:type="dxa"/>
          </w:tcPr>
          <w:p w14:paraId="2FAFE5CC">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1a</w:t>
            </w:r>
          </w:p>
        </w:tc>
        <w:tc>
          <w:tcPr>
            <w:tcW w:w="7830" w:type="dxa"/>
          </w:tcPr>
          <w:p w14:paraId="0A0F88B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 xml:space="preserve">Identification as a randomised trial </w:t>
            </w:r>
          </w:p>
        </w:tc>
        <w:tc>
          <w:tcPr>
            <w:tcW w:w="2943" w:type="dxa"/>
          </w:tcPr>
          <w:p w14:paraId="682CEBAD">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00E58D9A">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1b</w:t>
            </w:r>
          </w:p>
        </w:tc>
        <w:tc>
          <w:tcPr>
            <w:tcW w:w="7830" w:type="dxa"/>
          </w:tcPr>
          <w:p w14:paraId="0176107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 xml:space="preserve">Structured summary of the </w:t>
            </w:r>
            <w:r>
              <w:rPr>
                <w:rFonts w:hint="eastAsia" w:ascii="Calibri" w:hAnsi="Calibri" w:eastAsia="宋体" w:cs="Calibri"/>
                <w:color w:val="000000"/>
                <w:sz w:val="22"/>
                <w:szCs w:val="22"/>
                <w:lang w:val="en-US" w:eastAsia="zh-CN"/>
              </w:rPr>
              <w:t>purpose</w:t>
            </w:r>
            <w:r>
              <w:rPr>
                <w:rFonts w:hint="default" w:ascii="Calibri" w:hAnsi="Calibri" w:eastAsia="Calibri" w:cs="Calibri"/>
                <w:color w:val="000000"/>
                <w:sz w:val="22"/>
                <w:szCs w:val="22"/>
                <w:lang w:val="en-GB"/>
              </w:rPr>
              <w:t>, methods, results, and conclusions</w:t>
            </w:r>
          </w:p>
        </w:tc>
        <w:tc>
          <w:tcPr>
            <w:tcW w:w="2943" w:type="dxa"/>
          </w:tcPr>
          <w:p w14:paraId="078952E4">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369" w:type="dxa"/>
            <w:gridSpan w:val="3"/>
            <w:shd w:val="clear" w:color="auto" w:fill="BDD7EE"/>
          </w:tcPr>
          <w:p w14:paraId="353B2DC6">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Open science</w:t>
            </w:r>
          </w:p>
        </w:tc>
        <w:tc>
          <w:tcPr>
            <w:tcW w:w="2943" w:type="dxa"/>
            <w:shd w:val="clear" w:color="auto" w:fill="C6D9F0" w:themeFill="text2" w:themeFillTint="33"/>
          </w:tcPr>
          <w:p w14:paraId="6C7112DB">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Trial registration</w:t>
            </w:r>
          </w:p>
        </w:tc>
        <w:tc>
          <w:tcPr>
            <w:tcW w:w="992" w:type="dxa"/>
          </w:tcPr>
          <w:p w14:paraId="169EB1A0">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w:t>
            </w:r>
          </w:p>
        </w:tc>
        <w:tc>
          <w:tcPr>
            <w:tcW w:w="7830" w:type="dxa"/>
          </w:tcPr>
          <w:p w14:paraId="6110F8CD">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eastAsia="zh-CN"/>
              </w:rPr>
              <w:t>Chinese Clinical Trial Registry</w:t>
            </w:r>
            <w:r>
              <w:rPr>
                <w:rFonts w:hint="default" w:ascii="Calibri" w:hAnsi="Calibri" w:eastAsia="Calibri" w:cs="Calibri"/>
                <w:color w:val="000000"/>
                <w:sz w:val="22"/>
                <w:szCs w:val="22"/>
                <w:lang w:val="en-GB"/>
              </w:rPr>
              <w:t xml:space="preserve">, </w:t>
            </w:r>
            <w:r>
              <w:rPr>
                <w:rFonts w:hint="default" w:ascii="Calibri" w:hAnsi="Calibri" w:eastAsia="Calibri" w:cs="Calibri"/>
                <w:color w:val="000000"/>
                <w:sz w:val="22"/>
                <w:szCs w:val="22"/>
                <w:lang w:val="en-GB" w:eastAsia="zh-CN"/>
              </w:rPr>
              <w:t>ChiCTR2500103378</w:t>
            </w:r>
            <w:r>
              <w:rPr>
                <w:rFonts w:hint="default" w:ascii="Calibri" w:hAnsi="Calibri" w:eastAsia="Calibri" w:cs="Calibri"/>
                <w:color w:val="000000"/>
                <w:sz w:val="22"/>
                <w:szCs w:val="22"/>
                <w:lang w:val="en-GB"/>
              </w:rPr>
              <w:t xml:space="preserve"> (</w:t>
            </w:r>
            <w:r>
              <w:rPr>
                <w:rFonts w:hint="default" w:ascii="Calibri" w:hAnsi="Calibri" w:eastAsia="Calibri" w:cs="Calibri"/>
                <w:color w:val="000000"/>
                <w:sz w:val="22"/>
                <w:szCs w:val="22"/>
                <w:lang w:val="en-GB" w:eastAsia="zh-CN"/>
              </w:rPr>
              <w:fldChar w:fldCharType="begin"/>
            </w:r>
            <w:r>
              <w:rPr>
                <w:rFonts w:hint="default" w:ascii="Calibri" w:hAnsi="Calibri" w:eastAsia="Calibri" w:cs="Calibri"/>
                <w:color w:val="000000"/>
                <w:sz w:val="22"/>
                <w:szCs w:val="22"/>
                <w:lang w:val="en-GB" w:eastAsia="zh-CN"/>
              </w:rPr>
              <w:instrText xml:space="preserve"> HYPERLINK "https://www.chictr.org.cn/showproj.html?proj=268481" \t "C:/Users/SU/Desktop/_blank" </w:instrText>
            </w:r>
            <w:r>
              <w:rPr>
                <w:rFonts w:hint="default" w:ascii="Calibri" w:hAnsi="Calibri" w:eastAsia="Calibri" w:cs="Calibri"/>
                <w:color w:val="000000"/>
                <w:sz w:val="22"/>
                <w:szCs w:val="22"/>
                <w:lang w:val="en-GB" w:eastAsia="zh-CN"/>
              </w:rPr>
              <w:fldChar w:fldCharType="separate"/>
            </w:r>
            <w:r>
              <w:rPr>
                <w:rFonts w:hint="default" w:ascii="Calibri" w:hAnsi="Calibri" w:eastAsia="Calibri" w:cs="Calibri"/>
                <w:color w:val="000000"/>
                <w:sz w:val="22"/>
                <w:szCs w:val="22"/>
                <w:lang w:val="en-GB" w:eastAsia="zh-CN"/>
              </w:rPr>
              <w:t>https://www.chictr.org.cn/showproj.html?proj=268481</w:t>
            </w:r>
            <w:r>
              <w:rPr>
                <w:rFonts w:hint="default" w:ascii="Calibri" w:hAnsi="Calibri" w:eastAsia="Calibri" w:cs="Calibri"/>
                <w:color w:val="000000"/>
                <w:sz w:val="22"/>
                <w:szCs w:val="22"/>
                <w:lang w:val="en-GB" w:eastAsia="zh-CN"/>
              </w:rPr>
              <w:fldChar w:fldCharType="end"/>
            </w:r>
            <w:r>
              <w:rPr>
                <w:rFonts w:hint="default" w:ascii="Calibri" w:hAnsi="Calibri" w:eastAsia="Calibri" w:cs="Calibri"/>
                <w:color w:val="000000"/>
                <w:sz w:val="22"/>
                <w:szCs w:val="22"/>
                <w:lang w:val="en-GB"/>
              </w:rPr>
              <w:t xml:space="preserve">) </w:t>
            </w:r>
            <w:r>
              <w:rPr>
                <w:rFonts w:hint="eastAsia" w:ascii="Calibri" w:hAnsi="Calibri" w:eastAsia="宋体" w:cs="Calibri"/>
                <w:color w:val="000000"/>
                <w:sz w:val="22"/>
                <w:szCs w:val="22"/>
                <w:lang w:val="en-US" w:eastAsia="zh-CN"/>
              </w:rPr>
              <w:t>,</w:t>
            </w:r>
            <w:r>
              <w:rPr>
                <w:rFonts w:hint="default" w:ascii="Calibri" w:hAnsi="Calibri" w:eastAsia="Calibri" w:cs="Calibri"/>
                <w:color w:val="000000"/>
                <w:sz w:val="22"/>
                <w:szCs w:val="22"/>
                <w:lang w:val="en-GB"/>
              </w:rPr>
              <w:t xml:space="preserve"> </w:t>
            </w:r>
            <w:r>
              <w:rPr>
                <w:rFonts w:hint="default" w:ascii="Calibri" w:hAnsi="Calibri" w:eastAsia="Calibri" w:cs="Calibri"/>
                <w:color w:val="000000"/>
                <w:sz w:val="22"/>
                <w:szCs w:val="22"/>
                <w:lang w:val="en-GB" w:eastAsia="zh-CN"/>
              </w:rPr>
              <w:t>28 May 2025</w:t>
            </w:r>
          </w:p>
        </w:tc>
        <w:tc>
          <w:tcPr>
            <w:tcW w:w="2943" w:type="dxa"/>
          </w:tcPr>
          <w:p w14:paraId="5384896B">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3</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Protocol and statistical analysis plan</w:t>
            </w:r>
          </w:p>
        </w:tc>
        <w:tc>
          <w:tcPr>
            <w:tcW w:w="992" w:type="dxa"/>
          </w:tcPr>
          <w:p w14:paraId="7510EBBD">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3</w:t>
            </w:r>
          </w:p>
        </w:tc>
        <w:tc>
          <w:tcPr>
            <w:tcW w:w="7830" w:type="dxa"/>
          </w:tcPr>
          <w:p w14:paraId="2530AB9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Registered and publicly available on the Chinese Clinical Trial Registry ; see registration link.</w:t>
            </w:r>
          </w:p>
        </w:tc>
        <w:tc>
          <w:tcPr>
            <w:tcW w:w="2943" w:type="dxa"/>
          </w:tcPr>
          <w:p w14:paraId="628ED577">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3</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Data sharing</w:t>
            </w:r>
          </w:p>
        </w:tc>
        <w:tc>
          <w:tcPr>
            <w:tcW w:w="992" w:type="dxa"/>
          </w:tcPr>
          <w:p w14:paraId="697875C6">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4</w:t>
            </w:r>
          </w:p>
        </w:tc>
        <w:tc>
          <w:tcPr>
            <w:tcW w:w="7830" w:type="dxa"/>
          </w:tcPr>
          <w:p w14:paraId="4D4B1455">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eastAsia="zh-CN"/>
              </w:rPr>
              <w:t xml:space="preserve">The data sets used and/or analyzed during the current study are available from the corresponding author on reasonable request. </w:t>
            </w:r>
          </w:p>
        </w:tc>
        <w:tc>
          <w:tcPr>
            <w:tcW w:w="2943" w:type="dxa"/>
          </w:tcPr>
          <w:p w14:paraId="48E4F70A">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Funding and conflicts of interest</w:t>
            </w:r>
          </w:p>
        </w:tc>
        <w:tc>
          <w:tcPr>
            <w:tcW w:w="992" w:type="dxa"/>
          </w:tcPr>
          <w:p w14:paraId="1B41FA27">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5a</w:t>
            </w:r>
          </w:p>
        </w:tc>
        <w:tc>
          <w:tcPr>
            <w:tcW w:w="7830" w:type="dxa"/>
          </w:tcPr>
          <w:p w14:paraId="35B8CBD8">
            <w:pPr>
              <w:keepNext w:val="0"/>
              <w:keepLines w:val="0"/>
              <w:widowControl/>
              <w:suppressLineNumbers w:val="0"/>
              <w:spacing w:before="0" w:beforeAutospacing="0" w:after="0" w:afterAutospacing="0" w:line="240" w:lineRule="auto"/>
              <w:ind w:left="0" w:right="0"/>
              <w:jc w:val="both"/>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This study is supported by the Guangdong Scientific Research Platform and Projects for the Higher-educational Institution (2023ZDZX2033), the Guangdong Basic and Applied Basic Research Foundation (2023A1515012011, 2024A1515011235), the National Natural Science Foundation of China (32300955), the Guangzhou Science and Technology Planning Project (No. 2023A04J0150), and the Macao Science and Technology Development Fund (Project code: 002/2023/ALC).The funders had no role in study design, conduct, data analysis, or manuscript writing.</w:t>
            </w:r>
          </w:p>
        </w:tc>
        <w:tc>
          <w:tcPr>
            <w:tcW w:w="2943" w:type="dxa"/>
          </w:tcPr>
          <w:p w14:paraId="20B1CBDD">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59C3C9A5">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5b</w:t>
            </w:r>
          </w:p>
        </w:tc>
        <w:tc>
          <w:tcPr>
            <w:tcW w:w="7830" w:type="dxa"/>
          </w:tcPr>
          <w:p w14:paraId="471BB7B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 conflicts of interest</w:t>
            </w:r>
          </w:p>
        </w:tc>
        <w:tc>
          <w:tcPr>
            <w:tcW w:w="2943" w:type="dxa"/>
          </w:tcPr>
          <w:p w14:paraId="2C85AC6B">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369" w:type="dxa"/>
            <w:gridSpan w:val="3"/>
            <w:shd w:val="clear" w:color="auto" w:fill="BDD7EE"/>
          </w:tcPr>
          <w:p w14:paraId="571BFEBF">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Introduction</w:t>
            </w:r>
          </w:p>
        </w:tc>
        <w:tc>
          <w:tcPr>
            <w:tcW w:w="2943" w:type="dxa"/>
            <w:shd w:val="clear" w:color="auto" w:fill="C6D9F0" w:themeFill="text2" w:themeFillTint="33"/>
          </w:tcPr>
          <w:p w14:paraId="32FD8D83">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6</w:t>
            </w:r>
          </w:p>
        </w:tc>
        <w:tc>
          <w:tcPr>
            <w:tcW w:w="7830" w:type="dxa"/>
          </w:tcPr>
          <w:p w14:paraId="18131889">
            <w:pPr>
              <w:keepNext w:val="0"/>
              <w:keepLines w:val="0"/>
              <w:widowControl/>
              <w:suppressLineNumbers w:val="0"/>
              <w:spacing w:before="0" w:beforeAutospacing="0" w:after="0" w:afterAutospacing="0" w:line="240" w:lineRule="auto"/>
              <w:ind w:left="0" w:right="0"/>
              <w:jc w:val="both"/>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Global aging accelerates, with China facing rapid aging and the largest elderly population. Aging impairs physiological and vascular function, elevating cardiovascular disease risk. Although aerobic exercise reduces cardiovascular mortality, middle-aged and older adults show low adherence and insufficient intensity in common activities, requiring effective interventions.</w:t>
            </w:r>
          </w:p>
          <w:p w14:paraId="5A09739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p>
        </w:tc>
        <w:tc>
          <w:tcPr>
            <w:tcW w:w="2943" w:type="dxa"/>
          </w:tcPr>
          <w:p w14:paraId="3333AA56">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4-5</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Objectives</w:t>
            </w:r>
          </w:p>
        </w:tc>
        <w:tc>
          <w:tcPr>
            <w:tcW w:w="992" w:type="dxa"/>
          </w:tcPr>
          <w:p w14:paraId="517F8EAD">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7</w:t>
            </w:r>
          </w:p>
        </w:tc>
        <w:tc>
          <w:tcPr>
            <w:tcW w:w="7830" w:type="dxa"/>
          </w:tcPr>
          <w:p w14:paraId="0AB37298">
            <w:pPr>
              <w:keepNext w:val="0"/>
              <w:keepLines w:val="0"/>
              <w:widowControl/>
              <w:suppressLineNumbers w:val="0"/>
              <w:spacing w:before="0" w:beforeAutospacing="0" w:after="0" w:afterAutospacing="0" w:line="240" w:lineRule="auto"/>
              <w:ind w:left="0" w:right="0"/>
              <w:jc w:val="both"/>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This study aimed to explore the effects and mechanisms of 8</w:t>
            </w:r>
            <w:r>
              <w:rPr>
                <w:rFonts w:hint="default" w:ascii="Calibri" w:hAnsi="Calibri" w:eastAsia="Calibri" w:cs="Calibri"/>
                <w:color w:val="000000"/>
                <w:sz w:val="22"/>
                <w:szCs w:val="22"/>
                <w:lang w:val="en-GB"/>
              </w:rPr>
              <w:noBreakHyphen/>
            </w:r>
            <w:r>
              <w:rPr>
                <w:rFonts w:hint="default" w:ascii="Calibri" w:hAnsi="Calibri" w:eastAsia="Calibri" w:cs="Calibri"/>
                <w:color w:val="000000"/>
                <w:sz w:val="22"/>
                <w:szCs w:val="22"/>
                <w:lang w:val="en-GB"/>
              </w:rPr>
              <w:t>week combined brisk walking and table tennis exercise on cardiovascular function in middle</w:t>
            </w:r>
            <w:r>
              <w:rPr>
                <w:rFonts w:hint="default" w:ascii="Calibri" w:hAnsi="Calibri" w:eastAsia="Calibri" w:cs="Calibri"/>
                <w:color w:val="000000"/>
                <w:sz w:val="22"/>
                <w:szCs w:val="22"/>
                <w:lang w:val="en-GB"/>
              </w:rPr>
              <w:noBreakHyphen/>
            </w:r>
            <w:r>
              <w:rPr>
                <w:rFonts w:hint="default" w:ascii="Calibri" w:hAnsi="Calibri" w:eastAsia="Calibri" w:cs="Calibri"/>
                <w:color w:val="000000"/>
                <w:sz w:val="22"/>
                <w:szCs w:val="22"/>
                <w:lang w:val="en-GB"/>
              </w:rPr>
              <w:t>aged and elderly individuals, and to provide a safe, simple, and habit-forming exercise strategy for their cardiovascular health.</w:t>
            </w:r>
          </w:p>
          <w:p w14:paraId="25916468">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p>
        </w:tc>
        <w:tc>
          <w:tcPr>
            <w:tcW w:w="2943" w:type="dxa"/>
          </w:tcPr>
          <w:p w14:paraId="70B2DB04">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369" w:type="dxa"/>
            <w:gridSpan w:val="3"/>
            <w:shd w:val="clear" w:color="auto" w:fill="BDD7EE"/>
          </w:tcPr>
          <w:p w14:paraId="1C08DDCD">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Methods</w:t>
            </w:r>
          </w:p>
        </w:tc>
        <w:tc>
          <w:tcPr>
            <w:tcW w:w="2943" w:type="dxa"/>
            <w:shd w:val="clear" w:color="auto" w:fill="C6D9F0" w:themeFill="text2" w:themeFillTint="33"/>
          </w:tcPr>
          <w:p w14:paraId="61DDDBB5">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Patient and public involvement</w:t>
            </w:r>
          </w:p>
        </w:tc>
        <w:tc>
          <w:tcPr>
            <w:tcW w:w="992" w:type="dxa"/>
          </w:tcPr>
          <w:p w14:paraId="35C4EF4E">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8</w:t>
            </w:r>
          </w:p>
        </w:tc>
        <w:tc>
          <w:tcPr>
            <w:tcW w:w="7830" w:type="dxa"/>
          </w:tcPr>
          <w:p w14:paraId="5F1D6557">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c>
          <w:tcPr>
            <w:tcW w:w="2943" w:type="dxa"/>
          </w:tcPr>
          <w:p w14:paraId="736CE81D">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Trial design</w:t>
            </w:r>
          </w:p>
        </w:tc>
        <w:tc>
          <w:tcPr>
            <w:tcW w:w="992" w:type="dxa"/>
          </w:tcPr>
          <w:p w14:paraId="72205B94">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9</w:t>
            </w:r>
          </w:p>
        </w:tc>
        <w:tc>
          <w:tcPr>
            <w:tcW w:w="7830" w:type="dxa"/>
          </w:tcPr>
          <w:p w14:paraId="5E662EA8">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Parallel-group design, 1:1 allocation ratio, superiority framework</w:t>
            </w:r>
          </w:p>
        </w:tc>
        <w:tc>
          <w:tcPr>
            <w:tcW w:w="2943" w:type="dxa"/>
          </w:tcPr>
          <w:p w14:paraId="22562F96">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7</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Changes to trial protocol</w:t>
            </w:r>
          </w:p>
        </w:tc>
        <w:tc>
          <w:tcPr>
            <w:tcW w:w="992" w:type="dxa"/>
          </w:tcPr>
          <w:p w14:paraId="784655B6">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10</w:t>
            </w:r>
          </w:p>
        </w:tc>
        <w:tc>
          <w:tcPr>
            <w:tcW w:w="7830" w:type="dxa"/>
          </w:tcPr>
          <w:p w14:paraId="3D532DC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 changes reported</w:t>
            </w:r>
          </w:p>
        </w:tc>
        <w:tc>
          <w:tcPr>
            <w:tcW w:w="2943" w:type="dxa"/>
          </w:tcPr>
          <w:p w14:paraId="58F0C5A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 changes reported</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Trial setting</w:t>
            </w:r>
          </w:p>
        </w:tc>
        <w:tc>
          <w:tcPr>
            <w:tcW w:w="992" w:type="dxa"/>
          </w:tcPr>
          <w:p w14:paraId="4A046B88">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11</w:t>
            </w:r>
          </w:p>
        </w:tc>
        <w:tc>
          <w:tcPr>
            <w:tcW w:w="7830" w:type="dxa"/>
          </w:tcPr>
          <w:p w14:paraId="269E1095">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Guangdong Provincial Key Laboratory of Physical Activity and Health Promotion</w:t>
            </w:r>
          </w:p>
        </w:tc>
        <w:tc>
          <w:tcPr>
            <w:tcW w:w="2943" w:type="dxa"/>
          </w:tcPr>
          <w:p w14:paraId="266DD31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Eligibility criteria</w:t>
            </w:r>
          </w:p>
        </w:tc>
        <w:tc>
          <w:tcPr>
            <w:tcW w:w="992" w:type="dxa"/>
          </w:tcPr>
          <w:p w14:paraId="083D8CAD">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12a</w:t>
            </w:r>
          </w:p>
        </w:tc>
        <w:tc>
          <w:tcPr>
            <w:tcW w:w="7830" w:type="dxa"/>
          </w:tcPr>
          <w:p w14:paraId="3C4A8E88">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default" w:ascii="Calibri" w:hAnsi="Calibri" w:eastAsia="宋体" w:cs="Calibri"/>
                <w:color w:val="000000"/>
                <w:sz w:val="22"/>
                <w:szCs w:val="22"/>
                <w:lang w:val="en-US" w:eastAsia="zh-CN"/>
              </w:rPr>
              <w:t xml:space="preserve">The inclusion criteria were as follows: as per the IPAQ criteria, the group with the lowest physical activity level was identified; systolic blood pressure &lt; 140 mmHg and diastolic blood pressure &lt; 90 mmHg; no self-reported or medical record-documented history of CVD, major surgical procedures, or intrabody foreign objects (e.g., surgical steel nails); and no use of antibiotics or other medications within 3 months prior to the study. Participants were excluded if they withdrew voluntarily from the study or missed more than three consecutive exercise sessions for any reason during the study period. </w:t>
            </w:r>
          </w:p>
        </w:tc>
        <w:tc>
          <w:tcPr>
            <w:tcW w:w="2943" w:type="dxa"/>
          </w:tcPr>
          <w:p w14:paraId="3128EB9A">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6</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329BA27F">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12b</w:t>
            </w:r>
          </w:p>
        </w:tc>
        <w:tc>
          <w:tcPr>
            <w:tcW w:w="7830" w:type="dxa"/>
          </w:tcPr>
          <w:p w14:paraId="17B5A22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Not applicable</w:t>
            </w:r>
          </w:p>
        </w:tc>
        <w:tc>
          <w:tcPr>
            <w:tcW w:w="2943" w:type="dxa"/>
          </w:tcPr>
          <w:p w14:paraId="6D568B99">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default" w:ascii="Calibri" w:hAnsi="Calibri" w:eastAsia="Calibri" w:cs="Calibri"/>
                <w:color w:val="000000"/>
                <w:sz w:val="22"/>
                <w:szCs w:val="22"/>
                <w:lang w:val="en-GB"/>
              </w:rPr>
              <w:t>Not applicable</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Intervention and comparator</w:t>
            </w:r>
          </w:p>
        </w:tc>
        <w:tc>
          <w:tcPr>
            <w:tcW w:w="992" w:type="dxa"/>
          </w:tcPr>
          <w:p w14:paraId="7CCB2186">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13</w:t>
            </w:r>
          </w:p>
        </w:tc>
        <w:tc>
          <w:tcPr>
            <w:tcW w:w="7830" w:type="dxa"/>
          </w:tcPr>
          <w:p w14:paraId="17D21D80">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default" w:ascii="Calibri" w:hAnsi="Calibri" w:eastAsia="宋体" w:cs="Calibri"/>
                <w:color w:val="000000"/>
                <w:sz w:val="22"/>
                <w:szCs w:val="22"/>
                <w:lang w:val="en-US" w:eastAsia="zh-CN"/>
              </w:rPr>
              <w:t>The exercise groups received an 8-week intervention (BW, TT, or BT) with 1 hour per session, 3 times per week</w:t>
            </w:r>
            <w:r>
              <w:rPr>
                <w:rFonts w:hint="eastAsia" w:ascii="Calibri" w:hAnsi="Calibri" w:eastAsia="宋体" w:cs="Calibri"/>
                <w:color w:val="000000"/>
                <w:sz w:val="22"/>
                <w:szCs w:val="22"/>
                <w:lang w:val="en-US" w:eastAsia="zh-CN"/>
              </w:rPr>
              <w:t xml:space="preserve">. </w:t>
            </w:r>
            <w:r>
              <w:rPr>
                <w:rFonts w:hint="default" w:ascii="Calibri" w:hAnsi="Calibri" w:eastAsia="宋体" w:cs="Calibri"/>
                <w:color w:val="000000"/>
                <w:sz w:val="22"/>
                <w:szCs w:val="22"/>
                <w:lang w:val="en-US" w:eastAsia="zh-CN"/>
              </w:rPr>
              <w:t>The intervention protocols were as follows: The BW group began with a 10-minute warm-up, followed by 40 minutes of continuous moderate-pace walking, and ended with a 10-minute gradual speed reduction to return to normal walking</w:t>
            </w:r>
            <w:r>
              <w:rPr>
                <w:rFonts w:hint="eastAsia" w:ascii="Calibri" w:hAnsi="Calibri" w:eastAsia="宋体" w:cs="Calibri"/>
                <w:color w:val="000000"/>
                <w:sz w:val="22"/>
                <w:szCs w:val="22"/>
                <w:lang w:val="en-US" w:eastAsia="zh-CN"/>
              </w:rPr>
              <w:t>. The TT group performed forehand strikes, backhand blocks, and combined footwork exercises; The BT group completed 30 minutes of brisk walking followed by 30 minutes of table tennis. The control group received no intervention and was instructed to maintain their habitual lifestyle.</w:t>
            </w:r>
          </w:p>
        </w:tc>
        <w:tc>
          <w:tcPr>
            <w:tcW w:w="2943" w:type="dxa"/>
          </w:tcPr>
          <w:p w14:paraId="3D06E337">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Outcomes</w:t>
            </w:r>
          </w:p>
        </w:tc>
        <w:tc>
          <w:tcPr>
            <w:tcW w:w="992" w:type="dxa"/>
          </w:tcPr>
          <w:p w14:paraId="1C478860">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14</w:t>
            </w:r>
          </w:p>
          <w:p w14:paraId="7F479C8B">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p>
        </w:tc>
        <w:tc>
          <w:tcPr>
            <w:tcW w:w="7830" w:type="dxa"/>
          </w:tcPr>
          <w:p w14:paraId="794D803F">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Body composition</w:t>
            </w:r>
            <w:r>
              <w:rPr>
                <w:rFonts w:hint="eastAsia" w:ascii="Calibri" w:hAnsi="Calibri" w:eastAsia="宋体" w:cs="Calibri"/>
                <w:color w:val="000000"/>
                <w:sz w:val="22"/>
                <w:szCs w:val="22"/>
                <w:lang w:val="en-US" w:eastAsia="zh-CN"/>
              </w:rPr>
              <w:t xml:space="preserve">, </w:t>
            </w:r>
            <w:r>
              <w:rPr>
                <w:rFonts w:hint="default" w:ascii="Calibri" w:hAnsi="Calibri" w:eastAsia="Calibri" w:cs="Calibri"/>
                <w:color w:val="000000"/>
                <w:sz w:val="22"/>
                <w:szCs w:val="22"/>
                <w:lang w:val="en-GB"/>
              </w:rPr>
              <w:t>Blood pressure</w:t>
            </w:r>
            <w:r>
              <w:rPr>
                <w:rFonts w:hint="eastAsia" w:ascii="Calibri" w:hAnsi="Calibri" w:eastAsia="宋体" w:cs="Calibri"/>
                <w:color w:val="000000"/>
                <w:sz w:val="22"/>
                <w:szCs w:val="22"/>
                <w:lang w:val="en-US" w:eastAsia="zh-CN"/>
              </w:rPr>
              <w:t>, PWV, PWA, HRV, eNOS, VEGF, ICAM-1, VCAM-1, TNF-a, NAD+</w:t>
            </w:r>
          </w:p>
        </w:tc>
        <w:tc>
          <w:tcPr>
            <w:tcW w:w="2943" w:type="dxa"/>
          </w:tcPr>
          <w:p w14:paraId="6FE0043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8-10</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Harms</w:t>
            </w:r>
          </w:p>
        </w:tc>
        <w:tc>
          <w:tcPr>
            <w:tcW w:w="992" w:type="dxa"/>
          </w:tcPr>
          <w:p w14:paraId="1344FFA5">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15</w:t>
            </w:r>
          </w:p>
        </w:tc>
        <w:tc>
          <w:tcPr>
            <w:tcW w:w="7830" w:type="dxa"/>
          </w:tcPr>
          <w:p w14:paraId="591013B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Adverse events (e.g., falls, joint pain, dizziness) were actively monitored during each training session.</w:t>
            </w:r>
          </w:p>
        </w:tc>
        <w:tc>
          <w:tcPr>
            <w:tcW w:w="2943" w:type="dxa"/>
          </w:tcPr>
          <w:p w14:paraId="5D66BF0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Sample size</w:t>
            </w:r>
          </w:p>
        </w:tc>
        <w:tc>
          <w:tcPr>
            <w:tcW w:w="992" w:type="dxa"/>
          </w:tcPr>
          <w:p w14:paraId="3D9FEE9D">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16a</w:t>
            </w:r>
          </w:p>
        </w:tc>
        <w:tc>
          <w:tcPr>
            <w:tcW w:w="7830" w:type="dxa"/>
          </w:tcPr>
          <w:p w14:paraId="402831EC">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T</w:t>
            </w:r>
            <w:r>
              <w:rPr>
                <w:rFonts w:hint="default" w:ascii="Calibri" w:hAnsi="Calibri" w:eastAsia="Calibri" w:cs="Calibri"/>
                <w:color w:val="000000"/>
                <w:sz w:val="22"/>
                <w:szCs w:val="22"/>
                <w:lang w:val="en-GB"/>
              </w:rPr>
              <w:t>he required total sample size was determined to be at least 48 subjects, with an effect size of 0.5, alpha level (α) of 0.05, and statistical power (1-β) of 0.80 for four groups.</w:t>
            </w:r>
          </w:p>
          <w:p w14:paraId="3B91C74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p>
        </w:tc>
        <w:tc>
          <w:tcPr>
            <w:tcW w:w="2943" w:type="dxa"/>
          </w:tcPr>
          <w:p w14:paraId="180AD325">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GB" w:eastAsia="zh-CN"/>
              </w:rPr>
            </w:pPr>
            <w:r>
              <w:rPr>
                <w:rFonts w:hint="eastAsia" w:ascii="Calibri" w:hAnsi="Calibri" w:eastAsia="宋体" w:cs="Calibri"/>
                <w:color w:val="000000"/>
                <w:sz w:val="22"/>
                <w:szCs w:val="22"/>
                <w:lang w:val="en-US" w:eastAsia="zh-CN"/>
              </w:rPr>
              <w:t>7</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5C8443CC">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16b</w:t>
            </w:r>
          </w:p>
        </w:tc>
        <w:tc>
          <w:tcPr>
            <w:tcW w:w="7830" w:type="dxa"/>
          </w:tcPr>
          <w:p w14:paraId="5929DED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Not applicable</w:t>
            </w:r>
          </w:p>
        </w:tc>
        <w:tc>
          <w:tcPr>
            <w:tcW w:w="2943" w:type="dxa"/>
          </w:tcPr>
          <w:p w14:paraId="74EBB045">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Randomisation:</w:t>
            </w:r>
          </w:p>
        </w:tc>
        <w:tc>
          <w:tcPr>
            <w:tcW w:w="992" w:type="dxa"/>
          </w:tcPr>
          <w:p w14:paraId="11796DC7">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 </w:t>
            </w:r>
          </w:p>
        </w:tc>
        <w:tc>
          <w:tcPr>
            <w:tcW w:w="7830" w:type="dxa"/>
          </w:tcPr>
          <w:p w14:paraId="7A75315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 </w:t>
            </w:r>
          </w:p>
        </w:tc>
        <w:tc>
          <w:tcPr>
            <w:tcW w:w="2943" w:type="dxa"/>
          </w:tcPr>
          <w:p w14:paraId="036862A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keepNext w:val="0"/>
              <w:keepLines w:val="0"/>
              <w:widowControl/>
              <w:suppressLineNumbers w:val="0"/>
              <w:spacing w:before="0" w:beforeAutospacing="0" w:after="0" w:afterAutospacing="0" w:line="240" w:lineRule="auto"/>
              <w:ind w:left="113"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Sequence generation</w:t>
            </w:r>
          </w:p>
        </w:tc>
        <w:tc>
          <w:tcPr>
            <w:tcW w:w="992" w:type="dxa"/>
          </w:tcPr>
          <w:p w14:paraId="04D32F8E">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17a</w:t>
            </w:r>
          </w:p>
        </w:tc>
        <w:tc>
          <w:tcPr>
            <w:tcW w:w="7830" w:type="dxa"/>
          </w:tcPr>
          <w:p w14:paraId="210FE2D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Dynamic randomisation was carried out by a third-party investigator (who was not involved in the trial intervention, nor in the collection or analysis of data).</w:t>
            </w:r>
          </w:p>
          <w:p w14:paraId="34D407B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p>
        </w:tc>
        <w:tc>
          <w:tcPr>
            <w:tcW w:w="2943" w:type="dxa"/>
          </w:tcPr>
          <w:p w14:paraId="50468870">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482760AD">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17b</w:t>
            </w:r>
          </w:p>
        </w:tc>
        <w:tc>
          <w:tcPr>
            <w:tcW w:w="7830" w:type="dxa"/>
          </w:tcPr>
          <w:p w14:paraId="29B4B76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Simple randomisation</w:t>
            </w:r>
          </w:p>
        </w:tc>
        <w:tc>
          <w:tcPr>
            <w:tcW w:w="2943" w:type="dxa"/>
          </w:tcPr>
          <w:p w14:paraId="6BFED71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keepNext w:val="0"/>
              <w:keepLines w:val="0"/>
              <w:widowControl/>
              <w:suppressLineNumbers w:val="0"/>
              <w:spacing w:before="0" w:beforeAutospacing="0" w:after="0" w:afterAutospacing="0" w:line="240" w:lineRule="auto"/>
              <w:ind w:left="113"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Allocation concealment mechanism</w:t>
            </w:r>
          </w:p>
        </w:tc>
        <w:tc>
          <w:tcPr>
            <w:tcW w:w="992" w:type="dxa"/>
          </w:tcPr>
          <w:p w14:paraId="4B77DA41">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18</w:t>
            </w:r>
          </w:p>
        </w:tc>
        <w:tc>
          <w:tcPr>
            <w:tcW w:w="7830" w:type="dxa"/>
          </w:tcPr>
          <w:p w14:paraId="4FFCCFAC">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The generated randomised allocation sequence is placed in sequentially numbered, sealed, opaque envelopes. Once the researchers have determined the eligibility of the participants, they open the envelopes in sequence and allocate the participants to the appropriate trial groups.</w:t>
            </w:r>
          </w:p>
        </w:tc>
        <w:tc>
          <w:tcPr>
            <w:tcW w:w="2943" w:type="dxa"/>
          </w:tcPr>
          <w:p w14:paraId="61EC8B0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described</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keepNext w:val="0"/>
              <w:keepLines w:val="0"/>
              <w:widowControl/>
              <w:suppressLineNumbers w:val="0"/>
              <w:spacing w:before="0" w:beforeAutospacing="0" w:after="0" w:afterAutospacing="0" w:line="240" w:lineRule="auto"/>
              <w:ind w:left="113"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Implementation</w:t>
            </w:r>
          </w:p>
        </w:tc>
        <w:tc>
          <w:tcPr>
            <w:tcW w:w="992" w:type="dxa"/>
          </w:tcPr>
          <w:p w14:paraId="6FD9CBB1">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19</w:t>
            </w:r>
          </w:p>
        </w:tc>
        <w:tc>
          <w:tcPr>
            <w:tcW w:w="7830" w:type="dxa"/>
          </w:tcPr>
          <w:p w14:paraId="11684608">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default" w:ascii="Calibri" w:hAnsi="Calibri" w:eastAsia="Calibri" w:cs="Calibri"/>
                <w:color w:val="000000"/>
                <w:sz w:val="22"/>
                <w:szCs w:val="22"/>
                <w:lang w:val="en-GB"/>
              </w:rPr>
              <w:t>The recruiter and the allocator are separate and do not view the random sequenc</w:t>
            </w:r>
            <w:r>
              <w:rPr>
                <w:rFonts w:hint="eastAsia" w:ascii="Calibri" w:hAnsi="Calibri" w:eastAsia="宋体" w:cs="Calibri"/>
                <w:color w:val="000000"/>
                <w:sz w:val="22"/>
                <w:szCs w:val="22"/>
                <w:lang w:val="en-US" w:eastAsia="zh-CN"/>
              </w:rPr>
              <w:t>e.</w:t>
            </w:r>
          </w:p>
        </w:tc>
        <w:tc>
          <w:tcPr>
            <w:tcW w:w="2943" w:type="dxa"/>
          </w:tcPr>
          <w:p w14:paraId="6554DB1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described</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Blinding</w:t>
            </w:r>
          </w:p>
        </w:tc>
        <w:tc>
          <w:tcPr>
            <w:tcW w:w="992" w:type="dxa"/>
          </w:tcPr>
          <w:p w14:paraId="6C796451">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20a</w:t>
            </w:r>
          </w:p>
        </w:tc>
        <w:tc>
          <w:tcPr>
            <w:tcW w:w="7830" w:type="dxa"/>
          </w:tcPr>
          <w:p w14:paraId="080A780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Single-blind (assignment concealed from participants), assignment concealed from assessors</w:t>
            </w:r>
            <w:r>
              <w:rPr>
                <w:rFonts w:hint="eastAsia" w:ascii="Calibri" w:hAnsi="Calibri" w:eastAsia="宋体" w:cs="Calibri"/>
                <w:color w:val="000000"/>
                <w:sz w:val="22"/>
                <w:szCs w:val="22"/>
                <w:lang w:val="en-US" w:eastAsia="zh-CN"/>
              </w:rPr>
              <w:t>.</w:t>
            </w:r>
            <w:r>
              <w:rPr>
                <w:rFonts w:hint="default" w:ascii="Calibri" w:hAnsi="Calibri" w:eastAsia="Calibri" w:cs="Calibri"/>
                <w:color w:val="000000"/>
                <w:sz w:val="22"/>
                <w:szCs w:val="22"/>
                <w:lang w:val="en-GB"/>
              </w:rPr>
              <w:t xml:space="preserve"> </w:t>
            </w:r>
          </w:p>
        </w:tc>
        <w:tc>
          <w:tcPr>
            <w:tcW w:w="2943" w:type="dxa"/>
          </w:tcPr>
          <w:p w14:paraId="5326CB7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described</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6207EAC2">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20b</w:t>
            </w:r>
          </w:p>
        </w:tc>
        <w:tc>
          <w:tcPr>
            <w:tcW w:w="7830" w:type="dxa"/>
          </w:tcPr>
          <w:p w14:paraId="64C5F50F">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US" w:eastAsia="zh-CN"/>
              </w:rPr>
            </w:pPr>
            <w:r>
              <w:rPr>
                <w:rFonts w:hint="default" w:ascii="Calibri" w:hAnsi="Calibri" w:eastAsia="Calibri" w:cs="Calibri"/>
                <w:color w:val="000000"/>
                <w:sz w:val="22"/>
                <w:szCs w:val="22"/>
                <w:lang w:val="en-GB"/>
              </w:rPr>
              <w:t>It is difficult to achieve complete blinding for both participants and practitioners in exercise interventions</w:t>
            </w:r>
            <w:r>
              <w:rPr>
                <w:rFonts w:hint="eastAsia" w:ascii="Calibri" w:hAnsi="Calibri" w:eastAsia="宋体" w:cs="Calibri"/>
                <w:color w:val="000000"/>
                <w:sz w:val="22"/>
                <w:szCs w:val="22"/>
                <w:lang w:val="en-US" w:eastAsia="zh-CN"/>
              </w:rPr>
              <w:t>.</w:t>
            </w:r>
          </w:p>
        </w:tc>
        <w:tc>
          <w:tcPr>
            <w:tcW w:w="2943" w:type="dxa"/>
          </w:tcPr>
          <w:p w14:paraId="795AB5B0">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Statistical methods</w:t>
            </w:r>
          </w:p>
        </w:tc>
        <w:tc>
          <w:tcPr>
            <w:tcW w:w="992" w:type="dxa"/>
          </w:tcPr>
          <w:p w14:paraId="51D15D6E">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21a</w:t>
            </w:r>
          </w:p>
        </w:tc>
        <w:tc>
          <w:tcPr>
            <w:tcW w:w="7830" w:type="dxa"/>
          </w:tcPr>
          <w:p w14:paraId="67FA2D0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ANOVA with Bonferroni analysis was performed to assess the differences between three or more groups.</w:t>
            </w:r>
          </w:p>
        </w:tc>
        <w:tc>
          <w:tcPr>
            <w:tcW w:w="2943" w:type="dxa"/>
            <w:shd w:val="clear" w:color="auto" w:fill="auto"/>
            <w:vAlign w:val="top"/>
          </w:tcPr>
          <w:p w14:paraId="1C79083E">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37BA8421">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21b</w:t>
            </w:r>
          </w:p>
        </w:tc>
        <w:tc>
          <w:tcPr>
            <w:tcW w:w="7830" w:type="dxa"/>
          </w:tcPr>
          <w:p w14:paraId="096BC753">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US" w:eastAsia="zh-CN"/>
              </w:rPr>
            </w:pPr>
            <w:r>
              <w:rPr>
                <w:rFonts w:hint="default" w:ascii="Calibri" w:hAnsi="Calibri" w:eastAsia="Calibri" w:cs="Calibri"/>
                <w:color w:val="000000"/>
                <w:sz w:val="22"/>
                <w:szCs w:val="22"/>
                <w:lang w:val="en-GB"/>
              </w:rPr>
              <w:t>Intent-to-treat analysis: all randomised subjects</w:t>
            </w:r>
            <w:r>
              <w:rPr>
                <w:rFonts w:hint="eastAsia" w:ascii="Calibri" w:hAnsi="Calibri" w:eastAsia="宋体" w:cs="Calibri"/>
                <w:color w:val="000000"/>
                <w:sz w:val="22"/>
                <w:szCs w:val="22"/>
                <w:lang w:val="en-US" w:eastAsia="zh-CN"/>
              </w:rPr>
              <w:t>.</w:t>
            </w:r>
          </w:p>
        </w:tc>
        <w:tc>
          <w:tcPr>
            <w:tcW w:w="2943" w:type="dxa"/>
            <w:shd w:val="clear" w:color="auto" w:fill="auto"/>
            <w:vAlign w:val="top"/>
          </w:tcPr>
          <w:p w14:paraId="6622E35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eastAsia="en-GB" w:bidi="ar-SA"/>
              </w:rPr>
            </w:pPr>
            <w:r>
              <w:rPr>
                <w:rFonts w:hint="eastAsia" w:ascii="Calibri" w:hAnsi="Calibri" w:eastAsia="Calibri" w:cs="Calibri"/>
                <w:color w:val="000000"/>
                <w:sz w:val="22"/>
                <w:szCs w:val="22"/>
                <w:lang w:val="en-GB"/>
              </w:rPr>
              <w:t>Not described</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08B0EF05">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21c</w:t>
            </w:r>
          </w:p>
        </w:tc>
        <w:tc>
          <w:tcPr>
            <w:tcW w:w="7830" w:type="dxa"/>
          </w:tcPr>
          <w:p w14:paraId="06CE57A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c>
          <w:tcPr>
            <w:tcW w:w="2943" w:type="dxa"/>
          </w:tcPr>
          <w:p w14:paraId="295B560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1018E21C">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21d</w:t>
            </w:r>
          </w:p>
        </w:tc>
        <w:tc>
          <w:tcPr>
            <w:tcW w:w="7830" w:type="dxa"/>
          </w:tcPr>
          <w:p w14:paraId="25A70C8A">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US" w:eastAsia="zh-CN"/>
              </w:rPr>
            </w:pPr>
            <w:r>
              <w:rPr>
                <w:rFonts w:hint="eastAsia" w:ascii="Calibri" w:hAnsi="Calibri" w:eastAsia="Calibri" w:cs="Calibri"/>
                <w:color w:val="000000"/>
                <w:sz w:val="22"/>
                <w:szCs w:val="22"/>
                <w:lang w:val="en-GB"/>
              </w:rPr>
              <w:t>No subgroup/sensitivity analyses</w:t>
            </w:r>
            <w:r>
              <w:rPr>
                <w:rFonts w:hint="eastAsia" w:ascii="Calibri" w:hAnsi="Calibri" w:eastAsia="宋体" w:cs="Calibri"/>
                <w:color w:val="000000"/>
                <w:sz w:val="22"/>
                <w:szCs w:val="22"/>
                <w:lang w:val="en-US" w:eastAsia="zh-CN"/>
              </w:rPr>
              <w:t>.</w:t>
            </w:r>
          </w:p>
        </w:tc>
        <w:tc>
          <w:tcPr>
            <w:tcW w:w="2943" w:type="dxa"/>
          </w:tcPr>
          <w:p w14:paraId="710D1F83">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369" w:type="dxa"/>
            <w:gridSpan w:val="3"/>
            <w:shd w:val="clear" w:color="auto" w:fill="BDD7EE"/>
            <w:vAlign w:val="bottom"/>
          </w:tcPr>
          <w:p w14:paraId="42D9F967">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Results</w:t>
            </w:r>
          </w:p>
        </w:tc>
        <w:tc>
          <w:tcPr>
            <w:tcW w:w="2943" w:type="dxa"/>
            <w:shd w:val="clear" w:color="auto" w:fill="C6D9F0" w:themeFill="text2" w:themeFillTint="33"/>
          </w:tcPr>
          <w:p w14:paraId="6166F990">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Participant flow, including flow diagram</w:t>
            </w:r>
          </w:p>
        </w:tc>
        <w:tc>
          <w:tcPr>
            <w:tcW w:w="992" w:type="dxa"/>
          </w:tcPr>
          <w:p w14:paraId="6A3D7D97">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22a</w:t>
            </w:r>
          </w:p>
        </w:tc>
        <w:tc>
          <w:tcPr>
            <w:tcW w:w="7830" w:type="dxa"/>
          </w:tcPr>
          <w:p w14:paraId="5407FA0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48</w:t>
            </w:r>
            <w:r>
              <w:rPr>
                <w:rFonts w:hint="eastAsia" w:ascii="Calibri" w:hAnsi="Calibri" w:eastAsia="Calibri" w:cs="Calibri"/>
                <w:color w:val="000000"/>
                <w:sz w:val="22"/>
                <w:szCs w:val="22"/>
                <w:lang w:val="en-GB"/>
              </w:rPr>
              <w:t xml:space="preserve"> vs </w:t>
            </w:r>
            <w:r>
              <w:rPr>
                <w:rFonts w:hint="eastAsia" w:ascii="Calibri" w:hAnsi="Calibri" w:eastAsia="宋体" w:cs="Calibri"/>
                <w:color w:val="000000"/>
                <w:sz w:val="22"/>
                <w:szCs w:val="22"/>
                <w:lang w:val="en-US" w:eastAsia="zh-CN"/>
              </w:rPr>
              <w:t>48</w:t>
            </w:r>
            <w:r>
              <w:rPr>
                <w:rFonts w:hint="eastAsia" w:ascii="Calibri" w:hAnsi="Calibri" w:eastAsia="Calibri" w:cs="Calibri"/>
                <w:color w:val="000000"/>
                <w:sz w:val="22"/>
                <w:szCs w:val="22"/>
                <w:lang w:val="en-GB"/>
              </w:rPr>
              <w:t xml:space="preserve"> randomised; all analysed</w:t>
            </w:r>
          </w:p>
        </w:tc>
        <w:tc>
          <w:tcPr>
            <w:tcW w:w="2943" w:type="dxa"/>
          </w:tcPr>
          <w:p w14:paraId="5DEF8ECA">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7EC31A7F">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22b</w:t>
            </w:r>
          </w:p>
        </w:tc>
        <w:tc>
          <w:tcPr>
            <w:tcW w:w="7830" w:type="dxa"/>
          </w:tcPr>
          <w:p w14:paraId="1DDC84FB">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 losses or exclusions</w:t>
            </w:r>
          </w:p>
        </w:tc>
        <w:tc>
          <w:tcPr>
            <w:tcW w:w="2943" w:type="dxa"/>
          </w:tcPr>
          <w:p w14:paraId="71AA61D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Recruitment</w:t>
            </w:r>
          </w:p>
        </w:tc>
        <w:tc>
          <w:tcPr>
            <w:tcW w:w="992" w:type="dxa"/>
          </w:tcPr>
          <w:p w14:paraId="575F7DFB">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23a</w:t>
            </w:r>
          </w:p>
        </w:tc>
        <w:tc>
          <w:tcPr>
            <w:tcW w:w="7830" w:type="dxa"/>
          </w:tcPr>
          <w:p w14:paraId="369C17E9">
            <w:pPr>
              <w:keepNext w:val="0"/>
              <w:keepLines w:val="0"/>
              <w:widowControl/>
              <w:suppressLineNumbers w:val="0"/>
              <w:spacing w:before="0" w:beforeAutospacing="0" w:after="0" w:afterAutospacing="0" w:line="240" w:lineRule="auto"/>
              <w:ind w:left="0" w:right="0"/>
              <w:rPr>
                <w:rFonts w:hint="eastAsia" w:ascii="Calibri" w:hAnsi="Calibri" w:eastAsia="宋体" w:cs="Calibri"/>
                <w:color w:val="000000"/>
                <w:sz w:val="22"/>
                <w:szCs w:val="22"/>
                <w:lang w:val="en-US" w:eastAsia="zh-CN"/>
              </w:rPr>
            </w:pPr>
            <w:r>
              <w:rPr>
                <w:rFonts w:hint="default" w:ascii="Calibri" w:hAnsi="Calibri" w:eastAsia="Calibri" w:cs="Calibri"/>
                <w:color w:val="000000"/>
                <w:sz w:val="22"/>
                <w:szCs w:val="22"/>
                <w:lang w:val="en-GB"/>
              </w:rPr>
              <w:t>Recruitment period</w:t>
            </w:r>
            <w:r>
              <w:rPr>
                <w:rFonts w:hint="eastAsia" w:ascii="Calibri" w:hAnsi="Calibri" w:eastAsia="宋体" w:cs="Calibri"/>
                <w:color w:val="000000"/>
                <w:sz w:val="22"/>
                <w:szCs w:val="22"/>
                <w:lang w:val="en-GB" w:eastAsia="zh-CN"/>
              </w:rPr>
              <w:t>：</w:t>
            </w:r>
            <w:r>
              <w:rPr>
                <w:rFonts w:hint="default" w:ascii="Calibri" w:hAnsi="Calibri" w:eastAsia="Calibri" w:cs="Calibri"/>
                <w:color w:val="000000"/>
                <w:sz w:val="22"/>
                <w:szCs w:val="22"/>
                <w:lang w:val="en-GB"/>
              </w:rPr>
              <w:t>2024-10-27 - 2024-10-31</w:t>
            </w:r>
            <w:r>
              <w:rPr>
                <w:rFonts w:hint="eastAsia" w:ascii="Calibri" w:hAnsi="Calibri" w:eastAsia="宋体" w:cs="Calibri"/>
                <w:color w:val="000000"/>
                <w:sz w:val="22"/>
                <w:szCs w:val="22"/>
                <w:lang w:val="en-US" w:eastAsia="zh-CN"/>
              </w:rPr>
              <w:t>. Follow-up period</w:t>
            </w:r>
          </w:p>
          <w:p w14:paraId="0570F754">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default" w:ascii="Calibri" w:hAnsi="Calibri" w:eastAsia="宋体" w:cs="Calibri"/>
                <w:color w:val="000000"/>
                <w:sz w:val="22"/>
                <w:szCs w:val="22"/>
                <w:lang w:val="en-US" w:eastAsia="zh-CN"/>
              </w:rPr>
              <w:t>2024-</w:t>
            </w:r>
            <w:r>
              <w:rPr>
                <w:rFonts w:hint="eastAsia" w:ascii="Calibri" w:hAnsi="Calibri" w:eastAsia="宋体" w:cs="Calibri"/>
                <w:color w:val="000000"/>
                <w:sz w:val="22"/>
                <w:szCs w:val="22"/>
                <w:lang w:val="en-US" w:eastAsia="zh-CN"/>
              </w:rPr>
              <w:t>11-03</w:t>
            </w:r>
            <w:r>
              <w:rPr>
                <w:rFonts w:hint="default" w:ascii="Calibri" w:hAnsi="Calibri" w:eastAsia="宋体" w:cs="Calibri"/>
                <w:color w:val="000000"/>
                <w:sz w:val="22"/>
                <w:szCs w:val="22"/>
                <w:lang w:val="en-US" w:eastAsia="zh-CN"/>
              </w:rPr>
              <w:t xml:space="preserve"> - 2025-01-19</w:t>
            </w:r>
          </w:p>
        </w:tc>
        <w:tc>
          <w:tcPr>
            <w:tcW w:w="2943" w:type="dxa"/>
          </w:tcPr>
          <w:p w14:paraId="0798090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0F0DBAC8">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23b</w:t>
            </w:r>
          </w:p>
        </w:tc>
        <w:tc>
          <w:tcPr>
            <w:tcW w:w="7830" w:type="dxa"/>
          </w:tcPr>
          <w:p w14:paraId="1CC3415B">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Completed as planned</w:t>
            </w:r>
          </w:p>
        </w:tc>
        <w:tc>
          <w:tcPr>
            <w:tcW w:w="2943" w:type="dxa"/>
          </w:tcPr>
          <w:p w14:paraId="105B15A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Intervention and comparator delivery</w:t>
            </w:r>
          </w:p>
        </w:tc>
        <w:tc>
          <w:tcPr>
            <w:tcW w:w="992" w:type="dxa"/>
          </w:tcPr>
          <w:p w14:paraId="4A5F7AFC">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24a</w:t>
            </w:r>
          </w:p>
        </w:tc>
        <w:tc>
          <w:tcPr>
            <w:tcW w:w="7830" w:type="dxa"/>
          </w:tcPr>
          <w:p w14:paraId="2F7F5DD9">
            <w:pPr>
              <w:keepNext w:val="0"/>
              <w:keepLines w:val="0"/>
              <w:widowControl/>
              <w:suppressLineNumbers w:val="0"/>
              <w:spacing w:before="0" w:beforeAutospacing="0" w:after="0" w:afterAutospacing="0" w:line="240" w:lineRule="auto"/>
              <w:ind w:left="0" w:right="0"/>
              <w:rPr>
                <w:rFonts w:hint="eastAsia" w:ascii="Calibri" w:hAnsi="Calibri" w:eastAsia="Calibri" w:cs="Calibri"/>
                <w:color w:val="000000"/>
                <w:sz w:val="22"/>
                <w:szCs w:val="22"/>
                <w:lang w:val="en-GB"/>
              </w:rPr>
            </w:pPr>
            <w:r>
              <w:rPr>
                <w:rFonts w:hint="eastAsia" w:ascii="Calibri" w:hAnsi="Calibri" w:eastAsia="Calibri" w:cs="Calibri"/>
                <w:color w:val="000000"/>
                <w:sz w:val="22"/>
                <w:szCs w:val="22"/>
                <w:lang w:val="en-GB"/>
              </w:rPr>
              <w:t>Administered as planned; good compliance</w:t>
            </w:r>
          </w:p>
        </w:tc>
        <w:tc>
          <w:tcPr>
            <w:tcW w:w="2943" w:type="dxa"/>
          </w:tcPr>
          <w:p w14:paraId="571298A0">
            <w:pPr>
              <w:keepNext w:val="0"/>
              <w:keepLines w:val="0"/>
              <w:widowControl/>
              <w:suppressLineNumbers w:val="0"/>
              <w:spacing w:before="0" w:beforeAutospacing="0" w:after="0" w:afterAutospacing="0" w:line="240" w:lineRule="auto"/>
              <w:ind w:left="0" w:right="0"/>
              <w:rPr>
                <w:rFonts w:hint="eastAsia"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6" w:lineRule="auto"/>
              <w:ind w:left="0" w:right="0"/>
              <w:rPr>
                <w:rFonts w:hint="default" w:ascii="Calibri" w:hAnsi="Calibri" w:eastAsia="Calibri" w:cs="Calibri"/>
                <w:color w:val="000000"/>
                <w:sz w:val="22"/>
                <w:szCs w:val="22"/>
                <w:lang w:val="en-GB"/>
              </w:rPr>
            </w:pPr>
          </w:p>
        </w:tc>
        <w:tc>
          <w:tcPr>
            <w:tcW w:w="992" w:type="dxa"/>
          </w:tcPr>
          <w:p w14:paraId="14C2CFE4">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24b</w:t>
            </w:r>
          </w:p>
        </w:tc>
        <w:tc>
          <w:tcPr>
            <w:tcW w:w="7830" w:type="dxa"/>
          </w:tcPr>
          <w:p w14:paraId="10AE211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Administered as planned; good compliance</w:t>
            </w:r>
          </w:p>
        </w:tc>
        <w:tc>
          <w:tcPr>
            <w:tcW w:w="2943" w:type="dxa"/>
          </w:tcPr>
          <w:p w14:paraId="0A4B9B4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Baseline data</w:t>
            </w:r>
          </w:p>
        </w:tc>
        <w:tc>
          <w:tcPr>
            <w:tcW w:w="992" w:type="dxa"/>
          </w:tcPr>
          <w:p w14:paraId="4A489CE9">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25</w:t>
            </w:r>
          </w:p>
        </w:tc>
        <w:tc>
          <w:tcPr>
            <w:tcW w:w="7830" w:type="dxa"/>
          </w:tcPr>
          <w:p w14:paraId="5EB86B3D">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Baseline table provided</w:t>
            </w:r>
          </w:p>
        </w:tc>
        <w:tc>
          <w:tcPr>
            <w:tcW w:w="2943" w:type="dxa"/>
          </w:tcPr>
          <w:p w14:paraId="01C9A6AC">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39-40</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 xml:space="preserve">Numbers analysed, </w:t>
            </w:r>
          </w:p>
          <w:p w14:paraId="66FE5FD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outcomes and estimation</w:t>
            </w:r>
          </w:p>
        </w:tc>
        <w:tc>
          <w:tcPr>
            <w:tcW w:w="992" w:type="dxa"/>
          </w:tcPr>
          <w:p w14:paraId="47AF241A">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26</w:t>
            </w:r>
          </w:p>
        </w:tc>
        <w:tc>
          <w:tcPr>
            <w:tcW w:w="7830" w:type="dxa"/>
          </w:tcPr>
          <w:p w14:paraId="691A60A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Calibri" w:hAnsi="Calibri" w:cs="Calibri"/>
              </w:rPr>
            </w:pPr>
            <w:r>
              <w:rPr>
                <w:rFonts w:hint="default" w:ascii="Calibri" w:hAnsi="Calibri" w:cs="Calibri"/>
              </w:rPr>
              <w:t>For all outcomes, the analysis population consisted of all 4</w:t>
            </w:r>
            <w:r>
              <w:rPr>
                <w:rFonts w:hint="default" w:ascii="Calibri" w:hAnsi="Calibri" w:cs="Calibri"/>
                <w:lang w:val="en-US" w:eastAsia="zh-CN"/>
              </w:rPr>
              <w:t>7</w:t>
            </w:r>
            <w:r>
              <w:rPr>
                <w:rFonts w:hint="default" w:ascii="Calibri" w:hAnsi="Calibri" w:cs="Calibri"/>
              </w:rPr>
              <w:t xml:space="preserve"> study participants who completed the 8-week intervention and had valid data at both baseline and the post-intervention assessment time point.</w:t>
            </w:r>
          </w:p>
          <w:p w14:paraId="4E1E9044">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Calibri" w:hAnsi="Calibri" w:cs="Calibri"/>
              </w:rPr>
            </w:pPr>
            <w:r>
              <w:rPr>
                <w:rFonts w:hint="default" w:ascii="Calibri" w:hAnsi="Calibri" w:cs="Calibri"/>
              </w:rPr>
              <w:t>Numbers of participants with valid data at the outcome assessment time pointAt the post-intervention (8-week) assessment, valid data were obtained from all participants in the control, BW, TT, and BT groups for the cardiovascular disease (CVD) risk Z-score, as well as for including body composition, arterial stiffness, heart rate variability, and plasma biomarkers.</w:t>
            </w:r>
          </w:p>
          <w:p w14:paraId="1DA7635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Calibri" w:hAnsi="Calibri" w:cs="Calibri"/>
              </w:rPr>
            </w:pPr>
            <w:r>
              <w:rPr>
                <w:rFonts w:hint="default" w:ascii="Calibri" w:hAnsi="Calibri" w:cs="Calibri"/>
              </w:rPr>
              <w:t>composite CVD risk Z-score:</w:t>
            </w:r>
          </w:p>
          <w:p w14:paraId="59FFE1B4">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Calibri" w:hAnsi="Calibri" w:cs="Calibri"/>
              </w:rPr>
            </w:pPr>
            <w:r>
              <w:rPr>
                <w:rFonts w:hint="default" w:ascii="Calibri" w:hAnsi="Calibri" w:cs="Calibri"/>
              </w:rPr>
              <w:t>Compared with the control group, all three exercise groups showed significant reductions in the composite CVD risk Z-score at week 8:</w:t>
            </w:r>
          </w:p>
          <w:p w14:paraId="1E937759">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Calibri" w:hAnsi="Calibri" w:cs="Calibri"/>
              </w:rPr>
            </w:pPr>
            <w:r>
              <w:rPr>
                <w:rFonts w:hint="default" w:ascii="Calibri" w:hAnsi="Calibri" w:cs="Calibri"/>
              </w:rPr>
              <w:t>BW vs. Control: adjusted mean difference = -0.75, 95% CI (-1.11 to -0.40), P &lt; 0.001</w:t>
            </w:r>
            <w:r>
              <w:rPr>
                <w:rFonts w:hint="eastAsia" w:ascii="Calibri" w:hAnsi="Calibri" w:eastAsia="宋体" w:cs="Calibri"/>
                <w:lang w:val="en-US" w:eastAsia="zh-CN"/>
              </w:rPr>
              <w:t>.</w:t>
            </w:r>
            <w:r>
              <w:rPr>
                <w:rFonts w:hint="default" w:ascii="Calibri" w:hAnsi="Calibri" w:cs="Calibri"/>
              </w:rPr>
              <w:t>TT vs. Control: adjusted mean difference = -0.65, 95% CI (-0.98 to -0.27), P &lt; 0.001</w:t>
            </w:r>
            <w:r>
              <w:rPr>
                <w:rFonts w:hint="eastAsia" w:ascii="Calibri" w:hAnsi="Calibri" w:eastAsia="宋体" w:cs="Calibri"/>
                <w:lang w:val="en-US" w:eastAsia="zh-CN"/>
              </w:rPr>
              <w:t xml:space="preserve">. </w:t>
            </w:r>
            <w:r>
              <w:rPr>
                <w:rFonts w:hint="default" w:ascii="Calibri" w:hAnsi="Calibri" w:cs="Calibri"/>
              </w:rPr>
              <w:t>BT vs. Control: adjusted mean difference = -0.81, 95% CI (-1.17 to -0.45), P &lt; 0.001</w:t>
            </w:r>
            <w:r>
              <w:rPr>
                <w:rFonts w:hint="eastAsia" w:ascii="Calibri" w:hAnsi="Calibri" w:eastAsia="宋体" w:cs="Calibri"/>
                <w:lang w:val="en-US" w:eastAsia="zh-CN"/>
              </w:rPr>
              <w:t>.</w:t>
            </w:r>
            <w:r>
              <w:rPr>
                <w:rFonts w:hint="default" w:ascii="Calibri" w:hAnsi="Calibri" w:cs="Calibri"/>
              </w:rPr>
              <w:t>No statistically significant differences were observed among the three exercise modalities.</w:t>
            </w:r>
          </w:p>
          <w:p w14:paraId="7130F7F1">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color w:val="000000"/>
                <w:sz w:val="22"/>
                <w:szCs w:val="22"/>
                <w:lang w:val="en-GB"/>
              </w:rPr>
            </w:pPr>
            <w:r>
              <w:rPr>
                <w:rFonts w:hint="default" w:ascii="Calibri" w:hAnsi="Calibri" w:cs="Calibri"/>
              </w:rPr>
              <w:t>Body composition: No significant between-group differences were found for body weight, BMI, fat mass, fat mass percentage, or fat-free mass. The BT group showed significant increases in inorganic salt content and muscle mass, while both TT and BT groups showed a non-significant trend toward increased water content.Arterial stiffness and vascular parameters: All three exercise groups had significant reductions in SBP and CSBP compared with controls, with the largest reduction observed in the BT group. Only the BT group showed a significant reduction in CDBP. No significant changes in DBP were observed.The TT group significantly downregulated baPWV-R and improved SEVR, while both BW and BT groups reduced cfPWV (with a stronger trend in BW). The BT group reduced AIx, and both TT and BT groups reduced AIx@75. FMD was significantly elevated in TT and BT groups. No changes in ABI-L or ABI-R were seen in any group.Heart rate variability: Only the BT group significantly reduced HR and increased PNN50 and SDNN. The TT and BT groups showed elevated HF in frequency-domain analysis, while all three exercise groups had reduced TP. No changes in RMSSD, NN50, LF, or LF/HF were observed.Plasma biomarkers: The BT group uniquely upregulated eNOS, VEGF, and NAD⁺, and downregulated ICAM-1 and VCAM-1. No exercise modality significantly affected TNF-α levels.Binary outcomesNo binary outcome measures were included in this study. All analyses were based on continuous variables, reported as adjusted mean differences with 95% confidence intervals and corresponding P-values.</w:t>
            </w:r>
          </w:p>
        </w:tc>
        <w:tc>
          <w:tcPr>
            <w:tcW w:w="2943" w:type="dxa"/>
          </w:tcPr>
          <w:p w14:paraId="50DA64D5">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12-15</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Harms</w:t>
            </w:r>
          </w:p>
        </w:tc>
        <w:tc>
          <w:tcPr>
            <w:tcW w:w="992" w:type="dxa"/>
          </w:tcPr>
          <w:p w14:paraId="6CC8A508">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27</w:t>
            </w:r>
          </w:p>
        </w:tc>
        <w:tc>
          <w:tcPr>
            <w:tcW w:w="7830" w:type="dxa"/>
          </w:tcPr>
          <w:p w14:paraId="687024A2">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 adverse events reported</w:t>
            </w:r>
            <w:r>
              <w:rPr>
                <w:rFonts w:hint="default" w:ascii="Calibri" w:hAnsi="Calibri" w:eastAsia="Calibri" w:cs="Calibri"/>
                <w:color w:val="000000"/>
                <w:sz w:val="22"/>
                <w:szCs w:val="22"/>
                <w:lang w:val="en-GB"/>
              </w:rPr>
              <w:t xml:space="preserve"> </w:t>
            </w:r>
          </w:p>
        </w:tc>
        <w:tc>
          <w:tcPr>
            <w:tcW w:w="2943" w:type="dxa"/>
          </w:tcPr>
          <w:p w14:paraId="72B82CF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Ancillary analyses</w:t>
            </w:r>
          </w:p>
        </w:tc>
        <w:tc>
          <w:tcPr>
            <w:tcW w:w="992" w:type="dxa"/>
          </w:tcPr>
          <w:p w14:paraId="034AD55A">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28</w:t>
            </w:r>
          </w:p>
        </w:tc>
        <w:tc>
          <w:tcPr>
            <w:tcW w:w="7830" w:type="dxa"/>
          </w:tcPr>
          <w:p w14:paraId="68E7918B">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None</w:t>
            </w:r>
          </w:p>
        </w:tc>
        <w:tc>
          <w:tcPr>
            <w:tcW w:w="2943" w:type="dxa"/>
          </w:tcPr>
          <w:p w14:paraId="3457C6CE">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369" w:type="dxa"/>
            <w:gridSpan w:val="3"/>
            <w:shd w:val="clear" w:color="auto" w:fill="BDD7EE"/>
          </w:tcPr>
          <w:p w14:paraId="7D072CE0">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r>
              <w:rPr>
                <w:rFonts w:hint="default" w:ascii="Calibri" w:hAnsi="Calibri" w:eastAsia="Calibri" w:cs="Calibri"/>
                <w:b/>
                <w:color w:val="000000"/>
                <w:sz w:val="22"/>
                <w:szCs w:val="22"/>
                <w:lang w:val="en-GB"/>
              </w:rPr>
              <w:t>Discussion</w:t>
            </w:r>
          </w:p>
        </w:tc>
        <w:tc>
          <w:tcPr>
            <w:tcW w:w="2943" w:type="dxa"/>
            <w:shd w:val="clear" w:color="auto" w:fill="C6D9F0" w:themeFill="text2" w:themeFillTint="33"/>
          </w:tcPr>
          <w:p w14:paraId="13D65609">
            <w:pPr>
              <w:keepNext w:val="0"/>
              <w:keepLines w:val="0"/>
              <w:widowControl/>
              <w:suppressLineNumbers w:val="0"/>
              <w:spacing w:before="0" w:beforeAutospacing="0" w:after="0" w:afterAutospacing="0" w:line="240" w:lineRule="auto"/>
              <w:ind w:left="0" w:right="0"/>
              <w:rPr>
                <w:rFonts w:hint="default"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Interpretation</w:t>
            </w:r>
          </w:p>
        </w:tc>
        <w:tc>
          <w:tcPr>
            <w:tcW w:w="992" w:type="dxa"/>
          </w:tcPr>
          <w:p w14:paraId="40C52785">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29</w:t>
            </w:r>
          </w:p>
        </w:tc>
        <w:tc>
          <w:tcPr>
            <w:tcW w:w="7830" w:type="dxa"/>
          </w:tcPr>
          <w:p w14:paraId="6689FC98">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T</w:t>
            </w:r>
            <w:r>
              <w:rPr>
                <w:rFonts w:hint="eastAsia" w:ascii="Calibri" w:hAnsi="Calibri" w:eastAsia="Calibri" w:cs="Calibri"/>
                <w:color w:val="000000"/>
                <w:sz w:val="22"/>
                <w:szCs w:val="22"/>
                <w:lang w:val="en-GB"/>
              </w:rPr>
              <w:t>he present study comprehensively demonstrates that the BT exercise paradigm represents is a highly effective for for reducing cardiovascular risk in middle-aged and older adults. Convergent evidence from the novel 8-indicator composite CVD-Z score, functional assessments, and molecular mechanistic analyses consistently supports this conclusion. Specifically, BT comprehensively improves vascular function, autonomic nervous regulation, body composition, and cellular metabolism through multi-pathway synergistic effects.</w:t>
            </w:r>
          </w:p>
        </w:tc>
        <w:tc>
          <w:tcPr>
            <w:tcW w:w="2943" w:type="dxa"/>
          </w:tcPr>
          <w:p w14:paraId="028813E5">
            <w:pPr>
              <w:keepNext w:val="0"/>
              <w:keepLines w:val="0"/>
              <w:widowControl/>
              <w:suppressLineNumbers w:val="0"/>
              <w:spacing w:before="0" w:beforeAutospacing="0" w:after="0" w:afterAutospacing="0" w:line="240" w:lineRule="auto"/>
              <w:ind w:left="0" w:right="0"/>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Limitations</w:t>
            </w:r>
          </w:p>
        </w:tc>
        <w:tc>
          <w:tcPr>
            <w:tcW w:w="992" w:type="dxa"/>
          </w:tcPr>
          <w:p w14:paraId="065DB4EF">
            <w:pPr>
              <w:keepNext w:val="0"/>
              <w:keepLines w:val="0"/>
              <w:widowControl/>
              <w:suppressLineNumbers w:val="0"/>
              <w:spacing w:before="0" w:beforeAutospacing="0" w:after="0" w:afterAutospacing="0" w:line="240" w:lineRule="auto"/>
              <w:ind w:left="0" w:right="0"/>
              <w:jc w:val="center"/>
              <w:rPr>
                <w:rFonts w:hint="default" w:ascii="Calibri" w:hAnsi="Calibri" w:eastAsia="Calibri" w:cs="Calibri"/>
                <w:color w:val="000000"/>
                <w:sz w:val="22"/>
                <w:szCs w:val="22"/>
                <w:lang w:val="en-GB"/>
              </w:rPr>
            </w:pPr>
            <w:r>
              <w:rPr>
                <w:rFonts w:hint="default" w:ascii="Calibri" w:hAnsi="Calibri" w:eastAsia="Calibri" w:cs="Calibri"/>
                <w:color w:val="000000"/>
                <w:sz w:val="22"/>
                <w:szCs w:val="22"/>
                <w:lang w:val="en-GB"/>
              </w:rPr>
              <w:t>30</w:t>
            </w:r>
          </w:p>
        </w:tc>
        <w:tc>
          <w:tcPr>
            <w:tcW w:w="7830" w:type="dxa"/>
          </w:tcPr>
          <w:p w14:paraId="53F2EAD9">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 xml:space="preserve">Firstly, gender homogenisation was not implemented, as participants included both male and female middle-aged and elderly individuals. Given significant gender differences in muscle metabolic profiles, vascular physiological characteristics, and exercise adaptability within this demographic, such heterogeneity may act as a confounding factor—interfering with the accurate assessment of the combined exercise intervention’s effects and limiting the direct generalisation of results to single-sex populations. Secondly, although participants were explicitly instructed to avoid additional physical activity per the intervention protocol, research constraints prevented real-time monitoring to quantify their daily physical activity throughout the study. Instead, data on non-intervention activity were collected solely through retrospective self-reports, which may lead to underreporting or misreporting. This could confound the true effects of the combined walking and table tennis intervention, as the potential impact of unmonitored physical activity on outcome measures cannot be fully excluded. </w:t>
            </w:r>
          </w:p>
        </w:tc>
        <w:tc>
          <w:tcPr>
            <w:tcW w:w="2943" w:type="dxa"/>
          </w:tcPr>
          <w:p w14:paraId="16436A34">
            <w:pPr>
              <w:keepNext w:val="0"/>
              <w:keepLines w:val="0"/>
              <w:widowControl/>
              <w:suppressLineNumbers w:val="0"/>
              <w:spacing w:before="0" w:beforeAutospacing="0" w:after="0" w:afterAutospacing="0" w:line="240" w:lineRule="auto"/>
              <w:ind w:left="0" w:right="0"/>
              <w:rPr>
                <w:rFonts w:hint="default" w:ascii="Calibri" w:hAnsi="Calibri" w:eastAsia="Calibri" w:cs="Calibri"/>
                <w:color w:val="000000"/>
                <w:sz w:val="22"/>
                <w:szCs w:val="22"/>
                <w:lang w:val="en-GB"/>
              </w:rPr>
            </w:pPr>
            <w:r>
              <w:rPr>
                <w:rFonts w:hint="eastAsia" w:ascii="Calibri" w:hAnsi="Calibri" w:eastAsia="Calibri" w:cs="Calibri"/>
                <w:color w:val="000000"/>
                <w:sz w:val="22"/>
                <w:szCs w:val="22"/>
                <w:lang w:val="en-GB"/>
              </w:rPr>
              <w:t>Not reported</w:t>
            </w:r>
          </w:p>
        </w:tc>
      </w:tr>
    </w:tbl>
    <w:p w14:paraId="3990C763">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bookmarkStart w:id="0" w:name="_GoBack"/>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bookmarkEnd w:id="0"/>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汉仪仿宋简">
    <w:panose1 w:val="02010600000101010101"/>
    <w:charset w:val="80"/>
    <w:family w:val="auto"/>
    <w:pitch w:val="default"/>
    <w:sig w:usb0="800002BF" w:usb1="184F6C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4MGI3YzFjNGNiOGYzNDBlNDU1NzY5NzIxOTA3NzIifQ=="/>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15913080"/>
    <w:rsid w:val="1FB34EDE"/>
    <w:rsid w:val="209C0C0E"/>
    <w:rsid w:val="597459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1244</Words>
  <Characters>7722</Characters>
  <Lines>48</Lines>
  <Paragraphs>13</Paragraphs>
  <TotalTime>5</TotalTime>
  <ScaleCrop>false</ScaleCrop>
  <LinksUpToDate>false</LinksUpToDate>
  <CharactersWithSpaces>8802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信</cp:lastModifiedBy>
  <cp:lastPrinted>2024-03-26T08:52:00Z</cp:lastPrinted>
  <dcterms:modified xsi:type="dcterms:W3CDTF">2026-05-17T03:09:02Z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2E003687091D4AF0AA7C7F3AC73C5717_13</vt:lpwstr>
  </property>
  <property fmtid="{D5CDD505-2E9C-101B-9397-08002B2CF9AE}" pid="4" name="KSOTemplateDocerSaveRecord">
    <vt:lpwstr>eyJoZGlkIjoiYTUwYjgyZjM3ZGVmYmYzYTc5ZWYyZDdmNTNjNWQ3MjciLCJ1c2VySWQiOiI0NTYwNzMyMDMifQ==</vt:lpwstr>
  </property>
</Properties>
</file>