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8559" w14:textId="77777777" w:rsidR="00467FE5" w:rsidRPr="004A4B69" w:rsidRDefault="00467FE5" w:rsidP="00467FE5">
      <w:pPr>
        <w:pStyle w:val="Heading2"/>
        <w:spacing w:before="120" w:afterLines="100" w:after="240"/>
        <w:rPr>
          <w:rFonts w:eastAsia="Arial"/>
          <w:color w:val="2E75B6"/>
        </w:rPr>
      </w:pPr>
      <w:r w:rsidRPr="004A4B69">
        <w:rPr>
          <w:rFonts w:eastAsia="Arial"/>
          <w:color w:val="2E75B6"/>
        </w:rPr>
        <w:t>Appendix 1. Unfiltered process map at 100% activity and path threshold, displaying all observed transitions between care events (spaghetti map)</w:t>
      </w:r>
    </w:p>
    <w:p w14:paraId="76A2AC07" w14:textId="77777777" w:rsidR="00467FE5" w:rsidRPr="001E3609" w:rsidRDefault="00467FE5" w:rsidP="00467FE5">
      <w:pPr>
        <w:spacing w:before="120" w:beforeAutospacing="1" w:after="120" w:afterAutospacing="1"/>
        <w:jc w:val="center"/>
        <w:rPr>
          <w:rFonts w:eastAsia="SimSun"/>
          <w:lang w:eastAsia="zh-CN"/>
        </w:rPr>
      </w:pPr>
      <w:r w:rsidRPr="001E3609">
        <w:rPr>
          <w:rFonts w:eastAsia="SimSun"/>
          <w:noProof/>
          <w:lang w:eastAsia="zh-CN"/>
        </w:rPr>
        <w:drawing>
          <wp:inline distT="0" distB="0" distL="0" distR="0" wp14:anchorId="32546FA4" wp14:editId="6C4BBFE4">
            <wp:extent cx="6872194" cy="5126950"/>
            <wp:effectExtent l="0" t="3493" r="1588" b="1587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54686" cy="526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7CC1" w14:textId="77777777" w:rsidR="00467FE5" w:rsidRPr="001E3609" w:rsidRDefault="00467FE5" w:rsidP="00467FE5">
      <w:pPr>
        <w:spacing w:before="120" w:after="120"/>
        <w:rPr>
          <w:rFonts w:eastAsia="Arial"/>
          <w:b/>
          <w:bCs/>
          <w:color w:val="2E75B6"/>
          <w:sz w:val="26"/>
          <w:szCs w:val="26"/>
        </w:rPr>
      </w:pPr>
      <w:r w:rsidRPr="001E3609">
        <w:rPr>
          <w:rFonts w:eastAsia="Arial"/>
          <w:color w:val="2E75B6"/>
        </w:rPr>
        <w:lastRenderedPageBreak/>
        <w:br w:type="page"/>
      </w:r>
    </w:p>
    <w:p w14:paraId="15F4EDD4" w14:textId="77777777" w:rsidR="00467FE5" w:rsidRPr="001E3609" w:rsidRDefault="00467FE5" w:rsidP="00467FE5">
      <w:pPr>
        <w:pStyle w:val="Heading2"/>
        <w:spacing w:before="120" w:afterLines="100" w:after="240"/>
        <w:rPr>
          <w:lang w:eastAsia="zh-CN"/>
        </w:rPr>
      </w:pPr>
      <w:r w:rsidRPr="001E3609">
        <w:rPr>
          <w:rFonts w:eastAsia="Arial"/>
          <w:color w:val="2E75B6"/>
        </w:rPr>
        <w:lastRenderedPageBreak/>
        <w:t>Appendix 2. Distribution of coordination patterns by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169"/>
        <w:gridCol w:w="1985"/>
        <w:gridCol w:w="2114"/>
      </w:tblGrid>
      <w:tr w:rsidR="00467FE5" w:rsidRPr="001E3609" w14:paraId="45EC06DA" w14:textId="77777777" w:rsidTr="006B5D1A">
        <w:tc>
          <w:tcPr>
            <w:tcW w:w="0" w:type="auto"/>
            <w:vAlign w:val="center"/>
            <w:hideMark/>
          </w:tcPr>
          <w:p w14:paraId="70549F33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Coordination pattern</w:t>
            </w:r>
          </w:p>
        </w:tc>
        <w:tc>
          <w:tcPr>
            <w:tcW w:w="2169" w:type="dxa"/>
            <w:vAlign w:val="center"/>
            <w:hideMark/>
          </w:tcPr>
          <w:p w14:paraId="796C68C7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Wollongong Hospital (n=535)</w:t>
            </w:r>
          </w:p>
        </w:tc>
        <w:tc>
          <w:tcPr>
            <w:tcW w:w="1985" w:type="dxa"/>
            <w:vAlign w:val="center"/>
            <w:hideMark/>
          </w:tcPr>
          <w:p w14:paraId="4EFC80DF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Shoalhaven Hospital (n=153)</w:t>
            </w:r>
          </w:p>
        </w:tc>
        <w:tc>
          <w:tcPr>
            <w:tcW w:w="2114" w:type="dxa"/>
            <w:vAlign w:val="center"/>
            <w:hideMark/>
          </w:tcPr>
          <w:p w14:paraId="47E8B81D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Total (n=688)</w:t>
            </w:r>
          </w:p>
        </w:tc>
      </w:tr>
      <w:tr w:rsidR="00467FE5" w:rsidRPr="001E3609" w14:paraId="12F9C748" w14:textId="77777777" w:rsidTr="006B5D1A">
        <w:tc>
          <w:tcPr>
            <w:tcW w:w="0" w:type="auto"/>
            <w:vAlign w:val="center"/>
            <w:hideMark/>
          </w:tcPr>
          <w:p w14:paraId="0ACFBCA1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MDT before referral</w:t>
            </w:r>
          </w:p>
        </w:tc>
        <w:tc>
          <w:tcPr>
            <w:tcW w:w="2169" w:type="dxa"/>
            <w:vAlign w:val="center"/>
            <w:hideMark/>
          </w:tcPr>
          <w:p w14:paraId="5E842163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185 (34.6%)</w:t>
            </w:r>
          </w:p>
        </w:tc>
        <w:tc>
          <w:tcPr>
            <w:tcW w:w="1985" w:type="dxa"/>
            <w:vAlign w:val="center"/>
            <w:hideMark/>
          </w:tcPr>
          <w:p w14:paraId="0E01B5F3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75 (49.0%)</w:t>
            </w:r>
          </w:p>
        </w:tc>
        <w:tc>
          <w:tcPr>
            <w:tcW w:w="2114" w:type="dxa"/>
            <w:vAlign w:val="center"/>
            <w:hideMark/>
          </w:tcPr>
          <w:p w14:paraId="72ADDCBA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260 (37.8%)</w:t>
            </w:r>
          </w:p>
        </w:tc>
      </w:tr>
      <w:tr w:rsidR="00467FE5" w:rsidRPr="001E3609" w14:paraId="35802C4B" w14:textId="77777777" w:rsidTr="006B5D1A">
        <w:tc>
          <w:tcPr>
            <w:tcW w:w="0" w:type="auto"/>
            <w:vAlign w:val="center"/>
            <w:hideMark/>
          </w:tcPr>
          <w:p w14:paraId="135EC470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Referral-led</w:t>
            </w:r>
          </w:p>
        </w:tc>
        <w:tc>
          <w:tcPr>
            <w:tcW w:w="2169" w:type="dxa"/>
            <w:vAlign w:val="center"/>
            <w:hideMark/>
          </w:tcPr>
          <w:p w14:paraId="35A2C7C4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197 (36.8%)</w:t>
            </w:r>
          </w:p>
        </w:tc>
        <w:tc>
          <w:tcPr>
            <w:tcW w:w="1985" w:type="dxa"/>
            <w:vAlign w:val="center"/>
            <w:hideMark/>
          </w:tcPr>
          <w:p w14:paraId="40D68431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27 (17.6%)</w:t>
            </w:r>
          </w:p>
        </w:tc>
        <w:tc>
          <w:tcPr>
            <w:tcW w:w="2114" w:type="dxa"/>
            <w:vAlign w:val="center"/>
            <w:hideMark/>
          </w:tcPr>
          <w:p w14:paraId="009A2B6A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224 (32.6%)</w:t>
            </w:r>
          </w:p>
        </w:tc>
      </w:tr>
      <w:tr w:rsidR="00467FE5" w:rsidRPr="001E3609" w14:paraId="3586900D" w14:textId="77777777" w:rsidTr="006B5D1A">
        <w:tc>
          <w:tcPr>
            <w:tcW w:w="0" w:type="auto"/>
            <w:vAlign w:val="center"/>
            <w:hideMark/>
          </w:tcPr>
          <w:p w14:paraId="1130083A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MDT-only</w:t>
            </w:r>
          </w:p>
        </w:tc>
        <w:tc>
          <w:tcPr>
            <w:tcW w:w="2169" w:type="dxa"/>
            <w:vAlign w:val="center"/>
            <w:hideMark/>
          </w:tcPr>
          <w:p w14:paraId="7AB842E1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83 (15.5%)</w:t>
            </w:r>
          </w:p>
        </w:tc>
        <w:tc>
          <w:tcPr>
            <w:tcW w:w="1985" w:type="dxa"/>
            <w:vAlign w:val="center"/>
            <w:hideMark/>
          </w:tcPr>
          <w:p w14:paraId="09EA9938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39 (25.5%)</w:t>
            </w:r>
          </w:p>
        </w:tc>
        <w:tc>
          <w:tcPr>
            <w:tcW w:w="2114" w:type="dxa"/>
            <w:vAlign w:val="center"/>
            <w:hideMark/>
          </w:tcPr>
          <w:p w14:paraId="0804A6FB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122 (17.7%)</w:t>
            </w:r>
          </w:p>
        </w:tc>
      </w:tr>
      <w:tr w:rsidR="00467FE5" w:rsidRPr="001E3609" w14:paraId="617CDC93" w14:textId="77777777" w:rsidTr="006B5D1A">
        <w:tc>
          <w:tcPr>
            <w:tcW w:w="0" w:type="auto"/>
            <w:vAlign w:val="center"/>
            <w:hideMark/>
          </w:tcPr>
          <w:p w14:paraId="0651044A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Same-day MDT and referral</w:t>
            </w:r>
          </w:p>
        </w:tc>
        <w:tc>
          <w:tcPr>
            <w:tcW w:w="2169" w:type="dxa"/>
            <w:vAlign w:val="center"/>
            <w:hideMark/>
          </w:tcPr>
          <w:p w14:paraId="6D1E3BE2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63 (11.8%)</w:t>
            </w:r>
          </w:p>
        </w:tc>
        <w:tc>
          <w:tcPr>
            <w:tcW w:w="1985" w:type="dxa"/>
            <w:vAlign w:val="center"/>
            <w:hideMark/>
          </w:tcPr>
          <w:p w14:paraId="3BEC455D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10 (6.5%)</w:t>
            </w:r>
          </w:p>
        </w:tc>
        <w:tc>
          <w:tcPr>
            <w:tcW w:w="2114" w:type="dxa"/>
            <w:vAlign w:val="center"/>
            <w:hideMark/>
          </w:tcPr>
          <w:p w14:paraId="722DC8CA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73 (10.6%)</w:t>
            </w:r>
          </w:p>
        </w:tc>
      </w:tr>
      <w:tr w:rsidR="00467FE5" w:rsidRPr="001E3609" w14:paraId="3BC4BD1C" w14:textId="77777777" w:rsidTr="006B5D1A">
        <w:tc>
          <w:tcPr>
            <w:tcW w:w="0" w:type="auto"/>
            <w:vAlign w:val="center"/>
            <w:hideMark/>
          </w:tcPr>
          <w:p w14:paraId="0E26E286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Referral-only</w:t>
            </w:r>
          </w:p>
        </w:tc>
        <w:tc>
          <w:tcPr>
            <w:tcW w:w="2169" w:type="dxa"/>
            <w:vAlign w:val="center"/>
            <w:hideMark/>
          </w:tcPr>
          <w:p w14:paraId="04CCF078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6 (1.1%)</w:t>
            </w:r>
          </w:p>
        </w:tc>
        <w:tc>
          <w:tcPr>
            <w:tcW w:w="1985" w:type="dxa"/>
            <w:vAlign w:val="center"/>
            <w:hideMark/>
          </w:tcPr>
          <w:p w14:paraId="4531F180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2 (1.3%)</w:t>
            </w:r>
          </w:p>
        </w:tc>
        <w:tc>
          <w:tcPr>
            <w:tcW w:w="2114" w:type="dxa"/>
            <w:vAlign w:val="center"/>
            <w:hideMark/>
          </w:tcPr>
          <w:p w14:paraId="280AA766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8 (1.2%)</w:t>
            </w:r>
          </w:p>
        </w:tc>
      </w:tr>
      <w:tr w:rsidR="00467FE5" w:rsidRPr="001E3609" w14:paraId="76EE32F6" w14:textId="77777777" w:rsidTr="006B5D1A">
        <w:tc>
          <w:tcPr>
            <w:tcW w:w="0" w:type="auto"/>
            <w:vAlign w:val="center"/>
            <w:hideMark/>
          </w:tcPr>
          <w:p w14:paraId="0597B8D6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No recorded coordination</w:t>
            </w:r>
          </w:p>
        </w:tc>
        <w:tc>
          <w:tcPr>
            <w:tcW w:w="2169" w:type="dxa"/>
            <w:vAlign w:val="center"/>
            <w:hideMark/>
          </w:tcPr>
          <w:p w14:paraId="289A9F2B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1 (0.2%)</w:t>
            </w:r>
          </w:p>
        </w:tc>
        <w:tc>
          <w:tcPr>
            <w:tcW w:w="1985" w:type="dxa"/>
            <w:vAlign w:val="center"/>
            <w:hideMark/>
          </w:tcPr>
          <w:p w14:paraId="4ED8FBA7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0 (0.0%)</w:t>
            </w:r>
          </w:p>
        </w:tc>
        <w:tc>
          <w:tcPr>
            <w:tcW w:w="2114" w:type="dxa"/>
            <w:vAlign w:val="center"/>
            <w:hideMark/>
          </w:tcPr>
          <w:p w14:paraId="753B16FF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1 (0.1%)</w:t>
            </w:r>
          </w:p>
        </w:tc>
      </w:tr>
      <w:tr w:rsidR="00467FE5" w:rsidRPr="001E3609" w14:paraId="6669FA24" w14:textId="77777777" w:rsidTr="006B5D1A">
        <w:tc>
          <w:tcPr>
            <w:tcW w:w="0" w:type="auto"/>
            <w:vAlign w:val="center"/>
            <w:hideMark/>
          </w:tcPr>
          <w:p w14:paraId="2B261129" w14:textId="77777777" w:rsidR="00467FE5" w:rsidRPr="001E3609" w:rsidRDefault="00467FE5" w:rsidP="006B5D1A">
            <w:pPr>
              <w:spacing w:before="120" w:after="12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Total</w:t>
            </w:r>
          </w:p>
        </w:tc>
        <w:tc>
          <w:tcPr>
            <w:tcW w:w="2169" w:type="dxa"/>
            <w:vAlign w:val="center"/>
            <w:hideMark/>
          </w:tcPr>
          <w:p w14:paraId="6E6D2D3B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535 (100.0%)</w:t>
            </w:r>
          </w:p>
        </w:tc>
        <w:tc>
          <w:tcPr>
            <w:tcW w:w="1985" w:type="dxa"/>
            <w:vAlign w:val="center"/>
            <w:hideMark/>
          </w:tcPr>
          <w:p w14:paraId="6D6D1A61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153 (100.0%)</w:t>
            </w:r>
          </w:p>
        </w:tc>
        <w:tc>
          <w:tcPr>
            <w:tcW w:w="2114" w:type="dxa"/>
            <w:vAlign w:val="center"/>
            <w:hideMark/>
          </w:tcPr>
          <w:p w14:paraId="0D99F573" w14:textId="77777777" w:rsidR="00467FE5" w:rsidRPr="001E3609" w:rsidRDefault="00467FE5" w:rsidP="006B5D1A">
            <w:pPr>
              <w:spacing w:before="120" w:after="120" w:line="240" w:lineRule="auto"/>
              <w:jc w:val="center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b/>
                <w:bCs/>
                <w:lang w:eastAsia="zh-CN"/>
              </w:rPr>
              <w:t>688 (100.0%)</w:t>
            </w:r>
          </w:p>
        </w:tc>
      </w:tr>
    </w:tbl>
    <w:p w14:paraId="0AAE2E38" w14:textId="77777777" w:rsidR="00467FE5" w:rsidRPr="001E3609" w:rsidRDefault="00467FE5" w:rsidP="00467FE5">
      <w:pPr>
        <w:spacing w:beforeLines="0" w:before="0" w:after="120" w:line="240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1E3609">
        <w:rPr>
          <w:rFonts w:eastAsia="SimSun"/>
          <w:i/>
          <w:iCs/>
          <w:sz w:val="22"/>
          <w:szCs w:val="22"/>
          <w:lang w:eastAsia="zh-CN"/>
        </w:rPr>
        <w:t xml:space="preserve">χ² = 30.1, </w:t>
      </w:r>
      <w:proofErr w:type="spellStart"/>
      <w:r w:rsidRPr="001E3609">
        <w:rPr>
          <w:rFonts w:eastAsia="SimSun"/>
          <w:i/>
          <w:iCs/>
          <w:sz w:val="22"/>
          <w:szCs w:val="22"/>
          <w:lang w:eastAsia="zh-CN"/>
        </w:rPr>
        <w:t>df</w:t>
      </w:r>
      <w:proofErr w:type="spellEnd"/>
      <w:r w:rsidRPr="001E3609">
        <w:rPr>
          <w:rFonts w:eastAsia="SimSun"/>
          <w:i/>
          <w:iCs/>
          <w:sz w:val="22"/>
          <w:szCs w:val="22"/>
          <w:lang w:eastAsia="zh-CN"/>
        </w:rPr>
        <w:t xml:space="preserve"> = 5, p &lt; 0.001</w:t>
      </w:r>
    </w:p>
    <w:p w14:paraId="572FC67A" w14:textId="77777777" w:rsidR="00467FE5" w:rsidRPr="001E3609" w:rsidRDefault="00467FE5" w:rsidP="00467FE5">
      <w:pPr>
        <w:spacing w:beforeLines="0" w:before="0" w:after="120" w:line="240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1E3609">
        <w:rPr>
          <w:rFonts w:eastAsia="SimSun"/>
          <w:i/>
          <w:iCs/>
          <w:sz w:val="22"/>
          <w:szCs w:val="22"/>
          <w:lang w:eastAsia="zh-CN"/>
        </w:rPr>
        <w:t>Note: Percentages are column percentages within hospital. Cases with same-day MDT discussion and oncology referral are displayed separately to indicate the extent of timestamp-ordering ambiguity, but were classified as MDT-led in the primary regression model.</w:t>
      </w:r>
      <w:r w:rsidRPr="001E3609">
        <w:rPr>
          <w:rFonts w:eastAsia="SimSun"/>
          <w:b/>
          <w:bCs/>
          <w:sz w:val="27"/>
          <w:szCs w:val="27"/>
          <w:lang w:eastAsia="zh-CN"/>
        </w:rPr>
        <w:br w:type="page"/>
      </w:r>
      <w:r w:rsidRPr="004A4B69">
        <w:rPr>
          <w:rFonts w:eastAsia="Arial"/>
          <w:b/>
          <w:bCs/>
          <w:i/>
          <w:iCs/>
          <w:color w:val="2E75B6"/>
          <w:sz w:val="26"/>
          <w:szCs w:val="26"/>
        </w:rPr>
        <w:lastRenderedPageBreak/>
        <w:t>Appendix 3. Sensitivity analyses for coordination pattern classification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823"/>
        <w:gridCol w:w="1134"/>
        <w:gridCol w:w="1275"/>
        <w:gridCol w:w="1598"/>
        <w:gridCol w:w="800"/>
      </w:tblGrid>
      <w:tr w:rsidR="00467FE5" w:rsidRPr="001E3609" w14:paraId="2EE1329E" w14:textId="77777777" w:rsidTr="006B5D1A">
        <w:tc>
          <w:tcPr>
            <w:tcW w:w="3823" w:type="dxa"/>
            <w:vAlign w:val="center"/>
          </w:tcPr>
          <w:p w14:paraId="5EDE0FA2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Sensitivity model</w:t>
            </w:r>
          </w:p>
        </w:tc>
        <w:tc>
          <w:tcPr>
            <w:tcW w:w="1134" w:type="dxa"/>
            <w:vAlign w:val="center"/>
          </w:tcPr>
          <w:p w14:paraId="080AA77A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N</w:t>
            </w:r>
          </w:p>
        </w:tc>
        <w:tc>
          <w:tcPr>
            <w:tcW w:w="1275" w:type="dxa"/>
            <w:vAlign w:val="center"/>
          </w:tcPr>
          <w:p w14:paraId="1BC79CD5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Shoalhaven OR</w:t>
            </w:r>
          </w:p>
        </w:tc>
        <w:tc>
          <w:tcPr>
            <w:tcW w:w="1598" w:type="dxa"/>
            <w:vAlign w:val="center"/>
          </w:tcPr>
          <w:p w14:paraId="53D862FB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</w:tcPr>
          <w:p w14:paraId="2F5A1B97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p</w:t>
            </w:r>
          </w:p>
        </w:tc>
      </w:tr>
      <w:tr w:rsidR="00467FE5" w:rsidRPr="001E3609" w14:paraId="5836AB0E" w14:textId="77777777" w:rsidTr="006B5D1A">
        <w:tc>
          <w:tcPr>
            <w:tcW w:w="3823" w:type="dxa"/>
          </w:tcPr>
          <w:p w14:paraId="105FAB2C" w14:textId="77777777" w:rsidR="00467FE5" w:rsidRPr="001E3609" w:rsidRDefault="00467FE5" w:rsidP="006B5D1A">
            <w:pPr>
              <w:spacing w:before="120" w:after="120" w:line="240" w:lineRule="auto"/>
            </w:pPr>
            <w:r w:rsidRPr="001E3609">
              <w:rPr>
                <w:rFonts w:eastAsia="Arial"/>
              </w:rPr>
              <w:t>Primary Model B (same-day → MDT-led)</w:t>
            </w:r>
          </w:p>
        </w:tc>
        <w:tc>
          <w:tcPr>
            <w:tcW w:w="1134" w:type="dxa"/>
            <w:vAlign w:val="center"/>
          </w:tcPr>
          <w:p w14:paraId="41366D4F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547</w:t>
            </w:r>
          </w:p>
        </w:tc>
        <w:tc>
          <w:tcPr>
            <w:tcW w:w="1275" w:type="dxa"/>
            <w:vAlign w:val="center"/>
          </w:tcPr>
          <w:p w14:paraId="600C3D9F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2.54</w:t>
            </w:r>
          </w:p>
        </w:tc>
        <w:tc>
          <w:tcPr>
            <w:tcW w:w="1598" w:type="dxa"/>
            <w:vAlign w:val="center"/>
          </w:tcPr>
          <w:p w14:paraId="50A4F95E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1.56–4.05</w:t>
            </w:r>
          </w:p>
        </w:tc>
        <w:tc>
          <w:tcPr>
            <w:tcW w:w="0" w:type="auto"/>
            <w:vAlign w:val="center"/>
          </w:tcPr>
          <w:p w14:paraId="63FF679C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&lt;0.001</w:t>
            </w:r>
          </w:p>
        </w:tc>
      </w:tr>
      <w:tr w:rsidR="00467FE5" w:rsidRPr="001E3609" w14:paraId="24B22D78" w14:textId="77777777" w:rsidTr="006B5D1A">
        <w:tc>
          <w:tcPr>
            <w:tcW w:w="3823" w:type="dxa"/>
          </w:tcPr>
          <w:p w14:paraId="444D1AB1" w14:textId="77777777" w:rsidR="00467FE5" w:rsidRPr="001E3609" w:rsidRDefault="00467FE5" w:rsidP="006B5D1A">
            <w:pPr>
              <w:spacing w:before="120" w:after="120" w:line="240" w:lineRule="auto"/>
            </w:pPr>
            <w:r w:rsidRPr="001E3609">
              <w:rPr>
                <w:rFonts w:eastAsia="Arial"/>
              </w:rPr>
              <w:t>Sensitivity 1: same-day → Referral-led</w:t>
            </w:r>
          </w:p>
        </w:tc>
        <w:tc>
          <w:tcPr>
            <w:tcW w:w="1134" w:type="dxa"/>
            <w:vAlign w:val="center"/>
          </w:tcPr>
          <w:p w14:paraId="5D05D3A3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547</w:t>
            </w:r>
          </w:p>
        </w:tc>
        <w:tc>
          <w:tcPr>
            <w:tcW w:w="1275" w:type="dxa"/>
            <w:vAlign w:val="center"/>
          </w:tcPr>
          <w:p w14:paraId="4394FE2A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2.91</w:t>
            </w:r>
          </w:p>
        </w:tc>
        <w:tc>
          <w:tcPr>
            <w:tcW w:w="1598" w:type="dxa"/>
            <w:vAlign w:val="center"/>
          </w:tcPr>
          <w:p w14:paraId="45E764F4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1.86–4.55</w:t>
            </w:r>
          </w:p>
        </w:tc>
        <w:tc>
          <w:tcPr>
            <w:tcW w:w="0" w:type="auto"/>
            <w:vAlign w:val="center"/>
          </w:tcPr>
          <w:p w14:paraId="5918BA5B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&lt;0.001</w:t>
            </w:r>
          </w:p>
        </w:tc>
      </w:tr>
      <w:tr w:rsidR="00467FE5" w:rsidRPr="001E3609" w14:paraId="1BE47B99" w14:textId="77777777" w:rsidTr="006B5D1A">
        <w:tc>
          <w:tcPr>
            <w:tcW w:w="3823" w:type="dxa"/>
          </w:tcPr>
          <w:p w14:paraId="62872A76" w14:textId="77777777" w:rsidR="00467FE5" w:rsidRPr="001E3609" w:rsidRDefault="00467FE5" w:rsidP="006B5D1A">
            <w:pPr>
              <w:spacing w:before="120" w:after="120" w:line="240" w:lineRule="auto"/>
            </w:pPr>
            <w:r w:rsidRPr="001E3609">
              <w:rPr>
                <w:rFonts w:eastAsia="Arial"/>
              </w:rPr>
              <w:t>Sensitivity 2: same-day excluded entirely</w:t>
            </w:r>
          </w:p>
        </w:tc>
        <w:tc>
          <w:tcPr>
            <w:tcW w:w="1134" w:type="dxa"/>
            <w:vAlign w:val="center"/>
          </w:tcPr>
          <w:p w14:paraId="7674D0D9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474</w:t>
            </w:r>
          </w:p>
        </w:tc>
        <w:tc>
          <w:tcPr>
            <w:tcW w:w="1275" w:type="dxa"/>
            <w:vAlign w:val="center"/>
          </w:tcPr>
          <w:p w14:paraId="7A7D08D1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3.00</w:t>
            </w:r>
          </w:p>
        </w:tc>
        <w:tc>
          <w:tcPr>
            <w:tcW w:w="1598" w:type="dxa"/>
            <w:vAlign w:val="center"/>
          </w:tcPr>
          <w:p w14:paraId="29C84106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1.83–4.94</w:t>
            </w:r>
          </w:p>
        </w:tc>
        <w:tc>
          <w:tcPr>
            <w:tcW w:w="0" w:type="auto"/>
            <w:vAlign w:val="center"/>
          </w:tcPr>
          <w:p w14:paraId="027349D7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&lt;0.001</w:t>
            </w:r>
          </w:p>
        </w:tc>
      </w:tr>
      <w:tr w:rsidR="00467FE5" w:rsidRPr="001E3609" w14:paraId="59D0B3C8" w14:textId="77777777" w:rsidTr="006B5D1A">
        <w:tc>
          <w:tcPr>
            <w:tcW w:w="3823" w:type="dxa"/>
          </w:tcPr>
          <w:p w14:paraId="276662CB" w14:textId="77777777" w:rsidR="00467FE5" w:rsidRPr="001E3609" w:rsidRDefault="00467FE5" w:rsidP="006B5D1A">
            <w:pPr>
              <w:spacing w:before="120" w:after="120" w:line="240" w:lineRule="auto"/>
            </w:pPr>
            <w:r w:rsidRPr="001E3609">
              <w:rPr>
                <w:rFonts w:eastAsia="Arial"/>
              </w:rPr>
              <w:t>Sensitivity 3: MDT-dominated (incl. MDT-only) vs Referral-dominated</w:t>
            </w:r>
          </w:p>
        </w:tc>
        <w:tc>
          <w:tcPr>
            <w:tcW w:w="1134" w:type="dxa"/>
            <w:vAlign w:val="center"/>
          </w:tcPr>
          <w:p w14:paraId="1DE8D7CC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668</w:t>
            </w:r>
          </w:p>
        </w:tc>
        <w:tc>
          <w:tcPr>
            <w:tcW w:w="1275" w:type="dxa"/>
            <w:vAlign w:val="center"/>
          </w:tcPr>
          <w:p w14:paraId="08AB5C9E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2.63</w:t>
            </w:r>
          </w:p>
        </w:tc>
        <w:tc>
          <w:tcPr>
            <w:tcW w:w="1598" w:type="dxa"/>
            <w:vAlign w:val="center"/>
          </w:tcPr>
          <w:p w14:paraId="310CD305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1.68–4.14</w:t>
            </w:r>
          </w:p>
        </w:tc>
        <w:tc>
          <w:tcPr>
            <w:tcW w:w="0" w:type="auto"/>
            <w:vAlign w:val="center"/>
          </w:tcPr>
          <w:p w14:paraId="54083471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&lt;0.001</w:t>
            </w:r>
          </w:p>
        </w:tc>
      </w:tr>
      <w:tr w:rsidR="00467FE5" w:rsidRPr="001E3609" w14:paraId="3B991898" w14:textId="77777777" w:rsidTr="006B5D1A">
        <w:tc>
          <w:tcPr>
            <w:tcW w:w="3823" w:type="dxa"/>
          </w:tcPr>
          <w:p w14:paraId="368DEC9A" w14:textId="77777777" w:rsidR="00467FE5" w:rsidRPr="001E3609" w:rsidRDefault="00467FE5" w:rsidP="006B5D1A">
            <w:pPr>
              <w:spacing w:before="120" w:after="120" w:line="240" w:lineRule="auto"/>
            </w:pPr>
            <w:r w:rsidRPr="001E3609">
              <w:rPr>
                <w:rFonts w:eastAsia="Arial"/>
              </w:rPr>
              <w:t>Sensitivity 4: hormone therapy events removed from event log*</w:t>
            </w:r>
          </w:p>
        </w:tc>
        <w:tc>
          <w:tcPr>
            <w:tcW w:w="1134" w:type="dxa"/>
            <w:vAlign w:val="center"/>
          </w:tcPr>
          <w:p w14:paraId="7DBAADD4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5</w:t>
            </w:r>
            <w:r w:rsidRPr="001E3609">
              <w:rPr>
                <w:rFonts w:eastAsia="SimSun"/>
                <w:lang w:eastAsia="zh-CN"/>
              </w:rPr>
              <w:t>4</w:t>
            </w:r>
            <w:r w:rsidRPr="001E3609">
              <w:rPr>
                <w:rFonts w:eastAsia="Arial"/>
              </w:rPr>
              <w:t>7</w:t>
            </w:r>
          </w:p>
        </w:tc>
        <w:tc>
          <w:tcPr>
            <w:tcW w:w="1275" w:type="dxa"/>
            <w:vAlign w:val="center"/>
          </w:tcPr>
          <w:p w14:paraId="7DAB8EB4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2.54</w:t>
            </w:r>
          </w:p>
        </w:tc>
        <w:tc>
          <w:tcPr>
            <w:tcW w:w="1598" w:type="dxa"/>
            <w:vAlign w:val="center"/>
          </w:tcPr>
          <w:p w14:paraId="398E96C9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1.56–4.05</w:t>
            </w:r>
          </w:p>
        </w:tc>
        <w:tc>
          <w:tcPr>
            <w:tcW w:w="0" w:type="auto"/>
            <w:vAlign w:val="center"/>
          </w:tcPr>
          <w:p w14:paraId="2E3B7F8D" w14:textId="77777777" w:rsidR="00467FE5" w:rsidRPr="001E3609" w:rsidRDefault="00467FE5" w:rsidP="006B5D1A">
            <w:pPr>
              <w:spacing w:before="120" w:after="120" w:line="240" w:lineRule="auto"/>
              <w:jc w:val="center"/>
            </w:pPr>
            <w:r w:rsidRPr="001E3609">
              <w:rPr>
                <w:rFonts w:eastAsia="Arial"/>
              </w:rPr>
              <w:t>&lt;0.001</w:t>
            </w:r>
          </w:p>
        </w:tc>
      </w:tr>
    </w:tbl>
    <w:p w14:paraId="7B5146EC" w14:textId="77777777" w:rsidR="00467FE5" w:rsidRPr="001E3609" w:rsidRDefault="00467FE5" w:rsidP="00467FE5">
      <w:pPr>
        <w:spacing w:beforeLines="0" w:before="0" w:after="120" w:line="240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1E3609">
        <w:rPr>
          <w:rFonts w:eastAsia="SimSun"/>
          <w:i/>
          <w:iCs/>
          <w:sz w:val="22"/>
          <w:szCs w:val="22"/>
          <w:lang w:eastAsia="zh-CN"/>
        </w:rPr>
        <w:t>Note: All models were adjusted for molecular subtype, TNM stage, histological grade, age group, and treating hospital, with Wollongong Hospital as the reference category. Models used complete-case data, so patients with missing or non-applicable histological grade or unknown molecular subtype were excluded. The primary Model B sample was n=547, compared with n=557 in the descriptive MDT-led/Referral-led cohort. Removal of hormone therapy events assessed whether incomplete hormone therapy dates affected reconstructed pathway classification and did not materially change the MDT-led vs Referral-led model.</w:t>
      </w:r>
    </w:p>
    <w:p w14:paraId="781AC56A" w14:textId="77777777" w:rsidR="00467FE5" w:rsidRPr="001E3609" w:rsidRDefault="00467FE5" w:rsidP="00467FE5">
      <w:pPr>
        <w:spacing w:before="120" w:after="120"/>
        <w:rPr>
          <w:rFonts w:eastAsia="Arial"/>
          <w:b/>
          <w:bCs/>
          <w:color w:val="2E75B6"/>
          <w:sz w:val="26"/>
          <w:szCs w:val="26"/>
        </w:rPr>
      </w:pPr>
      <w:r w:rsidRPr="001E3609">
        <w:rPr>
          <w:rFonts w:eastAsia="Arial"/>
          <w:color w:val="2E75B6"/>
        </w:rPr>
        <w:br w:type="page"/>
      </w:r>
    </w:p>
    <w:p w14:paraId="3614731D" w14:textId="77777777" w:rsidR="00467FE5" w:rsidRPr="001E3609" w:rsidRDefault="00467FE5" w:rsidP="00467FE5">
      <w:pPr>
        <w:pStyle w:val="Heading2"/>
        <w:spacing w:before="120" w:afterLines="100" w:after="240"/>
        <w:rPr>
          <w:rFonts w:eastAsia="SimSun"/>
          <w:lang w:eastAsia="zh-CN"/>
        </w:rPr>
      </w:pPr>
      <w:r w:rsidRPr="001E3609">
        <w:rPr>
          <w:rFonts w:eastAsia="Arial"/>
          <w:color w:val="2E75B6"/>
        </w:rPr>
        <w:lastRenderedPageBreak/>
        <w:t xml:space="preserve">Appendix </w:t>
      </w:r>
      <w:r w:rsidRPr="001E3609">
        <w:rPr>
          <w:rFonts w:eastAsia="SimSun"/>
          <w:color w:val="2E75B6"/>
          <w:lang w:eastAsia="zh-CN"/>
        </w:rPr>
        <w:t>4</w:t>
      </w:r>
      <w:r w:rsidRPr="001E3609">
        <w:rPr>
          <w:rFonts w:eastAsia="Arial"/>
          <w:color w:val="2E75B6"/>
        </w:rPr>
        <w:t>. Outcome distribution by covariate for Models A and B</w:t>
      </w:r>
    </w:p>
    <w:p w14:paraId="4990DFE6" w14:textId="77777777" w:rsidR="00467FE5" w:rsidRPr="001E3609" w:rsidRDefault="00467FE5" w:rsidP="00467FE5">
      <w:pPr>
        <w:spacing w:before="120" w:after="120"/>
        <w:rPr>
          <w:rFonts w:eastAsia="SimSun"/>
          <w:b/>
          <w:bCs/>
          <w:sz w:val="22"/>
          <w:szCs w:val="22"/>
          <w:lang w:eastAsia="zh-CN"/>
        </w:rPr>
      </w:pPr>
      <w:r w:rsidRPr="001E3609">
        <w:rPr>
          <w:rFonts w:eastAsia="SimSun"/>
          <w:b/>
          <w:bCs/>
          <w:sz w:val="22"/>
          <w:szCs w:val="22"/>
          <w:lang w:eastAsia="zh-CN"/>
        </w:rPr>
        <w:t>Appendix 4A. Covariate distribution by pre-treatment oncology consultation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689"/>
        <w:gridCol w:w="1194"/>
        <w:gridCol w:w="2394"/>
        <w:gridCol w:w="2353"/>
      </w:tblGrid>
      <w:tr w:rsidR="00467FE5" w:rsidRPr="001E3609" w14:paraId="272476B1" w14:textId="77777777" w:rsidTr="006B5D1A">
        <w:tc>
          <w:tcPr>
            <w:tcW w:w="1558" w:type="pct"/>
            <w:vAlign w:val="center"/>
          </w:tcPr>
          <w:p w14:paraId="55EA5584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jc w:val="center"/>
              <w:rPr>
                <w:rFonts w:eastAsia="Arial"/>
                <w:b/>
                <w:bCs/>
              </w:rPr>
            </w:pPr>
            <w:r w:rsidRPr="001E3609">
              <w:rPr>
                <w:rFonts w:eastAsia="Arial"/>
                <w:b/>
                <w:bCs/>
              </w:rPr>
              <w:t>Covariate stratum</w:t>
            </w:r>
          </w:p>
        </w:tc>
        <w:tc>
          <w:tcPr>
            <w:tcW w:w="692" w:type="pct"/>
            <w:vAlign w:val="center"/>
          </w:tcPr>
          <w:p w14:paraId="19DF966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jc w:val="center"/>
              <w:rPr>
                <w:rFonts w:eastAsia="Arial"/>
                <w:b/>
                <w:bCs/>
              </w:rPr>
            </w:pPr>
            <w:r w:rsidRPr="001E3609">
              <w:rPr>
                <w:rFonts w:eastAsia="Arial"/>
                <w:b/>
                <w:bCs/>
              </w:rPr>
              <w:t>N</w:t>
            </w:r>
          </w:p>
        </w:tc>
        <w:tc>
          <w:tcPr>
            <w:tcW w:w="1387" w:type="pct"/>
            <w:vAlign w:val="center"/>
          </w:tcPr>
          <w:p w14:paraId="319A9589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jc w:val="center"/>
              <w:rPr>
                <w:rFonts w:eastAsia="Arial"/>
                <w:b/>
                <w:bCs/>
              </w:rPr>
            </w:pPr>
            <w:r w:rsidRPr="001E3609">
              <w:rPr>
                <w:rFonts w:eastAsia="Arial"/>
                <w:b/>
                <w:bCs/>
              </w:rPr>
              <w:t>Pre-treatment oncology consultation: YES</w:t>
            </w:r>
          </w:p>
        </w:tc>
        <w:tc>
          <w:tcPr>
            <w:tcW w:w="1363" w:type="pct"/>
            <w:vAlign w:val="center"/>
          </w:tcPr>
          <w:p w14:paraId="12677C9E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jc w:val="center"/>
              <w:rPr>
                <w:rFonts w:eastAsia="Arial"/>
                <w:b/>
                <w:bCs/>
              </w:rPr>
            </w:pPr>
            <w:r w:rsidRPr="001E3609">
              <w:rPr>
                <w:rFonts w:eastAsia="Arial"/>
                <w:b/>
                <w:bCs/>
              </w:rPr>
              <w:t>Pre-treatment oncology consultation: NO</w:t>
            </w:r>
          </w:p>
        </w:tc>
      </w:tr>
      <w:tr w:rsidR="00467FE5" w:rsidRPr="001E3609" w14:paraId="7EF7986C" w14:textId="77777777" w:rsidTr="006B5D1A">
        <w:tc>
          <w:tcPr>
            <w:tcW w:w="5000" w:type="pct"/>
            <w:gridSpan w:val="4"/>
          </w:tcPr>
          <w:p w14:paraId="3CEA2E1B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Molecular subtype</w:t>
            </w:r>
          </w:p>
        </w:tc>
      </w:tr>
      <w:tr w:rsidR="00467FE5" w:rsidRPr="001E3609" w14:paraId="781E72CC" w14:textId="77777777" w:rsidTr="006B5D1A">
        <w:tc>
          <w:tcPr>
            <w:tcW w:w="1558" w:type="pct"/>
          </w:tcPr>
          <w:p w14:paraId="7B9F6689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Luminal</w:t>
            </w:r>
          </w:p>
        </w:tc>
        <w:tc>
          <w:tcPr>
            <w:tcW w:w="692" w:type="pct"/>
          </w:tcPr>
          <w:p w14:paraId="2D2D86F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407</w:t>
            </w:r>
          </w:p>
        </w:tc>
        <w:tc>
          <w:tcPr>
            <w:tcW w:w="1387" w:type="pct"/>
          </w:tcPr>
          <w:p w14:paraId="46A05D12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322 (79.1%)</w:t>
            </w:r>
          </w:p>
        </w:tc>
        <w:tc>
          <w:tcPr>
            <w:tcW w:w="1363" w:type="pct"/>
          </w:tcPr>
          <w:p w14:paraId="111F481E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85 (20.9%)</w:t>
            </w:r>
          </w:p>
        </w:tc>
      </w:tr>
      <w:tr w:rsidR="00467FE5" w:rsidRPr="001E3609" w14:paraId="5B4D5361" w14:textId="77777777" w:rsidTr="006B5D1A">
        <w:tc>
          <w:tcPr>
            <w:tcW w:w="1558" w:type="pct"/>
          </w:tcPr>
          <w:p w14:paraId="4326FC63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HER2-positive</w:t>
            </w:r>
          </w:p>
        </w:tc>
        <w:tc>
          <w:tcPr>
            <w:tcW w:w="692" w:type="pct"/>
          </w:tcPr>
          <w:p w14:paraId="49AD3A9B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69</w:t>
            </w:r>
          </w:p>
        </w:tc>
        <w:tc>
          <w:tcPr>
            <w:tcW w:w="1387" w:type="pct"/>
          </w:tcPr>
          <w:p w14:paraId="15AE2194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60 (87.0%)</w:t>
            </w:r>
          </w:p>
        </w:tc>
        <w:tc>
          <w:tcPr>
            <w:tcW w:w="1363" w:type="pct"/>
          </w:tcPr>
          <w:p w14:paraId="544AF95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9 (13.0%)</w:t>
            </w:r>
          </w:p>
        </w:tc>
      </w:tr>
      <w:tr w:rsidR="00467FE5" w:rsidRPr="001E3609" w14:paraId="2542D437" w14:textId="77777777" w:rsidTr="006B5D1A">
        <w:tc>
          <w:tcPr>
            <w:tcW w:w="1558" w:type="pct"/>
          </w:tcPr>
          <w:p w14:paraId="40848DF9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Triple negative</w:t>
            </w:r>
          </w:p>
        </w:tc>
        <w:tc>
          <w:tcPr>
            <w:tcW w:w="692" w:type="pct"/>
          </w:tcPr>
          <w:p w14:paraId="38476C37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53</w:t>
            </w:r>
          </w:p>
        </w:tc>
        <w:tc>
          <w:tcPr>
            <w:tcW w:w="1387" w:type="pct"/>
          </w:tcPr>
          <w:p w14:paraId="270F3CE5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50 (94.3%)</w:t>
            </w:r>
          </w:p>
        </w:tc>
        <w:tc>
          <w:tcPr>
            <w:tcW w:w="1363" w:type="pct"/>
          </w:tcPr>
          <w:p w14:paraId="0E9FD88A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3 (5.7%)</w:t>
            </w:r>
          </w:p>
        </w:tc>
      </w:tr>
      <w:tr w:rsidR="00467FE5" w:rsidRPr="001E3609" w14:paraId="558FCC3B" w14:textId="77777777" w:rsidTr="006B5D1A">
        <w:tc>
          <w:tcPr>
            <w:tcW w:w="5000" w:type="pct"/>
            <w:gridSpan w:val="4"/>
          </w:tcPr>
          <w:p w14:paraId="0FD410A9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TNM stage</w:t>
            </w:r>
          </w:p>
        </w:tc>
      </w:tr>
      <w:tr w:rsidR="00467FE5" w:rsidRPr="001E3609" w14:paraId="372A88BD" w14:textId="77777777" w:rsidTr="006B5D1A">
        <w:tc>
          <w:tcPr>
            <w:tcW w:w="1558" w:type="pct"/>
          </w:tcPr>
          <w:p w14:paraId="089ACD0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I</w:t>
            </w:r>
          </w:p>
        </w:tc>
        <w:tc>
          <w:tcPr>
            <w:tcW w:w="692" w:type="pct"/>
          </w:tcPr>
          <w:p w14:paraId="35B9287E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225</w:t>
            </w:r>
          </w:p>
        </w:tc>
        <w:tc>
          <w:tcPr>
            <w:tcW w:w="1387" w:type="pct"/>
          </w:tcPr>
          <w:p w14:paraId="1B53292A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186 (82.7%)</w:t>
            </w:r>
          </w:p>
        </w:tc>
        <w:tc>
          <w:tcPr>
            <w:tcW w:w="1363" w:type="pct"/>
          </w:tcPr>
          <w:p w14:paraId="605EFD5B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39 (17.3%)</w:t>
            </w:r>
          </w:p>
        </w:tc>
      </w:tr>
      <w:tr w:rsidR="00467FE5" w:rsidRPr="001E3609" w14:paraId="19118E37" w14:textId="77777777" w:rsidTr="006B5D1A">
        <w:tc>
          <w:tcPr>
            <w:tcW w:w="1558" w:type="pct"/>
          </w:tcPr>
          <w:p w14:paraId="75CC9E16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II</w:t>
            </w:r>
          </w:p>
        </w:tc>
        <w:tc>
          <w:tcPr>
            <w:tcW w:w="692" w:type="pct"/>
          </w:tcPr>
          <w:p w14:paraId="45D9B39E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234</w:t>
            </w:r>
          </w:p>
        </w:tc>
        <w:tc>
          <w:tcPr>
            <w:tcW w:w="1387" w:type="pct"/>
          </w:tcPr>
          <w:p w14:paraId="4BCC9787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189 (80.8%)</w:t>
            </w:r>
          </w:p>
        </w:tc>
        <w:tc>
          <w:tcPr>
            <w:tcW w:w="1363" w:type="pct"/>
          </w:tcPr>
          <w:p w14:paraId="02DDFBC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45 (19.2%)</w:t>
            </w:r>
          </w:p>
        </w:tc>
      </w:tr>
      <w:tr w:rsidR="00467FE5" w:rsidRPr="001E3609" w14:paraId="65389C20" w14:textId="77777777" w:rsidTr="006B5D1A">
        <w:tc>
          <w:tcPr>
            <w:tcW w:w="1558" w:type="pct"/>
          </w:tcPr>
          <w:p w14:paraId="518983F0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III–IV</w:t>
            </w:r>
          </w:p>
        </w:tc>
        <w:tc>
          <w:tcPr>
            <w:tcW w:w="692" w:type="pct"/>
          </w:tcPr>
          <w:p w14:paraId="23976242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78</w:t>
            </w:r>
          </w:p>
        </w:tc>
        <w:tc>
          <w:tcPr>
            <w:tcW w:w="1387" w:type="pct"/>
          </w:tcPr>
          <w:p w14:paraId="01A1502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63 (80.8%)</w:t>
            </w:r>
          </w:p>
        </w:tc>
        <w:tc>
          <w:tcPr>
            <w:tcW w:w="1363" w:type="pct"/>
          </w:tcPr>
          <w:p w14:paraId="248D8BCA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15 (19.2%)</w:t>
            </w:r>
          </w:p>
        </w:tc>
      </w:tr>
      <w:tr w:rsidR="00467FE5" w:rsidRPr="001E3609" w14:paraId="37A583CD" w14:textId="77777777" w:rsidTr="006B5D1A">
        <w:tc>
          <w:tcPr>
            <w:tcW w:w="5000" w:type="pct"/>
            <w:gridSpan w:val="4"/>
          </w:tcPr>
          <w:p w14:paraId="47CA5180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SimSun"/>
                <w:i/>
                <w:iCs/>
                <w:lang w:eastAsia="zh-CN"/>
              </w:rPr>
            </w:pPr>
            <w:r w:rsidRPr="001E3609">
              <w:rPr>
                <w:rFonts w:eastAsia="Arial"/>
                <w:i/>
                <w:iCs/>
              </w:rPr>
              <w:t>Histological grade</w:t>
            </w:r>
          </w:p>
        </w:tc>
      </w:tr>
      <w:tr w:rsidR="00467FE5" w:rsidRPr="001E3609" w14:paraId="50EFEB7D" w14:textId="77777777" w:rsidTr="006B5D1A">
        <w:tc>
          <w:tcPr>
            <w:tcW w:w="1558" w:type="pct"/>
          </w:tcPr>
          <w:p w14:paraId="63BE2351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1</w:t>
            </w:r>
          </w:p>
        </w:tc>
        <w:tc>
          <w:tcPr>
            <w:tcW w:w="692" w:type="pct"/>
          </w:tcPr>
          <w:p w14:paraId="105DBE15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87</w:t>
            </w:r>
          </w:p>
        </w:tc>
        <w:tc>
          <w:tcPr>
            <w:tcW w:w="1387" w:type="pct"/>
          </w:tcPr>
          <w:p w14:paraId="7751F56E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65 (74.7%)</w:t>
            </w:r>
          </w:p>
        </w:tc>
        <w:tc>
          <w:tcPr>
            <w:tcW w:w="1363" w:type="pct"/>
          </w:tcPr>
          <w:p w14:paraId="1E4179F2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22 (25.3%)</w:t>
            </w:r>
          </w:p>
        </w:tc>
      </w:tr>
      <w:tr w:rsidR="00467FE5" w:rsidRPr="001E3609" w14:paraId="28401AB5" w14:textId="77777777" w:rsidTr="006B5D1A">
        <w:tc>
          <w:tcPr>
            <w:tcW w:w="1558" w:type="pct"/>
          </w:tcPr>
          <w:p w14:paraId="1F2A0B8E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2</w:t>
            </w:r>
          </w:p>
        </w:tc>
        <w:tc>
          <w:tcPr>
            <w:tcW w:w="692" w:type="pct"/>
          </w:tcPr>
          <w:p w14:paraId="2B0A04B4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244</w:t>
            </w:r>
          </w:p>
        </w:tc>
        <w:tc>
          <w:tcPr>
            <w:tcW w:w="1387" w:type="pct"/>
          </w:tcPr>
          <w:p w14:paraId="3A63371F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188 (77.0%)</w:t>
            </w:r>
          </w:p>
        </w:tc>
        <w:tc>
          <w:tcPr>
            <w:tcW w:w="1363" w:type="pct"/>
          </w:tcPr>
          <w:p w14:paraId="0B466FEA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56 (23.0%)</w:t>
            </w:r>
          </w:p>
        </w:tc>
      </w:tr>
      <w:tr w:rsidR="00467FE5" w:rsidRPr="001E3609" w14:paraId="4D65FFEE" w14:textId="77777777" w:rsidTr="006B5D1A">
        <w:tc>
          <w:tcPr>
            <w:tcW w:w="1558" w:type="pct"/>
          </w:tcPr>
          <w:p w14:paraId="3E4D5C28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SimSun"/>
                <w:lang w:eastAsia="zh-CN"/>
              </w:rPr>
            </w:pPr>
            <w:r w:rsidRPr="001E3609">
              <w:rPr>
                <w:rFonts w:eastAsia="SimSun"/>
                <w:lang w:eastAsia="zh-CN"/>
              </w:rPr>
              <w:t>3</w:t>
            </w:r>
          </w:p>
        </w:tc>
        <w:tc>
          <w:tcPr>
            <w:tcW w:w="692" w:type="pct"/>
          </w:tcPr>
          <w:p w14:paraId="38D55288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Arial"/>
              </w:rPr>
              <w:t>20</w:t>
            </w:r>
            <w:r w:rsidRPr="001E3609">
              <w:rPr>
                <w:rFonts w:eastAsia="SimSun"/>
                <w:lang w:eastAsia="zh-CN"/>
              </w:rPr>
              <w:t>0</w:t>
            </w:r>
          </w:p>
        </w:tc>
        <w:tc>
          <w:tcPr>
            <w:tcW w:w="1387" w:type="pct"/>
          </w:tcPr>
          <w:p w14:paraId="6ACC09B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</w:t>
            </w:r>
            <w:r w:rsidRPr="001E3609">
              <w:rPr>
                <w:rFonts w:eastAsia="SimSun"/>
                <w:lang w:eastAsia="zh-CN"/>
              </w:rPr>
              <w:t>79</w:t>
            </w:r>
            <w:r w:rsidRPr="001E3609">
              <w:rPr>
                <w:rFonts w:eastAsia="Arial"/>
              </w:rPr>
              <w:t xml:space="preserve"> (89.</w:t>
            </w:r>
            <w:r w:rsidRPr="001E3609">
              <w:rPr>
                <w:rFonts w:eastAsia="SimSun"/>
                <w:lang w:eastAsia="zh-CN"/>
              </w:rPr>
              <w:t>5</w:t>
            </w:r>
            <w:r w:rsidRPr="001E3609">
              <w:rPr>
                <w:rFonts w:eastAsia="Arial"/>
              </w:rPr>
              <w:t>%)</w:t>
            </w:r>
          </w:p>
        </w:tc>
        <w:tc>
          <w:tcPr>
            <w:tcW w:w="1363" w:type="pct"/>
          </w:tcPr>
          <w:p w14:paraId="309E8BC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21 (10.</w:t>
            </w:r>
            <w:r w:rsidRPr="001E3609">
              <w:rPr>
                <w:rFonts w:eastAsia="SimSun"/>
                <w:lang w:eastAsia="zh-CN"/>
              </w:rPr>
              <w:t>5</w:t>
            </w:r>
            <w:r w:rsidRPr="001E3609">
              <w:rPr>
                <w:rFonts w:eastAsia="Arial"/>
              </w:rPr>
              <w:t>%)</w:t>
            </w:r>
          </w:p>
        </w:tc>
      </w:tr>
      <w:tr w:rsidR="00467FE5" w:rsidRPr="001E3609" w14:paraId="00A03E0F" w14:textId="77777777" w:rsidTr="006B5D1A">
        <w:tc>
          <w:tcPr>
            <w:tcW w:w="5000" w:type="pct"/>
            <w:gridSpan w:val="4"/>
          </w:tcPr>
          <w:p w14:paraId="5D1819B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Age</w:t>
            </w:r>
            <w:r w:rsidRPr="001E3609">
              <w:rPr>
                <w:rFonts w:eastAsia="SimSun"/>
                <w:i/>
                <w:iCs/>
                <w:lang w:eastAsia="zh-CN"/>
              </w:rPr>
              <w:t xml:space="preserve"> group</w:t>
            </w:r>
          </w:p>
        </w:tc>
      </w:tr>
      <w:tr w:rsidR="00467FE5" w:rsidRPr="001E3609" w14:paraId="43AB1123" w14:textId="77777777" w:rsidTr="006B5D1A">
        <w:tc>
          <w:tcPr>
            <w:tcW w:w="1558" w:type="pct"/>
          </w:tcPr>
          <w:p w14:paraId="1E796320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&lt;65</w:t>
            </w:r>
          </w:p>
        </w:tc>
        <w:tc>
          <w:tcPr>
            <w:tcW w:w="692" w:type="pct"/>
          </w:tcPr>
          <w:p w14:paraId="31DC7368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288</w:t>
            </w:r>
          </w:p>
        </w:tc>
        <w:tc>
          <w:tcPr>
            <w:tcW w:w="1387" w:type="pct"/>
          </w:tcPr>
          <w:p w14:paraId="71442546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241 (83.7%)</w:t>
            </w:r>
          </w:p>
        </w:tc>
        <w:tc>
          <w:tcPr>
            <w:tcW w:w="1363" w:type="pct"/>
          </w:tcPr>
          <w:p w14:paraId="5E56D15F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47 (16.3%)</w:t>
            </w:r>
          </w:p>
        </w:tc>
      </w:tr>
      <w:tr w:rsidR="00467FE5" w:rsidRPr="001E3609" w14:paraId="43D03E1C" w14:textId="77777777" w:rsidTr="006B5D1A">
        <w:tc>
          <w:tcPr>
            <w:tcW w:w="1558" w:type="pct"/>
          </w:tcPr>
          <w:p w14:paraId="14BD4D93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≥65</w:t>
            </w:r>
          </w:p>
        </w:tc>
        <w:tc>
          <w:tcPr>
            <w:tcW w:w="692" w:type="pct"/>
          </w:tcPr>
          <w:p w14:paraId="3D55BC6C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249</w:t>
            </w:r>
          </w:p>
        </w:tc>
        <w:tc>
          <w:tcPr>
            <w:tcW w:w="1387" w:type="pct"/>
          </w:tcPr>
          <w:p w14:paraId="1D2A41AB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197 (79.1%)</w:t>
            </w:r>
          </w:p>
        </w:tc>
        <w:tc>
          <w:tcPr>
            <w:tcW w:w="1363" w:type="pct"/>
          </w:tcPr>
          <w:p w14:paraId="79260D11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52 (20.9%)</w:t>
            </w:r>
          </w:p>
        </w:tc>
      </w:tr>
      <w:tr w:rsidR="00467FE5" w:rsidRPr="001E3609" w14:paraId="374A4362" w14:textId="77777777" w:rsidTr="006B5D1A">
        <w:tc>
          <w:tcPr>
            <w:tcW w:w="5000" w:type="pct"/>
            <w:gridSpan w:val="4"/>
          </w:tcPr>
          <w:p w14:paraId="26EB989B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Hospital</w:t>
            </w:r>
          </w:p>
        </w:tc>
      </w:tr>
      <w:tr w:rsidR="00467FE5" w:rsidRPr="001E3609" w14:paraId="6E27C847" w14:textId="77777777" w:rsidTr="006B5D1A">
        <w:tc>
          <w:tcPr>
            <w:tcW w:w="1558" w:type="pct"/>
          </w:tcPr>
          <w:p w14:paraId="3707CE9C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Wollongong</w:t>
            </w:r>
          </w:p>
        </w:tc>
        <w:tc>
          <w:tcPr>
            <w:tcW w:w="692" w:type="pct"/>
          </w:tcPr>
          <w:p w14:paraId="418DFF81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421</w:t>
            </w:r>
          </w:p>
        </w:tc>
        <w:tc>
          <w:tcPr>
            <w:tcW w:w="1387" w:type="pct"/>
          </w:tcPr>
          <w:p w14:paraId="7F8FC09D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337 (80.0%)</w:t>
            </w:r>
          </w:p>
        </w:tc>
        <w:tc>
          <w:tcPr>
            <w:tcW w:w="1363" w:type="pct"/>
          </w:tcPr>
          <w:p w14:paraId="48DD558C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84 (20.0%)</w:t>
            </w:r>
          </w:p>
        </w:tc>
      </w:tr>
      <w:tr w:rsidR="00467FE5" w:rsidRPr="001E3609" w14:paraId="1DE210ED" w14:textId="77777777" w:rsidTr="006B5D1A">
        <w:tc>
          <w:tcPr>
            <w:tcW w:w="1558" w:type="pct"/>
          </w:tcPr>
          <w:p w14:paraId="073B45A1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Shoalhaven</w:t>
            </w:r>
          </w:p>
        </w:tc>
        <w:tc>
          <w:tcPr>
            <w:tcW w:w="692" w:type="pct"/>
          </w:tcPr>
          <w:p w14:paraId="07EAF274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116</w:t>
            </w:r>
          </w:p>
        </w:tc>
        <w:tc>
          <w:tcPr>
            <w:tcW w:w="1387" w:type="pct"/>
          </w:tcPr>
          <w:p w14:paraId="5B64121F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101 (87.1%)</w:t>
            </w:r>
          </w:p>
        </w:tc>
        <w:tc>
          <w:tcPr>
            <w:tcW w:w="1363" w:type="pct"/>
          </w:tcPr>
          <w:p w14:paraId="29182221" w14:textId="77777777" w:rsidR="00467FE5" w:rsidRPr="001E3609" w:rsidRDefault="00467FE5" w:rsidP="006B5D1A">
            <w:pPr>
              <w:spacing w:beforeLines="0" w:before="0" w:afterLines="0" w:after="100" w:afterAutospacing="1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15 (12.9%)</w:t>
            </w:r>
          </w:p>
        </w:tc>
      </w:tr>
    </w:tbl>
    <w:p w14:paraId="04B00BC6" w14:textId="77777777" w:rsidR="00467FE5" w:rsidRPr="00134F6F" w:rsidRDefault="00467FE5" w:rsidP="00467FE5">
      <w:pPr>
        <w:spacing w:beforeLines="0" w:before="0" w:after="120" w:line="240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134F6F">
        <w:rPr>
          <w:rFonts w:eastAsia="SimSun"/>
          <w:i/>
          <w:iCs/>
          <w:sz w:val="22"/>
          <w:szCs w:val="22"/>
          <w:lang w:eastAsia="zh-CN"/>
        </w:rPr>
        <w:t>Note: This table describes the descriptive sample for Model A, defined as patients with a recorded first treatment initiation date and sufficient information to determine whether oncology consultation occurred before or on that date (N=537). The complete-case regression sample used in Figure 3 Model A was n=529 after excluding patients with incomplete covariate information. Patients with unknown molecular subtype (n=8) and missing or non-applicable histological grade (n=6) were included in the overall cohort total but omitted from the corresponding stratified rows because of small cell counts. Percentages are calculated within each covariate stratum.</w:t>
      </w:r>
    </w:p>
    <w:p w14:paraId="70C05CD4" w14:textId="77777777" w:rsidR="00467FE5" w:rsidRPr="001E3609" w:rsidRDefault="00467FE5" w:rsidP="00467FE5">
      <w:pPr>
        <w:spacing w:beforeLines="100" w:before="240" w:after="120"/>
        <w:rPr>
          <w:rFonts w:eastAsia="SimSun"/>
          <w:b/>
          <w:bCs/>
          <w:sz w:val="22"/>
          <w:szCs w:val="22"/>
          <w:lang w:eastAsia="zh-CN"/>
        </w:rPr>
      </w:pPr>
      <w:r w:rsidRPr="001E3609">
        <w:rPr>
          <w:rFonts w:eastAsia="SimSun"/>
          <w:b/>
          <w:bCs/>
          <w:sz w:val="22"/>
          <w:szCs w:val="22"/>
          <w:lang w:eastAsia="zh-CN"/>
        </w:rPr>
        <w:t>Appendix 4B. Covariate distribution by coordination pattern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255"/>
        <w:gridCol w:w="1276"/>
        <w:gridCol w:w="1985"/>
        <w:gridCol w:w="2114"/>
      </w:tblGrid>
      <w:tr w:rsidR="00467FE5" w:rsidRPr="001E3609" w14:paraId="2A608E74" w14:textId="77777777" w:rsidTr="006B5D1A">
        <w:tc>
          <w:tcPr>
            <w:tcW w:w="1886" w:type="pct"/>
          </w:tcPr>
          <w:p w14:paraId="1EB6302C" w14:textId="77777777" w:rsidR="00467FE5" w:rsidRPr="001E3609" w:rsidRDefault="00467FE5" w:rsidP="006B5D1A">
            <w:pPr>
              <w:spacing w:beforeLines="0" w:before="0" w:afterLines="0" w:after="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Covariate stratum</w:t>
            </w:r>
          </w:p>
        </w:tc>
        <w:tc>
          <w:tcPr>
            <w:tcW w:w="739" w:type="pct"/>
          </w:tcPr>
          <w:p w14:paraId="4E62C4E7" w14:textId="77777777" w:rsidR="00467FE5" w:rsidRPr="001E3609" w:rsidRDefault="00467FE5" w:rsidP="006B5D1A">
            <w:pPr>
              <w:spacing w:beforeLines="0" w:before="0" w:afterLines="0" w:after="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N</w:t>
            </w:r>
          </w:p>
        </w:tc>
        <w:tc>
          <w:tcPr>
            <w:tcW w:w="1150" w:type="pct"/>
          </w:tcPr>
          <w:p w14:paraId="3E289F3F" w14:textId="77777777" w:rsidR="00467FE5" w:rsidRPr="001E3609" w:rsidRDefault="00467FE5" w:rsidP="006B5D1A">
            <w:pPr>
              <w:spacing w:beforeLines="0" w:before="0" w:afterLines="0" w:after="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MDT-led</w:t>
            </w:r>
          </w:p>
        </w:tc>
        <w:tc>
          <w:tcPr>
            <w:tcW w:w="1225" w:type="pct"/>
          </w:tcPr>
          <w:p w14:paraId="3771F8BF" w14:textId="77777777" w:rsidR="00467FE5" w:rsidRPr="001E3609" w:rsidRDefault="00467FE5" w:rsidP="006B5D1A">
            <w:pPr>
              <w:spacing w:beforeLines="0" w:before="0" w:afterLines="0" w:after="0" w:line="240" w:lineRule="auto"/>
              <w:jc w:val="center"/>
            </w:pPr>
            <w:r w:rsidRPr="001E3609">
              <w:rPr>
                <w:rFonts w:eastAsia="Arial"/>
                <w:b/>
                <w:bCs/>
              </w:rPr>
              <w:t>Referral-led</w:t>
            </w:r>
          </w:p>
        </w:tc>
      </w:tr>
      <w:tr w:rsidR="00467FE5" w:rsidRPr="001E3609" w14:paraId="72F71775" w14:textId="77777777" w:rsidTr="006B5D1A">
        <w:tc>
          <w:tcPr>
            <w:tcW w:w="5000" w:type="pct"/>
            <w:gridSpan w:val="4"/>
          </w:tcPr>
          <w:p w14:paraId="5545D487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Molecular subtype</w:t>
            </w:r>
          </w:p>
        </w:tc>
      </w:tr>
      <w:tr w:rsidR="00467FE5" w:rsidRPr="001E3609" w14:paraId="31B54F4A" w14:textId="77777777" w:rsidTr="006B5D1A">
        <w:tc>
          <w:tcPr>
            <w:tcW w:w="1886" w:type="pct"/>
          </w:tcPr>
          <w:p w14:paraId="0C4BCA3C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Luminal</w:t>
            </w:r>
          </w:p>
        </w:tc>
        <w:tc>
          <w:tcPr>
            <w:tcW w:w="739" w:type="pct"/>
          </w:tcPr>
          <w:p w14:paraId="529A1478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441</w:t>
            </w:r>
          </w:p>
        </w:tc>
        <w:tc>
          <w:tcPr>
            <w:tcW w:w="1150" w:type="pct"/>
          </w:tcPr>
          <w:p w14:paraId="7C103407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263 (59.6%)</w:t>
            </w:r>
          </w:p>
        </w:tc>
        <w:tc>
          <w:tcPr>
            <w:tcW w:w="1225" w:type="pct"/>
          </w:tcPr>
          <w:p w14:paraId="14A8FB17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178 (40.4%)</w:t>
            </w:r>
          </w:p>
        </w:tc>
      </w:tr>
      <w:tr w:rsidR="00467FE5" w:rsidRPr="001E3609" w14:paraId="5CBE9331" w14:textId="77777777" w:rsidTr="006B5D1A">
        <w:tc>
          <w:tcPr>
            <w:tcW w:w="1886" w:type="pct"/>
          </w:tcPr>
          <w:p w14:paraId="13AF8AA0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HER2-positive</w:t>
            </w:r>
          </w:p>
        </w:tc>
        <w:tc>
          <w:tcPr>
            <w:tcW w:w="739" w:type="pct"/>
          </w:tcPr>
          <w:p w14:paraId="5065CD34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53</w:t>
            </w:r>
          </w:p>
        </w:tc>
        <w:tc>
          <w:tcPr>
            <w:tcW w:w="1150" w:type="pct"/>
          </w:tcPr>
          <w:p w14:paraId="6C7E1CC1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34 (64.2%)</w:t>
            </w:r>
          </w:p>
        </w:tc>
        <w:tc>
          <w:tcPr>
            <w:tcW w:w="1225" w:type="pct"/>
          </w:tcPr>
          <w:p w14:paraId="3D22024A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19 (35.8%)</w:t>
            </w:r>
          </w:p>
        </w:tc>
      </w:tr>
      <w:tr w:rsidR="00467FE5" w:rsidRPr="001E3609" w14:paraId="748FCDB9" w14:textId="77777777" w:rsidTr="006B5D1A">
        <w:tc>
          <w:tcPr>
            <w:tcW w:w="1886" w:type="pct"/>
          </w:tcPr>
          <w:p w14:paraId="1621B57D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Triple negative</w:t>
            </w:r>
          </w:p>
        </w:tc>
        <w:tc>
          <w:tcPr>
            <w:tcW w:w="739" w:type="pct"/>
          </w:tcPr>
          <w:p w14:paraId="263C4B76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56</w:t>
            </w:r>
          </w:p>
        </w:tc>
        <w:tc>
          <w:tcPr>
            <w:tcW w:w="1150" w:type="pct"/>
          </w:tcPr>
          <w:p w14:paraId="7227B98B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31 (55.4%)</w:t>
            </w:r>
          </w:p>
        </w:tc>
        <w:tc>
          <w:tcPr>
            <w:tcW w:w="1225" w:type="pct"/>
          </w:tcPr>
          <w:p w14:paraId="7905F4DD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25 (44.6%)</w:t>
            </w:r>
          </w:p>
        </w:tc>
      </w:tr>
      <w:tr w:rsidR="00467FE5" w:rsidRPr="001E3609" w14:paraId="26D27591" w14:textId="77777777" w:rsidTr="006B5D1A">
        <w:tc>
          <w:tcPr>
            <w:tcW w:w="5000" w:type="pct"/>
            <w:gridSpan w:val="4"/>
          </w:tcPr>
          <w:p w14:paraId="4BD433C2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TNM stage</w:t>
            </w:r>
          </w:p>
        </w:tc>
      </w:tr>
      <w:tr w:rsidR="00467FE5" w:rsidRPr="001E3609" w14:paraId="37307414" w14:textId="77777777" w:rsidTr="006B5D1A">
        <w:tc>
          <w:tcPr>
            <w:tcW w:w="1886" w:type="pct"/>
          </w:tcPr>
          <w:p w14:paraId="72F4F837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I</w:t>
            </w:r>
          </w:p>
        </w:tc>
        <w:tc>
          <w:tcPr>
            <w:tcW w:w="739" w:type="pct"/>
          </w:tcPr>
          <w:p w14:paraId="3AE34D31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246</w:t>
            </w:r>
          </w:p>
        </w:tc>
        <w:tc>
          <w:tcPr>
            <w:tcW w:w="1150" w:type="pct"/>
          </w:tcPr>
          <w:p w14:paraId="3D152A57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138 (56.1%)</w:t>
            </w:r>
          </w:p>
        </w:tc>
        <w:tc>
          <w:tcPr>
            <w:tcW w:w="1225" w:type="pct"/>
          </w:tcPr>
          <w:p w14:paraId="700627C4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108 (43.9%)</w:t>
            </w:r>
          </w:p>
        </w:tc>
      </w:tr>
      <w:tr w:rsidR="00467FE5" w:rsidRPr="001E3609" w14:paraId="553A4C68" w14:textId="77777777" w:rsidTr="006B5D1A">
        <w:tc>
          <w:tcPr>
            <w:tcW w:w="1886" w:type="pct"/>
          </w:tcPr>
          <w:p w14:paraId="58E1F011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II</w:t>
            </w:r>
          </w:p>
        </w:tc>
        <w:tc>
          <w:tcPr>
            <w:tcW w:w="739" w:type="pct"/>
          </w:tcPr>
          <w:p w14:paraId="6EC39CFB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232</w:t>
            </w:r>
          </w:p>
        </w:tc>
        <w:tc>
          <w:tcPr>
            <w:tcW w:w="1150" w:type="pct"/>
          </w:tcPr>
          <w:p w14:paraId="616A3D19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147 (63.4%)</w:t>
            </w:r>
          </w:p>
        </w:tc>
        <w:tc>
          <w:tcPr>
            <w:tcW w:w="1225" w:type="pct"/>
          </w:tcPr>
          <w:p w14:paraId="43B6C1EC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85 (36.6%)</w:t>
            </w:r>
          </w:p>
        </w:tc>
      </w:tr>
      <w:tr w:rsidR="00467FE5" w:rsidRPr="001E3609" w14:paraId="15D7B84C" w14:textId="77777777" w:rsidTr="006B5D1A">
        <w:tc>
          <w:tcPr>
            <w:tcW w:w="1886" w:type="pct"/>
          </w:tcPr>
          <w:p w14:paraId="38920B2C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III–IV</w:t>
            </w:r>
          </w:p>
        </w:tc>
        <w:tc>
          <w:tcPr>
            <w:tcW w:w="739" w:type="pct"/>
          </w:tcPr>
          <w:p w14:paraId="55C36535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79</w:t>
            </w:r>
          </w:p>
        </w:tc>
        <w:tc>
          <w:tcPr>
            <w:tcW w:w="1150" w:type="pct"/>
          </w:tcPr>
          <w:p w14:paraId="440E945F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48 (60.8%)</w:t>
            </w:r>
          </w:p>
        </w:tc>
        <w:tc>
          <w:tcPr>
            <w:tcW w:w="1225" w:type="pct"/>
          </w:tcPr>
          <w:p w14:paraId="7E5ECC7C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31 (39.2%)</w:t>
            </w:r>
          </w:p>
        </w:tc>
      </w:tr>
      <w:tr w:rsidR="00467FE5" w:rsidRPr="001E3609" w14:paraId="36A8B9B8" w14:textId="77777777" w:rsidTr="006B5D1A">
        <w:tc>
          <w:tcPr>
            <w:tcW w:w="5000" w:type="pct"/>
            <w:gridSpan w:val="4"/>
          </w:tcPr>
          <w:p w14:paraId="0FC5E9D8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Histological grade</w:t>
            </w:r>
          </w:p>
        </w:tc>
      </w:tr>
      <w:tr w:rsidR="00467FE5" w:rsidRPr="001E3609" w14:paraId="229D2EE2" w14:textId="77777777" w:rsidTr="006B5D1A">
        <w:tc>
          <w:tcPr>
            <w:tcW w:w="1886" w:type="pct"/>
          </w:tcPr>
          <w:p w14:paraId="01E98ECE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1</w:t>
            </w:r>
          </w:p>
        </w:tc>
        <w:tc>
          <w:tcPr>
            <w:tcW w:w="739" w:type="pct"/>
          </w:tcPr>
          <w:p w14:paraId="781828D5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105</w:t>
            </w:r>
          </w:p>
        </w:tc>
        <w:tc>
          <w:tcPr>
            <w:tcW w:w="1150" w:type="pct"/>
          </w:tcPr>
          <w:p w14:paraId="51E375D5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62 (59.0%)</w:t>
            </w:r>
          </w:p>
        </w:tc>
        <w:tc>
          <w:tcPr>
            <w:tcW w:w="1225" w:type="pct"/>
          </w:tcPr>
          <w:p w14:paraId="1E2C3FED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43 (41.0%)</w:t>
            </w:r>
          </w:p>
        </w:tc>
      </w:tr>
      <w:tr w:rsidR="00467FE5" w:rsidRPr="001E3609" w14:paraId="52EECF09" w14:textId="77777777" w:rsidTr="006B5D1A">
        <w:tc>
          <w:tcPr>
            <w:tcW w:w="1886" w:type="pct"/>
          </w:tcPr>
          <w:p w14:paraId="031C4808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</w:pPr>
            <w:r w:rsidRPr="001E3609">
              <w:rPr>
                <w:rFonts w:eastAsia="Arial"/>
              </w:rPr>
              <w:t>2</w:t>
            </w:r>
          </w:p>
        </w:tc>
        <w:tc>
          <w:tcPr>
            <w:tcW w:w="739" w:type="pct"/>
          </w:tcPr>
          <w:p w14:paraId="6F0409A9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256</w:t>
            </w:r>
          </w:p>
        </w:tc>
        <w:tc>
          <w:tcPr>
            <w:tcW w:w="1150" w:type="pct"/>
          </w:tcPr>
          <w:p w14:paraId="08F37F6D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151 (59.0%)</w:t>
            </w:r>
          </w:p>
        </w:tc>
        <w:tc>
          <w:tcPr>
            <w:tcW w:w="1225" w:type="pct"/>
          </w:tcPr>
          <w:p w14:paraId="006C39B7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105 (41.0%)</w:t>
            </w:r>
          </w:p>
        </w:tc>
      </w:tr>
      <w:tr w:rsidR="00467FE5" w:rsidRPr="001E3609" w14:paraId="1D6E513D" w14:textId="77777777" w:rsidTr="006B5D1A">
        <w:tc>
          <w:tcPr>
            <w:tcW w:w="1886" w:type="pct"/>
          </w:tcPr>
          <w:p w14:paraId="2E8976E5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</w:pPr>
            <w:r w:rsidRPr="001E3609">
              <w:rPr>
                <w:rFonts w:eastAsia="Arial"/>
              </w:rPr>
              <w:t>3</w:t>
            </w:r>
          </w:p>
        </w:tc>
        <w:tc>
          <w:tcPr>
            <w:tcW w:w="739" w:type="pct"/>
          </w:tcPr>
          <w:p w14:paraId="6AA30056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SimSun"/>
                <w:lang w:eastAsia="zh-CN"/>
              </w:rPr>
            </w:pPr>
            <w:r w:rsidRPr="001E3609">
              <w:rPr>
                <w:rFonts w:eastAsia="Arial"/>
              </w:rPr>
              <w:t>19</w:t>
            </w:r>
            <w:r w:rsidRPr="001E3609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0" w:type="pct"/>
          </w:tcPr>
          <w:p w14:paraId="0A50D895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11</w:t>
            </w:r>
            <w:r w:rsidRPr="001E3609">
              <w:rPr>
                <w:rFonts w:eastAsia="SimSun"/>
                <w:lang w:eastAsia="zh-CN"/>
              </w:rPr>
              <w:t>5</w:t>
            </w:r>
            <w:r w:rsidRPr="001E3609">
              <w:rPr>
                <w:rFonts w:eastAsia="Arial"/>
              </w:rPr>
              <w:t xml:space="preserve"> (6</w:t>
            </w:r>
            <w:r w:rsidRPr="001E3609">
              <w:rPr>
                <w:rFonts w:eastAsia="SimSun"/>
                <w:lang w:eastAsia="zh-CN"/>
              </w:rPr>
              <w:t>0.5</w:t>
            </w:r>
            <w:r w:rsidRPr="001E3609">
              <w:rPr>
                <w:rFonts w:eastAsia="Arial"/>
              </w:rPr>
              <w:t>%)</w:t>
            </w:r>
          </w:p>
        </w:tc>
        <w:tc>
          <w:tcPr>
            <w:tcW w:w="1225" w:type="pct"/>
          </w:tcPr>
          <w:p w14:paraId="5A9190D6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75 (3</w:t>
            </w:r>
            <w:r w:rsidRPr="001E3609">
              <w:rPr>
                <w:rFonts w:eastAsia="SimSun"/>
                <w:lang w:eastAsia="zh-CN"/>
              </w:rPr>
              <w:t>9.5</w:t>
            </w:r>
            <w:r w:rsidRPr="001E3609">
              <w:rPr>
                <w:rFonts w:eastAsia="Arial"/>
              </w:rPr>
              <w:t>%)</w:t>
            </w:r>
          </w:p>
        </w:tc>
      </w:tr>
      <w:tr w:rsidR="00467FE5" w:rsidRPr="001E3609" w14:paraId="2E06E044" w14:textId="77777777" w:rsidTr="006B5D1A">
        <w:tc>
          <w:tcPr>
            <w:tcW w:w="5000" w:type="pct"/>
            <w:gridSpan w:val="4"/>
          </w:tcPr>
          <w:p w14:paraId="2C2F4F6D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Age</w:t>
            </w:r>
            <w:r w:rsidRPr="001E3609">
              <w:rPr>
                <w:rFonts w:eastAsia="SimSun"/>
                <w:i/>
                <w:iCs/>
                <w:lang w:eastAsia="zh-CN"/>
              </w:rPr>
              <w:t xml:space="preserve"> group</w:t>
            </w:r>
          </w:p>
        </w:tc>
      </w:tr>
      <w:tr w:rsidR="00467FE5" w:rsidRPr="001E3609" w14:paraId="2C904268" w14:textId="77777777" w:rsidTr="006B5D1A">
        <w:tc>
          <w:tcPr>
            <w:tcW w:w="1886" w:type="pct"/>
          </w:tcPr>
          <w:p w14:paraId="58D6581C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lastRenderedPageBreak/>
              <w:t>&lt;65</w:t>
            </w:r>
          </w:p>
        </w:tc>
        <w:tc>
          <w:tcPr>
            <w:tcW w:w="739" w:type="pct"/>
          </w:tcPr>
          <w:p w14:paraId="31FF07FC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283</w:t>
            </w:r>
          </w:p>
        </w:tc>
        <w:tc>
          <w:tcPr>
            <w:tcW w:w="1150" w:type="pct"/>
          </w:tcPr>
          <w:p w14:paraId="1FE211E9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173 (61.1%)</w:t>
            </w:r>
          </w:p>
        </w:tc>
        <w:tc>
          <w:tcPr>
            <w:tcW w:w="1225" w:type="pct"/>
          </w:tcPr>
          <w:p w14:paraId="3ED5D66F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110 (38.9%)</w:t>
            </w:r>
          </w:p>
        </w:tc>
      </w:tr>
      <w:tr w:rsidR="00467FE5" w:rsidRPr="001E3609" w14:paraId="58156598" w14:textId="77777777" w:rsidTr="006B5D1A">
        <w:tc>
          <w:tcPr>
            <w:tcW w:w="1886" w:type="pct"/>
          </w:tcPr>
          <w:p w14:paraId="355060B4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</w:pPr>
            <w:r w:rsidRPr="001E3609">
              <w:rPr>
                <w:rFonts w:eastAsia="Arial"/>
              </w:rPr>
              <w:t>≥65</w:t>
            </w:r>
          </w:p>
        </w:tc>
        <w:tc>
          <w:tcPr>
            <w:tcW w:w="739" w:type="pct"/>
          </w:tcPr>
          <w:p w14:paraId="679AB9D2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274</w:t>
            </w:r>
          </w:p>
        </w:tc>
        <w:tc>
          <w:tcPr>
            <w:tcW w:w="1150" w:type="pct"/>
          </w:tcPr>
          <w:p w14:paraId="35D7A4BA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160 (58.4%)</w:t>
            </w:r>
          </w:p>
        </w:tc>
        <w:tc>
          <w:tcPr>
            <w:tcW w:w="1225" w:type="pct"/>
          </w:tcPr>
          <w:p w14:paraId="2CD73B94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114 (41.6%)</w:t>
            </w:r>
          </w:p>
        </w:tc>
      </w:tr>
      <w:tr w:rsidR="00467FE5" w:rsidRPr="001E3609" w14:paraId="13743665" w14:textId="77777777" w:rsidTr="006B5D1A">
        <w:tc>
          <w:tcPr>
            <w:tcW w:w="5000" w:type="pct"/>
            <w:gridSpan w:val="4"/>
          </w:tcPr>
          <w:p w14:paraId="47E76756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i/>
                <w:iCs/>
              </w:rPr>
            </w:pPr>
            <w:r w:rsidRPr="001E3609">
              <w:rPr>
                <w:rFonts w:eastAsia="Arial"/>
                <w:i/>
                <w:iCs/>
              </w:rPr>
              <w:t>Hospital</w:t>
            </w:r>
          </w:p>
        </w:tc>
      </w:tr>
      <w:tr w:rsidR="00467FE5" w:rsidRPr="001E3609" w14:paraId="44E94786" w14:textId="77777777" w:rsidTr="006B5D1A">
        <w:tc>
          <w:tcPr>
            <w:tcW w:w="1886" w:type="pct"/>
          </w:tcPr>
          <w:p w14:paraId="6C578699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  <w:rPr>
                <w:rFonts w:eastAsia="Arial"/>
              </w:rPr>
            </w:pPr>
            <w:r w:rsidRPr="001E3609">
              <w:rPr>
                <w:rFonts w:eastAsia="Arial"/>
              </w:rPr>
              <w:t>Wollongong</w:t>
            </w:r>
          </w:p>
        </w:tc>
        <w:tc>
          <w:tcPr>
            <w:tcW w:w="739" w:type="pct"/>
          </w:tcPr>
          <w:p w14:paraId="74D3877A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445</w:t>
            </w:r>
          </w:p>
        </w:tc>
        <w:tc>
          <w:tcPr>
            <w:tcW w:w="1150" w:type="pct"/>
          </w:tcPr>
          <w:p w14:paraId="720142BC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248 (55.7%)</w:t>
            </w:r>
          </w:p>
        </w:tc>
        <w:tc>
          <w:tcPr>
            <w:tcW w:w="1225" w:type="pct"/>
          </w:tcPr>
          <w:p w14:paraId="356A2A65" w14:textId="77777777" w:rsidR="00467FE5" w:rsidRPr="001E3609" w:rsidRDefault="00467FE5" w:rsidP="006B5D1A">
            <w:pPr>
              <w:spacing w:beforeLines="0" w:before="0" w:afterLines="0" w:after="0" w:line="240" w:lineRule="auto"/>
              <w:rPr>
                <w:rFonts w:eastAsia="Arial"/>
              </w:rPr>
            </w:pPr>
            <w:r w:rsidRPr="001E3609">
              <w:rPr>
                <w:rFonts w:eastAsia="Arial"/>
              </w:rPr>
              <w:t>197 (44.3%)</w:t>
            </w:r>
          </w:p>
        </w:tc>
      </w:tr>
      <w:tr w:rsidR="00467FE5" w:rsidRPr="001E3609" w14:paraId="6B9615AE" w14:textId="77777777" w:rsidTr="006B5D1A">
        <w:tc>
          <w:tcPr>
            <w:tcW w:w="1886" w:type="pct"/>
          </w:tcPr>
          <w:p w14:paraId="4469A98F" w14:textId="77777777" w:rsidR="00467FE5" w:rsidRPr="001E3609" w:rsidRDefault="00467FE5" w:rsidP="006B5D1A">
            <w:pPr>
              <w:spacing w:beforeLines="0" w:before="0" w:afterLines="0" w:after="0" w:line="240" w:lineRule="auto"/>
              <w:ind w:firstLineChars="100" w:firstLine="210"/>
            </w:pPr>
            <w:r w:rsidRPr="001E3609">
              <w:rPr>
                <w:rFonts w:eastAsia="Arial"/>
              </w:rPr>
              <w:t>Shoalhaven</w:t>
            </w:r>
          </w:p>
        </w:tc>
        <w:tc>
          <w:tcPr>
            <w:tcW w:w="739" w:type="pct"/>
          </w:tcPr>
          <w:p w14:paraId="249AB089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112</w:t>
            </w:r>
          </w:p>
        </w:tc>
        <w:tc>
          <w:tcPr>
            <w:tcW w:w="1150" w:type="pct"/>
          </w:tcPr>
          <w:p w14:paraId="5D734C96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85 (75.9%)</w:t>
            </w:r>
          </w:p>
        </w:tc>
        <w:tc>
          <w:tcPr>
            <w:tcW w:w="1225" w:type="pct"/>
          </w:tcPr>
          <w:p w14:paraId="2B4E0803" w14:textId="77777777" w:rsidR="00467FE5" w:rsidRPr="001E3609" w:rsidRDefault="00467FE5" w:rsidP="006B5D1A">
            <w:pPr>
              <w:spacing w:beforeLines="0" w:before="0" w:afterLines="0" w:after="0" w:line="240" w:lineRule="auto"/>
            </w:pPr>
            <w:r w:rsidRPr="001E3609">
              <w:rPr>
                <w:rFonts w:eastAsia="Arial"/>
              </w:rPr>
              <w:t>27 (24.1%)</w:t>
            </w:r>
          </w:p>
        </w:tc>
      </w:tr>
    </w:tbl>
    <w:p w14:paraId="77CAB60F" w14:textId="77777777" w:rsidR="00467FE5" w:rsidRPr="001E3609" w:rsidRDefault="00467FE5" w:rsidP="00467FE5">
      <w:pPr>
        <w:spacing w:beforeLines="0" w:before="0" w:after="120" w:line="240" w:lineRule="auto"/>
        <w:jc w:val="both"/>
        <w:rPr>
          <w:i/>
          <w:iCs/>
          <w:lang w:eastAsia="zh-CN"/>
        </w:rPr>
      </w:pPr>
      <w:r w:rsidRPr="001E3609">
        <w:rPr>
          <w:rFonts w:eastAsia="SimSun"/>
          <w:i/>
          <w:iCs/>
          <w:sz w:val="22"/>
          <w:szCs w:val="22"/>
          <w:lang w:eastAsia="zh-CN"/>
        </w:rPr>
        <w:t xml:space="preserve">Note: </w:t>
      </w:r>
      <w:r w:rsidRPr="001E3609">
        <w:rPr>
          <w:rFonts w:eastAsia="Arial"/>
          <w:i/>
          <w:iCs/>
          <w:sz w:val="22"/>
          <w:szCs w:val="22"/>
        </w:rPr>
        <w:t>This table describes the MDT-led and Referral-led cohort (N=557). The complete-case sample used in the multivariable Model B was n=547. Patients with unknown molecular subtype (n=7) and missing or non-applicable histological grade (n=6) were included in the overall cohort total but omitted from the corresponding stratified rows because of small cell counts. Percentages are calculated within each covariate stratum.</w:t>
      </w:r>
    </w:p>
    <w:p w14:paraId="36B75569" w14:textId="77777777" w:rsidR="00467FE5" w:rsidRDefault="00467FE5" w:rsidP="00467FE5">
      <w:pPr>
        <w:spacing w:before="120" w:after="120"/>
      </w:pPr>
    </w:p>
    <w:p w14:paraId="52577AB3" w14:textId="77777777" w:rsidR="008B07A6" w:rsidRDefault="008B07A6">
      <w:pPr>
        <w:spacing w:before="120" w:after="120"/>
      </w:pPr>
    </w:p>
    <w:sectPr w:rsidR="008B07A6" w:rsidSect="00467FE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E7AA" w14:textId="77777777" w:rsidR="00467FE5" w:rsidRDefault="00467FE5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9498"/>
      <w:docPartObj>
        <w:docPartGallery w:val="Page Numbers (Bottom of Page)"/>
        <w:docPartUnique/>
      </w:docPartObj>
    </w:sdtPr>
    <w:sdtContent>
      <w:p w14:paraId="36992409" w14:textId="77777777" w:rsidR="00467FE5" w:rsidRDefault="00467FE5">
        <w:pPr>
          <w:pStyle w:val="Footer"/>
          <w:spacing w:before="120" w:after="1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2C083607" w14:textId="77777777" w:rsidR="00467FE5" w:rsidRDefault="00467FE5">
    <w:pPr>
      <w:pStyle w:val="Footer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D06E" w14:textId="77777777" w:rsidR="00467FE5" w:rsidRDefault="00467FE5">
    <w:pPr>
      <w:pStyle w:val="Footer"/>
      <w:spacing w:before="120" w:after="12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7B73" w14:textId="77777777" w:rsidR="00467FE5" w:rsidRDefault="00467FE5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4425" w14:textId="77777777" w:rsidR="00467FE5" w:rsidRPr="006558B5" w:rsidRDefault="00467FE5" w:rsidP="006558B5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EC9" w14:textId="77777777" w:rsidR="00467FE5" w:rsidRDefault="00467FE5">
    <w:pPr>
      <w:pStyle w:val="Header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E5"/>
    <w:rsid w:val="00066677"/>
    <w:rsid w:val="003A4E89"/>
    <w:rsid w:val="00467FE5"/>
    <w:rsid w:val="00556784"/>
    <w:rsid w:val="008B07A6"/>
    <w:rsid w:val="00987B63"/>
    <w:rsid w:val="00D31E7D"/>
    <w:rsid w:val="00E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6D62"/>
  <w15:chartTrackingRefBased/>
  <w15:docId w15:val="{67EE5163-AEC0-4149-A937-8F69C84B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E5"/>
    <w:pPr>
      <w:spacing w:beforeLines="50" w:before="50" w:afterLines="50" w:after="50" w:line="300" w:lineRule="auto"/>
    </w:pPr>
    <w:rPr>
      <w:rFonts w:ascii="Calibri" w:eastAsia="Calibri" w:hAnsi="Calibri" w:cs="Calibri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E5"/>
    <w:pPr>
      <w:keepNext/>
      <w:keepLines/>
      <w:spacing w:beforeLines="0" w:before="360" w:afterLines="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FE5"/>
    <w:pPr>
      <w:keepNext/>
      <w:keepLines/>
      <w:spacing w:beforeLines="0" w:before="160" w:afterLines="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E5"/>
    <w:pPr>
      <w:keepNext/>
      <w:keepLines/>
      <w:spacing w:beforeLines="0" w:before="160" w:afterLines="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E5"/>
    <w:pPr>
      <w:keepNext/>
      <w:keepLines/>
      <w:spacing w:beforeLines="0" w:before="80" w:afterLines="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E5"/>
    <w:pPr>
      <w:keepNext/>
      <w:keepLines/>
      <w:spacing w:beforeLines="0" w:before="80" w:afterLines="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E5"/>
    <w:pPr>
      <w:keepNext/>
      <w:keepLines/>
      <w:spacing w:beforeLines="0" w:before="40" w:afterLines="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E5"/>
    <w:pPr>
      <w:keepNext/>
      <w:keepLines/>
      <w:spacing w:beforeLines="0" w:before="40" w:afterLines="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E5"/>
    <w:pPr>
      <w:keepNext/>
      <w:keepLines/>
      <w:spacing w:beforeLines="0" w:before="0" w:afterLines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E5"/>
    <w:pPr>
      <w:keepNext/>
      <w:keepLines/>
      <w:spacing w:beforeLines="0" w:before="0" w:afterLines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FE5"/>
    <w:pPr>
      <w:spacing w:beforeLines="0" w:before="0" w:afterLines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E5"/>
    <w:pPr>
      <w:numPr>
        <w:ilvl w:val="1"/>
      </w:numPr>
      <w:spacing w:beforeLines="0" w:before="0" w:afterLines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FE5"/>
    <w:pPr>
      <w:spacing w:beforeLines="0" w:before="160" w:afterLines="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FE5"/>
    <w:pPr>
      <w:spacing w:beforeLines="0" w:before="0" w:afterLines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Lines="0" w:before="360" w:afterLines="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F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7FE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7FE5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F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7FE5"/>
    <w:rPr>
      <w:rFonts w:ascii="Calibri" w:eastAsia="Calibri" w:hAnsi="Calibri" w:cs="Calibr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467FE5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2026-06-05T15:16:00Z</dcterms:created>
  <dcterms:modified xsi:type="dcterms:W3CDTF">2026-06-05T15:17:00Z</dcterms:modified>
</cp:coreProperties>
</file>