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1FD82" w14:textId="1F27DD68" w:rsidR="00380DA8" w:rsidRDefault="00380DA8" w:rsidP="00380DA8">
      <w:pPr>
        <w:spacing w:after="120"/>
        <w:rPr>
          <w:b/>
          <w:bCs/>
        </w:rPr>
      </w:pPr>
      <w:r>
        <w:rPr>
          <w:b/>
          <w:bCs/>
        </w:rPr>
        <w:t>Supplemental Information</w:t>
      </w:r>
    </w:p>
    <w:p w14:paraId="79620A75" w14:textId="2686B294" w:rsidR="00380DA8" w:rsidRPr="00C5417C" w:rsidRDefault="00C5417C" w:rsidP="00380DA8">
      <w:pPr>
        <w:spacing w:after="120"/>
        <w:rPr>
          <w:b/>
          <w:bCs/>
        </w:rPr>
      </w:pPr>
      <w:r>
        <w:rPr>
          <w:b/>
          <w:bCs/>
        </w:rPr>
        <w:t>S</w:t>
      </w:r>
      <w:r w:rsidR="00AC5121">
        <w:rPr>
          <w:b/>
          <w:bCs/>
        </w:rPr>
        <w:t>I</w:t>
      </w:r>
      <w:r>
        <w:rPr>
          <w:b/>
          <w:bCs/>
        </w:rPr>
        <w:t xml:space="preserve">1: </w:t>
      </w:r>
      <w:r w:rsidR="00380DA8" w:rsidRPr="00C5417C">
        <w:rPr>
          <w:b/>
          <w:bCs/>
        </w:rPr>
        <w:t>Seasonality of SST Response in CESM2 4xAbruptCO2 Experiment</w:t>
      </w:r>
    </w:p>
    <w:p w14:paraId="28683093" w14:textId="26B568D4" w:rsidR="00380DA8" w:rsidRDefault="00380DA8" w:rsidP="00380DA8">
      <w:pPr>
        <w:spacing w:after="120"/>
      </w:pPr>
      <w:r w:rsidRPr="00380DA8">
        <w:rPr>
          <w:noProof/>
        </w:rPr>
        <mc:AlternateContent>
          <mc:Choice Requires="wps">
            <w:drawing>
              <wp:anchor distT="0" distB="0" distL="114300" distR="114300" simplePos="0" relativeHeight="251659264" behindDoc="1" locked="0" layoutInCell="1" allowOverlap="1" wp14:anchorId="2D7626B2" wp14:editId="5B412C40">
                <wp:simplePos x="0" y="0"/>
                <wp:positionH relativeFrom="margin">
                  <wp:align>right</wp:align>
                </wp:positionH>
                <wp:positionV relativeFrom="margin">
                  <wp:align>bottom</wp:align>
                </wp:positionV>
                <wp:extent cx="2743200" cy="6346825"/>
                <wp:effectExtent l="12700" t="12700" r="12700" b="15875"/>
                <wp:wrapSquare wrapText="bothSides"/>
                <wp:docPr id="928705741" name="Text Box 2"/>
                <wp:cNvGraphicFramePr/>
                <a:graphic xmlns:a="http://schemas.openxmlformats.org/drawingml/2006/main">
                  <a:graphicData uri="http://schemas.microsoft.com/office/word/2010/wordprocessingShape">
                    <wps:wsp>
                      <wps:cNvSpPr txBox="1"/>
                      <wps:spPr>
                        <a:xfrm>
                          <a:off x="0" y="0"/>
                          <a:ext cx="2743200" cy="6346825"/>
                        </a:xfrm>
                        <a:prstGeom prst="rect">
                          <a:avLst/>
                        </a:prstGeom>
                        <a:solidFill>
                          <a:sysClr val="window" lastClr="FFFFFF"/>
                        </a:solidFill>
                        <a:ln w="28575">
                          <a:solidFill>
                            <a:schemeClr val="tx1"/>
                          </a:solidFill>
                        </a:ln>
                      </wps:spPr>
                      <wps:txbx>
                        <w:txbxContent>
                          <w:p w14:paraId="5E3BCA68" w14:textId="77777777" w:rsidR="00380DA8" w:rsidRDefault="00380DA8" w:rsidP="00380DA8">
                            <w:pPr>
                              <w:spacing w:line="240" w:lineRule="auto"/>
                              <w:jc w:val="center"/>
                            </w:pPr>
                            <w:r>
                              <w:rPr>
                                <w:noProof/>
                              </w:rPr>
                              <w:drawing>
                                <wp:inline distT="0" distB="0" distL="0" distR="0" wp14:anchorId="07A708AA" wp14:editId="2E042066">
                                  <wp:extent cx="2514600" cy="4498777"/>
                                  <wp:effectExtent l="0" t="0" r="0" b="0"/>
                                  <wp:docPr id="1187121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2116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2514600" cy="4498777"/>
                                          </a:xfrm>
                                          <a:prstGeom prst="rect">
                                            <a:avLst/>
                                          </a:prstGeom>
                                        </pic:spPr>
                                      </pic:pic>
                                    </a:graphicData>
                                  </a:graphic>
                                </wp:inline>
                              </w:drawing>
                            </w:r>
                          </w:p>
                          <w:p w14:paraId="36D0E9D3" w14:textId="409BC2D2" w:rsidR="00380DA8" w:rsidRPr="00795550" w:rsidRDefault="00380DA8" w:rsidP="00380DA8">
                            <w:pPr>
                              <w:spacing w:line="240" w:lineRule="auto"/>
                            </w:pPr>
                            <w:r>
                              <w:rPr>
                                <w:b/>
                                <w:bCs/>
                              </w:rPr>
                              <w:t>Figure S1:</w:t>
                            </w:r>
                            <w:r>
                              <w:t xml:space="preserve"> Mid-latitude SST in the CESM2 4xAbruptCO2 simulations. (a) Seasonal SST over the mid-latitude oceans. (b) Ratio of seasonal SST change to annual SST change (solid lines), and ratio of SST change to equilibrated (last 100yr) annual SST change (dashed lines). (c) Change in annual cycle of SST.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626B2" id="_x0000_t202" coordsize="21600,21600" o:spt="202" path="m,l,21600r21600,l21600,xe">
                <v:stroke joinstyle="miter"/>
                <v:path gradientshapeok="t" o:connecttype="rect"/>
              </v:shapetype>
              <v:shape id="_x0000_s1026" type="#_x0000_t202" style="position:absolute;margin-left:164.8pt;margin-top:0;width:3in;height:499.75pt;z-index:-25165721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J7QgIAAI8EAAAOAAAAZHJzL2Uyb0RvYy54bWysVEtv2zAMvg/YfxB0X5ykedWIU2QpMgwI&#13;&#10;2gLp0LMiS7EBWdQkJXb260fJzqPdTsNyUEiR4uPjR88fmkqRo7CuBJ3RQa9PidAc8lLvM/rjdf1l&#13;&#10;RonzTOdMgRYZPQlHHxafP81rk4ohFKByYQkG0S6tTUYL702aJI4XomKuB0ZoNEqwFfOo2n2SW1Zj&#13;&#10;9Eolw35/ktRgc2OBC+fw9rE10kWML6Xg/llKJzxRGcXafDxtPHfhTBZzlu4tM0XJuzLYP1RRsVJj&#13;&#10;0kuoR+YZOdjyj1BVyS04kL7HoUpAypKL2AN2M+h/6GZbMCNiLwiOMxeY3P8Ly5+OW/NiiW++QoMD&#13;&#10;DIDUxqUOL0M/jbRV+MdKCdoRwtMFNtF4wvFyOB3d4Swo4Wib3I0ms+E4xEmuz411/puAigQhoxbn&#13;&#10;EuFix43zrevZJWRzoMp8XSoVlZNbKUuODEeIk8+hpkQx5/Eyo+v467K9e6Y0qbG22Xg6jqneGSO/&#13;&#10;xCWsb2LjWPCNF2pKYxdXOILkm13TYbSD/ITQWWhZ5Qxfl9jeBmt7YRZphJDgavhnPKQCrAY6iZIC&#13;&#10;7K+/3Qd/nC5aKamRlhl1Pw/MCmz5u8a53w9Go8DjqIzG0yEq9tayu7XoQ7UChG2AS2h4FIO/V2dR&#13;&#10;WqjecIOWISuamOaYO6P+LK58uyy4gVwsl9EJmWuY3+it4SF0mFEY3mvzxqzpJuyRHE9wJjBLPwy6&#13;&#10;9Q0vNSwPHmQZWRAAblHtcEfWRx51GxrW6laPXtfvyOI3AAAA//8DAFBLAwQUAAYACAAAACEAYNfp&#13;&#10;/N0AAAAKAQAADwAAAGRycy9kb3ducmV2LnhtbEyPQUvDQBCF74L/YRnBm520VjFpNqUoRcWTtfa8&#13;&#10;zU6T0OxsyG6b+O8dvejlweMxb96XL0fXqjP1ofGsYTpJQBGX3jZcadh+rG8eQIVo2JrWM2n4ogDL&#13;&#10;4vIiN5n1A7/TeRMrJSUcMqOhjrHLEENZkzNh4jtiyQ6+dyaK7Su0vRmk3LU4S5J7dKZh+VCbjh5r&#13;&#10;Ko+bk9MwPK+G9avl3Wdw0y0ex5c39HOtr6/Gp4XIagEq0hj/LuCHQfZDIcP2/sQ2qFaD0MRflWx+&#13;&#10;OxO715Cm6R1gkeN/hOIbAAD//wMAUEsBAi0AFAAGAAgAAAAhALaDOJL+AAAA4QEAABMAAAAAAAAA&#13;&#10;AAAAAAAAAAAAAFtDb250ZW50X1R5cGVzXS54bWxQSwECLQAUAAYACAAAACEAOP0h/9YAAACUAQAA&#13;&#10;CwAAAAAAAAAAAAAAAAAvAQAAX3JlbHMvLnJlbHNQSwECLQAUAAYACAAAACEAOf9Se0ICAACPBAAA&#13;&#10;DgAAAAAAAAAAAAAAAAAuAgAAZHJzL2Uyb0RvYy54bWxQSwECLQAUAAYACAAAACEAYNfp/N0AAAAK&#13;&#10;AQAADwAAAAAAAAAAAAAAAACcBAAAZHJzL2Rvd25yZXYueG1sUEsFBgAAAAAEAAQA8wAAAKYFAAAA&#13;&#10;AA==&#13;&#10;" fillcolor="window" strokecolor="black [3213]" strokeweight="2.25pt">
                <v:textbox>
                  <w:txbxContent>
                    <w:p w14:paraId="5E3BCA68" w14:textId="77777777" w:rsidR="00380DA8" w:rsidRDefault="00380DA8" w:rsidP="00380DA8">
                      <w:pPr>
                        <w:spacing w:line="240" w:lineRule="auto"/>
                        <w:jc w:val="center"/>
                      </w:pPr>
                      <w:r>
                        <w:rPr>
                          <w:noProof/>
                        </w:rPr>
                        <w:drawing>
                          <wp:inline distT="0" distB="0" distL="0" distR="0" wp14:anchorId="07A708AA" wp14:editId="2E042066">
                            <wp:extent cx="2514600" cy="4498777"/>
                            <wp:effectExtent l="0" t="0" r="0" b="0"/>
                            <wp:docPr id="1187121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2116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2514600" cy="4498777"/>
                                    </a:xfrm>
                                    <a:prstGeom prst="rect">
                                      <a:avLst/>
                                    </a:prstGeom>
                                  </pic:spPr>
                                </pic:pic>
                              </a:graphicData>
                            </a:graphic>
                          </wp:inline>
                        </w:drawing>
                      </w:r>
                    </w:p>
                    <w:p w14:paraId="36D0E9D3" w14:textId="409BC2D2" w:rsidR="00380DA8" w:rsidRPr="00795550" w:rsidRDefault="00380DA8" w:rsidP="00380DA8">
                      <w:pPr>
                        <w:spacing w:line="240" w:lineRule="auto"/>
                      </w:pPr>
                      <w:r>
                        <w:rPr>
                          <w:b/>
                          <w:bCs/>
                        </w:rPr>
                        <w:t>Figure S1:</w:t>
                      </w:r>
                      <w:r>
                        <w:t xml:space="preserve"> Mid-latitude SST in the CESM2 4xAbruptCO2 simulations. (a) Seasonal SST over the mid-latitude oceans. (b) Ratio of seasonal SST change to annual SST change (solid lines), and ratio of SST change to equilibrated (last 100yr) annual SST change (dashed lines). (c) Change in annual cycle of SST. </w:t>
                      </w:r>
                    </w:p>
                  </w:txbxContent>
                </v:textbox>
                <w10:wrap type="square" anchorx="margin" anchory="margin"/>
              </v:shape>
            </w:pict>
          </mc:Fallback>
        </mc:AlternateContent>
      </w:r>
      <w:r w:rsidRPr="00380DA8">
        <w:t xml:space="preserve">To test whether the seasonality of the SST response is due to a transient rather than equilibrated state, we also investigate the seasonal response of the CESM2 Abrupt4xCO2 simulation in Fig. </w:t>
      </w:r>
      <w:r>
        <w:t>S1</w:t>
      </w:r>
      <w:r w:rsidRPr="00380DA8">
        <w:t>. The Abrupt4xCO2 experiment is branched from the PI-Control simulation at year 501; the time monthly timeseries of SST are plotted for both simulations in Fig. 3a. The annual mean SST increases by 4</w:t>
      </w:r>
      <w:r w:rsidRPr="00380DA8">
        <w:sym w:font="Symbol" w:char="F0B0"/>
      </w:r>
      <w:r w:rsidRPr="00380DA8">
        <w:t xml:space="preserve">C in about a decade (likely due to the rapid response of the surface ocean) followed by gradual warming over the next thousand years (presumably as the deep ocean responds). By the end of the 1000yr simulation the annual SST approaches equilibrium. Like the HIST, DAMIP, and SSP585 experiments, the 4xAbruptCO2 simulation shows a consistent seasonal response (Fig. </w:t>
      </w:r>
      <w:r>
        <w:t>S1</w:t>
      </w:r>
      <w:r w:rsidRPr="00380DA8">
        <w:t xml:space="preserve">a) throughout the entire simulation with a maximum SST response during late boreal summer (September) and minimum response during boreal late winter / early spring (March). </w:t>
      </w:r>
    </w:p>
    <w:p w14:paraId="673E0FDE" w14:textId="5B9FC601" w:rsidR="00380DA8" w:rsidRPr="00380DA8" w:rsidRDefault="00380DA8" w:rsidP="00380DA8">
      <w:pPr>
        <w:spacing w:after="120"/>
      </w:pPr>
      <w:r w:rsidRPr="00380DA8">
        <w:t xml:space="preserve">The seasonality of the response in the Abrupt4xCO2 simulation is further illustrated in Fig. </w:t>
      </w:r>
      <w:r>
        <w:t>S1</w:t>
      </w:r>
      <w:r w:rsidRPr="00380DA8">
        <w:t xml:space="preserve">b (solid lines) by calculating the response ratio of each month’s change for a given 50yr period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yr</m:t>
            </m:r>
          </m:sub>
        </m:sSub>
        <m:r>
          <w:rPr>
            <w:rFonts w:ascii="Cambria Math" w:hAnsi="Cambria Math"/>
          </w:rPr>
          <m:t>)</m:t>
        </m:r>
      </m:oMath>
      <w:r w:rsidRPr="00380DA8">
        <w:t xml:space="preserve"> to the annual mean change for a given period </w:t>
      </w:r>
      <m:oMath>
        <m:r>
          <m:rPr>
            <m:sty m:val="p"/>
          </m:rPr>
          <w:rPr>
            <w:rFonts w:ascii="Cambria Math" w:hAnsi="Cambria Math"/>
          </w:rPr>
          <m:t>Δ</m:t>
        </m:r>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yr</m:t>
            </m:r>
          </m:sub>
        </m:sSub>
        <m:r>
          <w:rPr>
            <w:rFonts w:ascii="Cambria Math" w:hAnsi="Cambria Math"/>
          </w:rPr>
          <m:t>)</m:t>
        </m:r>
      </m:oMath>
      <w:r w:rsidRPr="00380DA8">
        <w:t>:</w:t>
      </w:r>
    </w:p>
    <w:p w14:paraId="52F3AE1C" w14:textId="0EAA8C15" w:rsidR="00380DA8" w:rsidRPr="00380DA8" w:rsidRDefault="00380DA8" w:rsidP="00380DA8">
      <w:pPr>
        <w:spacing w:after="120"/>
      </w:pPr>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yr</m:t>
                  </m:r>
                </m:sub>
              </m:sSub>
            </m:e>
          </m:d>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yr</m:t>
                      </m:r>
                    </m:sub>
                  </m:sSub>
                </m:e>
              </m:d>
              <m:ctrlPr>
                <w:rPr>
                  <w:rFonts w:ascii="Cambria Math" w:hAnsi="Cambria Math"/>
                </w:rPr>
              </m:ctrlPr>
            </m:num>
            <m:den>
              <m:r>
                <m:rPr>
                  <m:sty m:val="p"/>
                </m:rPr>
                <w:rPr>
                  <w:rFonts w:ascii="Cambria Math" w:hAnsi="Cambria Math"/>
                </w:rPr>
                <m:t>Δ</m:t>
              </m:r>
              <m:acc>
                <m:accPr>
                  <m:chr m:val="̅"/>
                  <m:ctrlPr>
                    <w:rPr>
                      <w:rFonts w:ascii="Cambria Math" w:hAnsi="Cambria Math"/>
                      <w:i/>
                    </w:rPr>
                  </m:ctrlPr>
                </m:accPr>
                <m:e>
                  <m:r>
                    <w:rPr>
                      <w:rFonts w:ascii="Cambria Math" w:hAnsi="Cambria Math"/>
                    </w:rPr>
                    <m:t>T</m:t>
                  </m:r>
                </m:e>
              </m:acc>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yr</m:t>
                      </m:r>
                    </m:sub>
                  </m:sSub>
                </m:e>
              </m:d>
            </m:den>
          </m:f>
        </m:oMath>
      </m:oMathPara>
    </w:p>
    <w:p w14:paraId="696B48AD" w14:textId="65544B3C" w:rsidR="00380DA8" w:rsidRPr="00380DA8" w:rsidRDefault="00380DA8" w:rsidP="00380DA8">
      <w:pPr>
        <w:spacing w:after="120"/>
        <w:rPr>
          <w:i/>
          <w:iCs/>
        </w:rPr>
      </w:pPr>
      <w:r w:rsidRPr="00380DA8">
        <w:t xml:space="preserve">The response ratio is largest immediately after the imposed forcing and asymptotes toward a steady ratio as the annual mean temperature asymptotes. The response ratio can be decomposed into contributions from changes in the annual cycle (the numerator) and the mean annual change (both the numerator and denominator). The long-term change, though, is largely due to the changing annual mean rather than a changing annual cycle: the </w:t>
      </w:r>
      <w:r w:rsidRPr="00380DA8">
        <w:lastRenderedPageBreak/>
        <w:t xml:space="preserve">evolving annual cycle (calculated over successive 50yr windows) is plotted in Fig. </w:t>
      </w:r>
      <w:r>
        <w:t>S1</w:t>
      </w:r>
      <w:r w:rsidRPr="00380DA8">
        <w:t xml:space="preserve">c and shows very little change through time. Further, when the response ratio is recalculated as the ratio of the annual cycle in Fig. </w:t>
      </w:r>
      <w:r>
        <w:t>S1</w:t>
      </w:r>
      <w:r w:rsidRPr="00380DA8">
        <w:t xml:space="preserve">c to the </w:t>
      </w:r>
      <w:r w:rsidRPr="00380DA8">
        <w:rPr>
          <w:i/>
          <w:iCs/>
        </w:rPr>
        <w:t>equilibrated</w:t>
      </w:r>
      <w:r w:rsidRPr="00380DA8">
        <w:t xml:space="preserve"> change (the temperature change over the last 100yr of the Abrupt4xCO2 simulation), the response ratio (Fig. </w:t>
      </w:r>
      <w:r>
        <w:t>S1</w:t>
      </w:r>
      <w:r w:rsidRPr="00380DA8">
        <w:t xml:space="preserve">b, dashed lines) remains steady throughout the simulation indicating that the seasonal response is rapid and consistent. This suggests the seasonal response is controlled by upper ocean coupled processes and motivates the use of the seasonally entraining MLM. </w:t>
      </w:r>
    </w:p>
    <w:p w14:paraId="5B6FD4BD" w14:textId="187DA1B9" w:rsidR="00C5417C" w:rsidRPr="00C5417C" w:rsidRDefault="00C5417C" w:rsidP="00C5417C">
      <w:pPr>
        <w:spacing w:after="120"/>
        <w:rPr>
          <w:b/>
          <w:bCs/>
        </w:rPr>
      </w:pPr>
      <w:r>
        <w:rPr>
          <w:b/>
          <w:bCs/>
        </w:rPr>
        <w:t>S</w:t>
      </w:r>
      <w:r w:rsidR="00AC5121">
        <w:rPr>
          <w:b/>
          <w:bCs/>
        </w:rPr>
        <w:t>I</w:t>
      </w:r>
      <w:r>
        <w:rPr>
          <w:b/>
          <w:bCs/>
        </w:rPr>
        <w:t>2: MLM Response to Impulsive Forcing</w:t>
      </w:r>
    </w:p>
    <w:p w14:paraId="5C64EA6C" w14:textId="35766EF7" w:rsidR="00C5417C" w:rsidRDefault="00C5417C" w:rsidP="00C5417C">
      <w:r>
        <w:t>An example of the entraining mixed layer response to a constant impulse of forcing during January is depicted in Fig. S2. The forcing induces an immediate positive temperature anomaly in the mixed layer which begins to damp in the ensuing February through June through surface heat fluxes. As the mixed layer shoals from March through August, water – and its associated heat content – is sequestered below the mixed layer where it is shielded from surface heat fluxes (blue lines in Fig. S2</w:t>
      </w:r>
      <w:r w:rsidR="0037444E">
        <w:t>a</w:t>
      </w:r>
      <w:r>
        <w:t xml:space="preserve">) until it is re-entrained into the mixed layer as the mixed layer deepens from August through the following March. This process continues, effectively prolonging the damping time scale of vertically integrated heat content anomalies (see </w:t>
      </w:r>
      <w:r>
        <w:fldChar w:fldCharType="begin"/>
      </w:r>
      <w:r>
        <w:instrText xml:space="preserve"> ADDIN ZOTERO_ITEM CSL_CITATION {"citationID":"ALGZVWQy","properties":{"formattedCitation":"(Deser et al. 2003)","plainCitation":"(Deser et al. 2003)","dontUpdate":true,"noteIndex":0},"citationItems":[{"id":370,"uris":["http://zotero.org/users/9944535/items/XW2BZIGF"],"itemData":{"id":370,"type":"article-journal","abstract":"An extension of the simple stochastic climate model of Frankignoul and Hasselman that includes the effects of seasonal variations in upper-ocean mixed layer depth upon the persistence of winter sea surface temperature (SST) anomalies is proposed. Seasonal variations in mixed layer depth allow for the “reemergence mechanism,” whereby thermal anomalies stored in the deep winter mixed layer persist at depth through summer and become partially reentrained into the mixed layer during the following winter. In this way, SST anomalies can recur from winter to winter without persisting through the intervening summer. Reformulating the simple stochastic climate model in terms of an effective ocean thermal capacity given by the depth of the winter mixed layer, thereby implicitly taking into account reemergence, is shown to provide a favorable fit to the observed winter-to-winter SST autocorrelations in the North Atlantic and Pacific, and represents a considerable improvement over the original model. The extended model also compares favorably with results from an entraining bulk ocean mixed layer model coupled to an atmospheric general circulation model. The authors propose that the extended model be adopted as the new “null hypothesis” for interannual SST variability in middle and high latitudes.","citation-key":"deserUnderstandingPersistenceSea2003","ISSN":"1520-0442","language":"en","section":"Journal of Climate","source":"journals.ametsoc.org","title":"Understanding the Persistence of Sea Surface Temperature Anomalies in Midlatitudes","URL":"https://journals.ametsoc.org/view/journals/clim/16/1/1520-0442_2003_016_0057_utposs_2.0.co_2.xml","author":[{"family":"Deser","given":"Clara"},{"family":"Alexander","given":"Michael A."},{"family":"Timlin","given":"Michael S."}],"accessed":{"date-parts":[["2025",6,30]]},"issued":{"date-parts":[["2003",1,1]]}}}],"schema":"https://github.com/citation-style-language/schema/raw/master/csl-citation.json"} </w:instrText>
      </w:r>
      <w:r>
        <w:fldChar w:fldCharType="separate"/>
      </w:r>
      <w:r>
        <w:rPr>
          <w:noProof/>
        </w:rPr>
        <w:t>Deser et al. 2003)</w:t>
      </w:r>
      <w:r>
        <w:fldChar w:fldCharType="end"/>
      </w:r>
      <w:r>
        <w:t>. The seasonality of the surface heat flux (positive upward) feedback is illustrated in Fig. 4a and shows that surface fluxes damp surface temperature anomalies most effectively during boreal winter and least effectively during boreal summer.</w:t>
      </w:r>
    </w:p>
    <w:p w14:paraId="3BCB00DB" w14:textId="77777777" w:rsidR="00C5417C" w:rsidRDefault="00C5417C" w:rsidP="00C5417C"/>
    <w:p w14:paraId="3379B4FA" w14:textId="664F7DF0" w:rsidR="006D3DF1" w:rsidRDefault="00C5417C" w:rsidP="00380DA8">
      <w:pPr>
        <w:spacing w:after="120"/>
      </w:pPr>
      <w:r>
        <w:rPr>
          <w:noProof/>
        </w:rPr>
        <mc:AlternateContent>
          <mc:Choice Requires="wps">
            <w:drawing>
              <wp:inline distT="0" distB="0" distL="0" distR="0" wp14:anchorId="129F5EF8" wp14:editId="799A104D">
                <wp:extent cx="5943600" cy="3029585"/>
                <wp:effectExtent l="12700" t="12700" r="12700" b="18415"/>
                <wp:docPr id="2088353874" name="Text Box 2"/>
                <wp:cNvGraphicFramePr/>
                <a:graphic xmlns:a="http://schemas.openxmlformats.org/drawingml/2006/main">
                  <a:graphicData uri="http://schemas.microsoft.com/office/word/2010/wordprocessingShape">
                    <wps:wsp>
                      <wps:cNvSpPr txBox="1"/>
                      <wps:spPr>
                        <a:xfrm>
                          <a:off x="0" y="0"/>
                          <a:ext cx="5943600" cy="3029585"/>
                        </a:xfrm>
                        <a:prstGeom prst="rect">
                          <a:avLst/>
                        </a:prstGeom>
                        <a:solidFill>
                          <a:sysClr val="window" lastClr="FFFFFF"/>
                        </a:solidFill>
                        <a:ln w="28575">
                          <a:solidFill>
                            <a:schemeClr val="tx1"/>
                          </a:solidFill>
                        </a:ln>
                      </wps:spPr>
                      <wps:txbx>
                        <w:txbxContent>
                          <w:p w14:paraId="648CBBFD" w14:textId="77777777" w:rsidR="00C5417C" w:rsidRDefault="00C5417C" w:rsidP="00C5417C">
                            <w:pPr>
                              <w:spacing w:line="240" w:lineRule="auto"/>
                              <w:jc w:val="center"/>
                            </w:pPr>
                            <w:r>
                              <w:rPr>
                                <w:noProof/>
                              </w:rPr>
                              <w:drawing>
                                <wp:inline distT="0" distB="0" distL="0" distR="0" wp14:anchorId="47F4C3D9" wp14:editId="140A32E7">
                                  <wp:extent cx="4550786" cy="2344344"/>
                                  <wp:effectExtent l="0" t="0" r="0" b="5715"/>
                                  <wp:docPr id="107898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8652"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550786" cy="2344344"/>
                                          </a:xfrm>
                                          <a:prstGeom prst="rect">
                                            <a:avLst/>
                                          </a:prstGeom>
                                        </pic:spPr>
                                      </pic:pic>
                                    </a:graphicData>
                                  </a:graphic>
                                </wp:inline>
                              </w:drawing>
                            </w:r>
                          </w:p>
                          <w:p w14:paraId="0614BC32" w14:textId="1D1E6F14" w:rsidR="00C5417C" w:rsidRPr="00795550" w:rsidRDefault="00C5417C" w:rsidP="00C5417C">
                            <w:pPr>
                              <w:spacing w:line="240" w:lineRule="auto"/>
                            </w:pPr>
                            <w:r>
                              <w:rPr>
                                <w:b/>
                                <w:bCs/>
                              </w:rPr>
                              <w:t>Figure S2:</w:t>
                            </w:r>
                            <w:r>
                              <w:t xml:space="preserve"> Entraining mixed layer model response to an impulse forcing during January of year 1. (a) SST (red) and surface heat flux (blue). (b) Vertical structure of (black line) the MLM mixed layer depth and (shading) ocean temperature through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9F5EF8" id="Text Box 2" o:spid="_x0000_s1027" type="#_x0000_t202" style="width:468pt;height:2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G9IRQIAAJYEAAAOAAAAZHJzL2Uyb0RvYy54bWysVN1v2jAQf5+0/8Hy+whQ0kJEqBgV06Sq&#13;&#10;rUSnPhvHJpEcn2cbEvbX7+yEj3Z7msaDufOd7+N3v8v8vq0VOQjrKtA5HQ2GlAjNoaj0Lqc/Xtdf&#13;&#10;ppQ4z3TBFGiR06Nw9H7x+dO8MZkYQwmqEJZgEO2yxuS09N5kSeJ4KWrmBmCERqMEWzOPqt0lhWUN&#13;&#10;Rq9VMh4Ob5MGbGEscOEc3j50RrqI8aUU3D9L6YQnKqdYm4+njec2nMlizrKdZaaseF8G+4cqalZp&#13;&#10;THoO9cA8I3tb/RGqrrgFB9IPONQJSFlxEXvAbkbDD91sSmZE7AXBceYMk/t/YfnTYWNeLPHtV2hx&#13;&#10;gAGQxrjM4WXop5W2Dv9YKUE7Qng8wyZaTzheprPJze0QTRxtN8PxLJ2mIU5yeW6s898E1CQIObU4&#13;&#10;lwgXOzw637meXEI2B6oq1pVSUTm6lbLkwHCEOPkCGkoUcx4vc7qOvz7bu2dKkyan42l6l8ZU74yR&#13;&#10;X+Ic1rexcSz4ygs1pbGLCxxB8u22JVVxBdUWiiMiaKEjlzN8XWGXj1jiC7PIJkQGN8Q/4yEVYFHQ&#13;&#10;S5SUYH/97T7445DRSkmD7Myp+7lnVmDn3zWOfzaaTAKdozJJ78ao2GvL9tqi9/UKEL0R7qLhUQz+&#13;&#10;Xp1EaaF+w0VahqxoYppj7pz6k7jy3c7gInKxXEYnJLBh/lFvDA+hw6jCDF/bN2ZNP2iPHHmCE49Z&#13;&#10;9mHenW94qWG59yCrSIaAc4dqDz+SP9KpX9SwXdd69Lp8Tha/AQAA//8DAFBLAwQUAAYACAAAACEA&#13;&#10;WSNVON0AAAAKAQAADwAAAGRycy9kb3ducmV2LnhtbEyPQUvDQBCF74L/YRnBm51ES1vTbEpRioon&#13;&#10;a+t5mx2T0OxsyG6b+O8dvejlweMxb96Xr0bXqjP1ofGsIZ0koIhLbxuuNOzeNzcLUCEatqb1TBq+&#13;&#10;KMCquLzITWb9wG903sZKSQmHzGioY+wyxFDW5EyY+I5Ysk/fOxPF9hXa3gxS7lq8TZIZOtOwfKhN&#13;&#10;Rw81lcftyWkYntbD5sXyxz64dIfH8fkV/VTr66vxcSmyXoKKNMa/C/hhkP1QyLCDP7ENqtUgNPFX&#13;&#10;Jbu/m4k9aJjO5ylgkeN/hOIbAAD//wMAUEsBAi0AFAAGAAgAAAAhALaDOJL+AAAA4QEAABMAAAAA&#13;&#10;AAAAAAAAAAAAAAAAAFtDb250ZW50X1R5cGVzXS54bWxQSwECLQAUAAYACAAAACEAOP0h/9YAAACU&#13;&#10;AQAACwAAAAAAAAAAAAAAAAAvAQAAX3JlbHMvLnJlbHNQSwECLQAUAAYACAAAACEAPchvSEUCAACW&#13;&#10;BAAADgAAAAAAAAAAAAAAAAAuAgAAZHJzL2Uyb0RvYy54bWxQSwECLQAUAAYACAAAACEAWSNVON0A&#13;&#10;AAAKAQAADwAAAAAAAAAAAAAAAACfBAAAZHJzL2Rvd25yZXYueG1sUEsFBgAAAAAEAAQA8wAAAKkF&#13;&#10;AAAAAA==&#13;&#10;" fillcolor="window" strokecolor="black [3213]" strokeweight="2.25pt">
                <v:textbox>
                  <w:txbxContent>
                    <w:p w14:paraId="648CBBFD" w14:textId="77777777" w:rsidR="00C5417C" w:rsidRDefault="00C5417C" w:rsidP="00C5417C">
                      <w:pPr>
                        <w:spacing w:line="240" w:lineRule="auto"/>
                        <w:jc w:val="center"/>
                      </w:pPr>
                      <w:r>
                        <w:rPr>
                          <w:noProof/>
                        </w:rPr>
                        <w:drawing>
                          <wp:inline distT="0" distB="0" distL="0" distR="0" wp14:anchorId="47F4C3D9" wp14:editId="140A32E7">
                            <wp:extent cx="4550786" cy="2344344"/>
                            <wp:effectExtent l="0" t="0" r="0" b="5715"/>
                            <wp:docPr id="107898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8652"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550786" cy="2344344"/>
                                    </a:xfrm>
                                    <a:prstGeom prst="rect">
                                      <a:avLst/>
                                    </a:prstGeom>
                                  </pic:spPr>
                                </pic:pic>
                              </a:graphicData>
                            </a:graphic>
                          </wp:inline>
                        </w:drawing>
                      </w:r>
                    </w:p>
                    <w:p w14:paraId="0614BC32" w14:textId="1D1E6F14" w:rsidR="00C5417C" w:rsidRPr="00795550" w:rsidRDefault="00C5417C" w:rsidP="00C5417C">
                      <w:pPr>
                        <w:spacing w:line="240" w:lineRule="auto"/>
                      </w:pPr>
                      <w:r>
                        <w:rPr>
                          <w:b/>
                          <w:bCs/>
                        </w:rPr>
                        <w:t>Figure S2:</w:t>
                      </w:r>
                      <w:r>
                        <w:t xml:space="preserve"> Entraining mixed layer model response to an impulse forcing during January of year 1. (a) SST (red) and surface heat flux (blue). (b) Vertical structure of (black line) the MLM mixed layer depth and (shading) ocean temperature through time.</w:t>
                      </w:r>
                    </w:p>
                  </w:txbxContent>
                </v:textbox>
                <w10:anchorlock/>
              </v:shape>
            </w:pict>
          </mc:Fallback>
        </mc:AlternateContent>
      </w:r>
    </w:p>
    <w:p w14:paraId="1289A477" w14:textId="4577191C" w:rsidR="00C5417C" w:rsidRDefault="00C5417C">
      <w:pPr>
        <w:spacing w:after="160" w:line="278" w:lineRule="auto"/>
      </w:pPr>
      <w:r>
        <w:br w:type="page"/>
      </w:r>
    </w:p>
    <w:p w14:paraId="074466C4" w14:textId="26B1F466" w:rsidR="00AC5121" w:rsidRPr="00AC5121" w:rsidRDefault="00AC5121" w:rsidP="00AC5121">
      <w:pPr>
        <w:spacing w:after="120"/>
        <w:rPr>
          <w:b/>
        </w:rPr>
      </w:pPr>
      <w:r>
        <w:rPr>
          <w:b/>
        </w:rPr>
        <w:lastRenderedPageBreak/>
        <w:t xml:space="preserve">SI3: </w:t>
      </w:r>
      <w:r w:rsidRPr="00AC5121">
        <w:rPr>
          <w:b/>
        </w:rPr>
        <w:t>Feedback Parameter Derivation</w:t>
      </w:r>
    </w:p>
    <w:p w14:paraId="662711B1" w14:textId="77777777" w:rsidR="00AC5121" w:rsidRPr="00AC5121" w:rsidRDefault="00AC5121" w:rsidP="00AC5121">
      <w:pPr>
        <w:spacing w:after="120"/>
      </w:pPr>
      <w:r w:rsidRPr="00AC5121">
        <w:t>The latent and sensible heat flux parameters are calculated using a Taylor expansion of the seasonal bulk turbulent heat fluxes:</w:t>
      </w:r>
    </w:p>
    <w:p w14:paraId="03DE9EC0" w14:textId="348764BE" w:rsidR="00AC5121" w:rsidRPr="00AC5121" w:rsidRDefault="00000000" w:rsidP="00AC5121">
      <w:pPr>
        <w:spacing w:after="120"/>
      </w:pPr>
      <m:oMathPara>
        <m:oMath>
          <m:eqArr>
            <m:eqArrPr>
              <m:maxDist m:val="1"/>
              <m:ctrlPr>
                <w:rPr>
                  <w:rFonts w:ascii="Cambria Math" w:hAnsi="Cambria Math"/>
                  <w:i/>
                </w:rPr>
              </m:ctrlPr>
            </m:eqArrPr>
            <m:e>
              <m:m>
                <m:mPr>
                  <m:mcs>
                    <m:mc>
                      <m:mcPr>
                        <m:count m:val="1"/>
                        <m:mcJc m:val="center"/>
                      </m:mcPr>
                    </m:mc>
                  </m:mcs>
                  <m:ctrlPr>
                    <w:rPr>
                      <w:rFonts w:ascii="Cambria Math" w:hAnsi="Cambria Math"/>
                      <w:i/>
                    </w:rPr>
                  </m:ctrlPr>
                </m:mPr>
                <m:mr>
                  <m:e>
                    <m:r>
                      <w:rPr>
                        <w:rFonts w:ascii="Cambria Math" w:hAnsi="Cambria Math"/>
                      </w:rPr>
                      <m:t>LH</m:t>
                    </m:r>
                    <m:d>
                      <m:dPr>
                        <m:ctrlPr>
                          <w:rPr>
                            <w:rFonts w:ascii="Cambria Math" w:hAnsi="Cambria Math"/>
                            <w:i/>
                          </w:rPr>
                        </m:ctrlPr>
                      </m:dPr>
                      <m:e>
                        <m:acc>
                          <m:accPr>
                            <m:chr m:val="̅"/>
                            <m:ctrlPr>
                              <w:rPr>
                                <w:rFonts w:ascii="Cambria Math" w:hAnsi="Cambria Math"/>
                                <w:i/>
                              </w:rPr>
                            </m:ctrlPr>
                          </m:accPr>
                          <m:e>
                            <m:r>
                              <w:rPr>
                                <w:rFonts w:ascii="Cambria Math" w:hAnsi="Cambria Math"/>
                              </w:rPr>
                              <m:t>t</m:t>
                            </m:r>
                          </m:e>
                        </m:acc>
                      </m:e>
                    </m:d>
                    <m:r>
                      <w:rPr>
                        <w:rFonts w:ascii="Cambria Math" w:hAnsi="Cambria Math"/>
                      </w:rPr>
                      <m:t>≈</m:t>
                    </m:r>
                    <m:acc>
                      <m:accPr>
                        <m:chr m:val="̅"/>
                        <m:ctrlPr>
                          <w:rPr>
                            <w:rFonts w:ascii="Cambria Math" w:hAnsi="Cambria Math"/>
                            <w:i/>
                          </w:rPr>
                        </m:ctrlPr>
                      </m:accPr>
                      <m:e>
                        <m:r>
                          <w:rPr>
                            <w:rFonts w:ascii="Cambria Math" w:hAnsi="Cambria Math"/>
                          </w:rPr>
                          <m:t>LH</m:t>
                        </m:r>
                      </m:e>
                    </m:acc>
                    <m:d>
                      <m:dPr>
                        <m:ctrlPr>
                          <w:rPr>
                            <w:rFonts w:ascii="Cambria Math" w:hAnsi="Cambria Math"/>
                            <w:i/>
                          </w:rPr>
                        </m:ctrlPr>
                      </m:dPr>
                      <m:e>
                        <m:acc>
                          <m:accPr>
                            <m:chr m:val="̅"/>
                            <m:ctrlPr>
                              <w:rPr>
                                <w:rFonts w:ascii="Cambria Math" w:hAnsi="Cambria Math"/>
                                <w:i/>
                              </w:rPr>
                            </m:ctrlPr>
                          </m:accPr>
                          <m:e>
                            <m:r>
                              <w:rPr>
                                <w:rFonts w:ascii="Cambria Math" w:hAnsi="Cambria Math"/>
                              </w:rPr>
                              <m:t>t</m:t>
                            </m:r>
                          </m:e>
                        </m:acc>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dLH</m:t>
                                </m:r>
                              </m:num>
                              <m:den>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den>
                            </m:f>
                          </m:e>
                        </m:d>
                      </m:e>
                      <m:sub>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s</m:t>
                                </m:r>
                              </m:sub>
                            </m:sSub>
                          </m:e>
                        </m:acc>
                        <m:d>
                          <m:dPr>
                            <m:ctrlPr>
                              <w:rPr>
                                <w:rFonts w:ascii="Cambria Math" w:hAnsi="Cambria Math"/>
                                <w:i/>
                              </w:rPr>
                            </m:ctrlPr>
                          </m:dPr>
                          <m:e>
                            <m:acc>
                              <m:accPr>
                                <m:chr m:val="̅"/>
                                <m:ctrlPr>
                                  <w:rPr>
                                    <w:rFonts w:ascii="Cambria Math" w:hAnsi="Cambria Math"/>
                                    <w:i/>
                                  </w:rPr>
                                </m:ctrlPr>
                              </m:accPr>
                              <m:e>
                                <m:r>
                                  <w:rPr>
                                    <w:rFonts w:ascii="Cambria Math" w:hAnsi="Cambria Math"/>
                                  </w:rPr>
                                  <m:t>t</m:t>
                                </m:r>
                              </m:e>
                            </m:acc>
                          </m:e>
                        </m:d>
                      </m:sub>
                    </m:sSub>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t</m:t>
                        </m:r>
                      </m:e>
                    </m:d>
                    <m:r>
                      <w:rPr>
                        <w:rFonts w:ascii="Cambria Math" w:hAnsi="Cambria Math"/>
                      </w:rPr>
                      <m:t>+…</m:t>
                    </m:r>
                  </m:e>
                </m:mr>
                <m:mr>
                  <m:e>
                    <m:r>
                      <w:rPr>
                        <w:rFonts w:ascii="Cambria Math" w:hAnsi="Cambria Math"/>
                      </w:rPr>
                      <m:t>SH</m:t>
                    </m:r>
                    <m:d>
                      <m:dPr>
                        <m:ctrlPr>
                          <w:rPr>
                            <w:rFonts w:ascii="Cambria Math" w:hAnsi="Cambria Math"/>
                            <w:i/>
                          </w:rPr>
                        </m:ctrlPr>
                      </m:dPr>
                      <m:e>
                        <m:acc>
                          <m:accPr>
                            <m:chr m:val="̅"/>
                            <m:ctrlPr>
                              <w:rPr>
                                <w:rFonts w:ascii="Cambria Math" w:hAnsi="Cambria Math"/>
                                <w:i/>
                              </w:rPr>
                            </m:ctrlPr>
                          </m:accPr>
                          <m:e>
                            <m:r>
                              <w:rPr>
                                <w:rFonts w:ascii="Cambria Math" w:hAnsi="Cambria Math"/>
                              </w:rPr>
                              <m:t>t</m:t>
                            </m:r>
                          </m:e>
                        </m:acc>
                      </m:e>
                    </m:d>
                    <m:r>
                      <w:rPr>
                        <w:rFonts w:ascii="Cambria Math" w:hAnsi="Cambria Math"/>
                      </w:rPr>
                      <m:t>≈</m:t>
                    </m:r>
                    <m:acc>
                      <m:accPr>
                        <m:chr m:val="̅"/>
                        <m:ctrlPr>
                          <w:rPr>
                            <w:rFonts w:ascii="Cambria Math" w:hAnsi="Cambria Math"/>
                            <w:i/>
                          </w:rPr>
                        </m:ctrlPr>
                      </m:accPr>
                      <m:e>
                        <m:r>
                          <w:rPr>
                            <w:rFonts w:ascii="Cambria Math" w:hAnsi="Cambria Math"/>
                          </w:rPr>
                          <m:t>SH</m:t>
                        </m:r>
                      </m:e>
                    </m:acc>
                    <m:d>
                      <m:dPr>
                        <m:ctrlPr>
                          <w:rPr>
                            <w:rFonts w:ascii="Cambria Math" w:hAnsi="Cambria Math"/>
                            <w:i/>
                          </w:rPr>
                        </m:ctrlPr>
                      </m:dPr>
                      <m:e>
                        <m:acc>
                          <m:accPr>
                            <m:chr m:val="̅"/>
                            <m:ctrlPr>
                              <w:rPr>
                                <w:rFonts w:ascii="Cambria Math" w:hAnsi="Cambria Math"/>
                                <w:i/>
                              </w:rPr>
                            </m:ctrlPr>
                          </m:accPr>
                          <m:e>
                            <m:r>
                              <w:rPr>
                                <w:rFonts w:ascii="Cambria Math" w:hAnsi="Cambria Math"/>
                              </w:rPr>
                              <m:t>t</m:t>
                            </m:r>
                          </m:e>
                        </m:acc>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dSH</m:t>
                                </m:r>
                              </m:num>
                              <m:den>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den>
                            </m:f>
                          </m:e>
                        </m:d>
                      </m:e>
                      <m:sub>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s</m:t>
                                </m:r>
                              </m:sub>
                            </m:sSub>
                          </m:e>
                        </m:acc>
                        <m:d>
                          <m:dPr>
                            <m:ctrlPr>
                              <w:rPr>
                                <w:rFonts w:ascii="Cambria Math" w:hAnsi="Cambria Math"/>
                                <w:i/>
                              </w:rPr>
                            </m:ctrlPr>
                          </m:dPr>
                          <m:e>
                            <m:acc>
                              <m:accPr>
                                <m:chr m:val="̅"/>
                                <m:ctrlPr>
                                  <w:rPr>
                                    <w:rFonts w:ascii="Cambria Math" w:hAnsi="Cambria Math"/>
                                    <w:i/>
                                  </w:rPr>
                                </m:ctrlPr>
                              </m:accPr>
                              <m:e>
                                <m:r>
                                  <w:rPr>
                                    <w:rFonts w:ascii="Cambria Math" w:hAnsi="Cambria Math"/>
                                  </w:rPr>
                                  <m:t>t</m:t>
                                </m:r>
                              </m:e>
                            </m:acc>
                          </m:e>
                        </m:d>
                      </m:sub>
                    </m:sSub>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t</m:t>
                        </m:r>
                      </m:e>
                    </m:d>
                    <m:r>
                      <w:rPr>
                        <w:rFonts w:ascii="Cambria Math" w:hAnsi="Cambria Math"/>
                      </w:rPr>
                      <m:t>+…</m:t>
                    </m:r>
                  </m:e>
                </m:mr>
              </m:m>
              <m:r>
                <w:rPr>
                  <w:rFonts w:ascii="Cambria Math" w:hAnsi="Cambria Math"/>
                </w:rPr>
                <m:t>#</m:t>
              </m:r>
              <m:d>
                <m:dPr>
                  <m:ctrlPr>
                    <w:rPr>
                      <w:rFonts w:ascii="Cambria Math" w:hAnsi="Cambria Math"/>
                      <w:i/>
                    </w:rPr>
                  </m:ctrlPr>
                </m:dPr>
                <m:e>
                  <m:r>
                    <w:rPr>
                      <w:rFonts w:ascii="Cambria Math" w:hAnsi="Cambria Math"/>
                    </w:rPr>
                    <m:t>A1</m:t>
                  </m:r>
                </m:e>
              </m:d>
            </m:e>
          </m:eqArr>
        </m:oMath>
      </m:oMathPara>
    </w:p>
    <w:p w14:paraId="0E7CF15D" w14:textId="489A8CC3" w:rsidR="00AC5121" w:rsidRPr="00AC5121" w:rsidRDefault="00AC5121" w:rsidP="00AC5121">
      <w:pPr>
        <w:spacing w:after="120"/>
      </w:pPr>
      <w:r w:rsidRPr="00AC5121">
        <w:t xml:space="preserve">where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Pr="00AC5121">
        <w:t xml:space="preserve"> is the SST [equal to </w:t>
      </w:r>
      <m:oMath>
        <m:sSub>
          <m:sSubPr>
            <m:ctrlPr>
              <w:rPr>
                <w:rFonts w:ascii="Cambria Math" w:hAnsi="Cambria Math"/>
                <w:i/>
              </w:rPr>
            </m:ctrlPr>
          </m:sSubPr>
          <m:e>
            <m:r>
              <w:rPr>
                <w:rFonts w:ascii="Cambria Math" w:hAnsi="Cambria Math"/>
              </w:rPr>
              <m:t>T</m:t>
            </m:r>
          </m:e>
          <m:sub>
            <m:r>
              <w:rPr>
                <w:rFonts w:ascii="Cambria Math" w:hAnsi="Cambria Math"/>
              </w:rPr>
              <m:t>ML</m:t>
            </m:r>
          </m:sub>
        </m:sSub>
      </m:oMath>
      <w:r w:rsidRPr="00AC5121">
        <w:t xml:space="preserve"> in (1)], overbars denote climatological averages for a given calendar month (indicated by </w:t>
      </w:r>
      <m:oMath>
        <m:acc>
          <m:accPr>
            <m:chr m:val="̅"/>
            <m:ctrlPr>
              <w:rPr>
                <w:rFonts w:ascii="Cambria Math" w:hAnsi="Cambria Math"/>
                <w:i/>
              </w:rPr>
            </m:ctrlPr>
          </m:accPr>
          <m:e>
            <m:r>
              <w:rPr>
                <w:rFonts w:ascii="Cambria Math" w:hAnsi="Cambria Math"/>
              </w:rPr>
              <m:t>t</m:t>
            </m:r>
          </m:e>
        </m:acc>
      </m:oMath>
      <w:r w:rsidRPr="00AC5121">
        <w:t xml:space="preserve">), and the prime indicates the departure from climatology. The feedback parameters </w:t>
      </w:r>
      <m:oMath>
        <m:sSub>
          <m:sSubPr>
            <m:ctrlPr>
              <w:rPr>
                <w:rFonts w:ascii="Cambria Math" w:hAnsi="Cambria Math"/>
                <w:i/>
              </w:rPr>
            </m:ctrlPr>
          </m:sSubPr>
          <m:e>
            <m:r>
              <w:rPr>
                <w:rFonts w:ascii="Cambria Math" w:hAnsi="Cambria Math"/>
              </w:rPr>
              <m:t>λ</m:t>
            </m:r>
          </m:e>
          <m:sub>
            <m:r>
              <w:rPr>
                <w:rFonts w:ascii="Cambria Math" w:hAnsi="Cambria Math"/>
              </w:rPr>
              <m:t>LH</m:t>
            </m:r>
          </m:sub>
        </m:sSub>
      </m:oMath>
      <w:r w:rsidRPr="00AC5121">
        <w:t xml:space="preserve"> and </w:t>
      </w:r>
      <m:oMath>
        <m:sSub>
          <m:sSubPr>
            <m:ctrlPr>
              <w:rPr>
                <w:rFonts w:ascii="Cambria Math" w:hAnsi="Cambria Math"/>
                <w:i/>
              </w:rPr>
            </m:ctrlPr>
          </m:sSubPr>
          <m:e>
            <m:r>
              <w:rPr>
                <w:rFonts w:ascii="Cambria Math" w:hAnsi="Cambria Math"/>
              </w:rPr>
              <m:t>λ</m:t>
            </m:r>
          </m:e>
          <m:sub>
            <m:r>
              <w:rPr>
                <w:rFonts w:ascii="Cambria Math" w:hAnsi="Cambria Math"/>
              </w:rPr>
              <m:t>SH</m:t>
            </m:r>
          </m:sub>
        </m:sSub>
      </m:oMath>
      <w:r w:rsidRPr="00AC5121">
        <w:t xml:space="preserve"> are equal to the derivatives on the </w:t>
      </w:r>
      <w:proofErr w:type="gramStart"/>
      <w:r w:rsidRPr="00AC5121">
        <w:t>right hand</w:t>
      </w:r>
      <w:proofErr w:type="gramEnd"/>
      <w:r w:rsidRPr="00AC5121">
        <w:t xml:space="preserve"> side of (</w:t>
      </w:r>
      <w:r w:rsidRPr="00AC5121">
        <w:rPr>
          <w:i/>
          <w:iCs/>
        </w:rPr>
        <w:t>A</w:t>
      </w:r>
      <w:r w:rsidRPr="00AC5121">
        <w:t xml:space="preserve">1) and assume no change in the climatological values for the bulk transfer coefficient, wind speed, and air density.  </w:t>
      </w:r>
    </w:p>
    <w:p w14:paraId="6A442671" w14:textId="77777777" w:rsidR="00AC5121" w:rsidRPr="00AC5121" w:rsidRDefault="00AC5121" w:rsidP="00AC5121">
      <w:pPr>
        <w:spacing w:after="120"/>
      </w:pPr>
      <w:r w:rsidRPr="00AC5121">
        <w:t>The bulk formula for latent heat flux is:</w:t>
      </w:r>
    </w:p>
    <w:p w14:paraId="5383BCF4" w14:textId="49B09BCD" w:rsidR="00AC5121" w:rsidRPr="00AC5121" w:rsidRDefault="00000000" w:rsidP="00AC5121">
      <w:pPr>
        <w:spacing w:after="120"/>
      </w:pPr>
      <m:oMathPara>
        <m:oMath>
          <m:eqArr>
            <m:eqArrPr>
              <m:maxDist m:val="1"/>
              <m:ctrlPr>
                <w:rPr>
                  <w:rFonts w:ascii="Cambria Math" w:hAnsi="Cambria Math"/>
                  <w:i/>
                </w:rPr>
              </m:ctrlPr>
            </m:eqArrPr>
            <m:e>
              <m:r>
                <w:rPr>
                  <w:rFonts w:ascii="Cambria Math" w:hAnsi="Cambria Math"/>
                </w:rPr>
                <m:t>LH=</m:t>
              </m:r>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rPr>
                    <m:t>ρ</m:t>
                  </m:r>
                </m:e>
                <m:sub>
                  <m:r>
                    <w:rPr>
                      <w:rFonts w:ascii="Cambria Math" w:hAnsi="Cambria Math"/>
                    </w:rPr>
                    <m:t>a</m:t>
                  </m:r>
                </m:sub>
              </m:sSub>
              <m:d>
                <m:dPr>
                  <m:begChr m:val="|"/>
                  <m:endChr m:val="|"/>
                  <m:ctrlPr>
                    <w:rPr>
                      <w:rFonts w:ascii="Cambria Math" w:hAnsi="Cambria Math"/>
                      <w:i/>
                    </w:rPr>
                  </m:ctrlPr>
                </m:dPr>
                <m:e>
                  <m:r>
                    <w:rPr>
                      <w:rFonts w:ascii="Cambria Math" w:hAnsi="Cambria Math"/>
                    </w:rPr>
                    <m:t>U</m:t>
                  </m:r>
                </m:e>
              </m:d>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sat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r>
                    <w:rPr>
                      <w:rFonts w:ascii="Cambria Math" w:hAnsi="Cambria Math"/>
                    </w:rPr>
                    <m:t>-r</m:t>
                  </m:r>
                  <m:sSub>
                    <m:sSubPr>
                      <m:ctrlPr>
                        <w:rPr>
                          <w:rFonts w:ascii="Cambria Math" w:hAnsi="Cambria Math"/>
                          <w:i/>
                        </w:rPr>
                      </m:ctrlPr>
                    </m:sSubPr>
                    <m:e>
                      <m:r>
                        <w:rPr>
                          <w:rFonts w:ascii="Cambria Math" w:hAnsi="Cambria Math"/>
                        </w:rPr>
                        <m:t>q</m:t>
                      </m:r>
                    </m:e>
                    <m:sub>
                      <m:r>
                        <w:rPr>
                          <w:rFonts w:ascii="Cambria Math" w:hAnsi="Cambria Math"/>
                        </w:rPr>
                        <m:t>sat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t>
                          </m:r>
                        </m:sub>
                      </m:sSub>
                    </m:e>
                  </m:d>
                </m:e>
              </m:d>
              <m:r>
                <w:rPr>
                  <w:rFonts w:ascii="Cambria Math" w:hAnsi="Cambria Math"/>
                </w:rPr>
                <m:t xml:space="preserve"> </m:t>
              </m:r>
            </m:e>
          </m:eqArr>
        </m:oMath>
      </m:oMathPara>
    </w:p>
    <w:p w14:paraId="7FF4B8CD" w14:textId="61D4E931" w:rsidR="00AC5121" w:rsidRPr="00AC5121" w:rsidRDefault="00AC5121" w:rsidP="00AC5121">
      <w:pPr>
        <w:spacing w:after="120"/>
      </w:pPr>
      <w:r w:rsidRPr="00AC5121">
        <w:t xml:space="preserve">where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Pr="00AC5121">
        <w:t xml:space="preserve"> is the latent heat of vaporization, </w:t>
      </w:r>
      <m:oMath>
        <m:sSub>
          <m:sSubPr>
            <m:ctrlPr>
              <w:rPr>
                <w:rFonts w:ascii="Cambria Math" w:hAnsi="Cambria Math"/>
                <w:i/>
              </w:rPr>
            </m:ctrlPr>
          </m:sSubPr>
          <m:e>
            <m:r>
              <w:rPr>
                <w:rFonts w:ascii="Cambria Math" w:hAnsi="Cambria Math"/>
              </w:rPr>
              <m:t>C</m:t>
            </m:r>
          </m:e>
          <m:sub>
            <m:r>
              <w:rPr>
                <w:rFonts w:ascii="Cambria Math" w:hAnsi="Cambria Math"/>
              </w:rPr>
              <m:t>E</m:t>
            </m:r>
          </m:sub>
        </m:sSub>
      </m:oMath>
      <w:r w:rsidRPr="00AC5121">
        <w:t xml:space="preserve"> is a stability-dependent transfer coefficient, </w:t>
      </w:r>
      <m:oMath>
        <m:r>
          <w:rPr>
            <w:rFonts w:ascii="Cambria Math" w:hAnsi="Cambria Math"/>
          </w:rPr>
          <m:t>U</m:t>
        </m:r>
      </m:oMath>
      <w:r w:rsidRPr="00AC5121">
        <w:t xml:space="preserve"> is the scalar wind speed, </w:t>
      </w:r>
      <m:oMath>
        <m:sSub>
          <m:sSubPr>
            <m:ctrlPr>
              <w:rPr>
                <w:rFonts w:ascii="Cambria Math" w:hAnsi="Cambria Math"/>
                <w:i/>
              </w:rPr>
            </m:ctrlPr>
          </m:sSubPr>
          <m:e>
            <m:r>
              <w:rPr>
                <w:rFonts w:ascii="Cambria Math" w:hAnsi="Cambria Math"/>
              </w:rPr>
              <m:t>ρ</m:t>
            </m:r>
          </m:e>
          <m:sub>
            <m:r>
              <w:rPr>
                <w:rFonts w:ascii="Cambria Math" w:hAnsi="Cambria Math"/>
              </w:rPr>
              <m:t>a</m:t>
            </m:r>
          </m:sub>
        </m:sSub>
      </m:oMath>
      <w:r w:rsidRPr="00AC5121">
        <w:t xml:space="preserve"> is the air density, </w:t>
      </w:r>
      <m:oMath>
        <m:sSub>
          <m:sSubPr>
            <m:ctrlPr>
              <w:rPr>
                <w:rFonts w:ascii="Cambria Math" w:hAnsi="Cambria Math"/>
                <w:i/>
              </w:rPr>
            </m:ctrlPr>
          </m:sSubPr>
          <m:e>
            <m:r>
              <w:rPr>
                <w:rFonts w:ascii="Cambria Math" w:hAnsi="Cambria Math"/>
              </w:rPr>
              <m:t>q</m:t>
            </m:r>
          </m:e>
          <m:sub>
            <m:r>
              <w:rPr>
                <w:rFonts w:ascii="Cambria Math" w:hAnsi="Cambria Math"/>
              </w:rPr>
              <m:t>sat</m:t>
            </m:r>
          </m:sub>
        </m:sSub>
        <m:d>
          <m:dPr>
            <m:ctrlPr>
              <w:rPr>
                <w:rFonts w:ascii="Cambria Math" w:hAnsi="Cambria Math"/>
                <w:i/>
              </w:rPr>
            </m:ctrlPr>
          </m:dPr>
          <m:e>
            <m:r>
              <w:rPr>
                <w:rFonts w:ascii="Cambria Math" w:hAnsi="Cambria Math"/>
              </w:rPr>
              <m:t>T</m:t>
            </m:r>
          </m:e>
        </m:d>
      </m:oMath>
      <w:r w:rsidRPr="00AC5121">
        <w:t xml:space="preserve"> is the saturated specific humidity at temperature </w:t>
      </w:r>
      <m:oMath>
        <m:r>
          <w:rPr>
            <w:rFonts w:ascii="Cambria Math" w:hAnsi="Cambria Math"/>
          </w:rPr>
          <m:t>T</m:t>
        </m:r>
      </m:oMath>
      <w:r w:rsidRPr="00AC5121">
        <w:t xml:space="preserve">, and </w:t>
      </w:r>
      <m:oMath>
        <m:r>
          <w:rPr>
            <w:rFonts w:ascii="Cambria Math" w:hAnsi="Cambria Math"/>
          </w:rPr>
          <m:t>r</m:t>
        </m:r>
      </m:oMath>
      <w:r w:rsidRPr="00AC5121">
        <w:t xml:space="preserve"> is the near-surface relative humidity. To calculate its partial derivative, assumptions must be made about changes in the air-sea temperature difference, the relative humidity, and the stability parameter. Here, we assume no change in wind, stability parameter, or relative humidity. Following the derivation in </w:t>
      </w:r>
      <w:r w:rsidRPr="00AC5121">
        <w:fldChar w:fldCharType="begin"/>
      </w:r>
      <w:r w:rsidRPr="00AC5121">
        <w:instrText xml:space="preserve"> ADDIN ZOTERO_ITEM CSL_CITATION {"citationID":"5ZmOh4IQ","properties":{"formattedCitation":"(Lorenz et al. 2010)","plainCitation":"(Lorenz et al. 2010)","noteIndex":0},"citationItems":[{"id":413,"uris":["http://zotero.org/users/9944535/items/WWFHNUZK"],"itemData":{"id":413,"type":"article-journal","abstract":"The change in evaporation over the oceans in climate models is analyzed from the perspective of air-sea turbulent fluxes of water and energy. The results challenge the view that the change in evaporation is predominantly constrained by the change in the net radiation at the surface. For fixed net radiation change, it is found that (1) robust increases in near-surface relative humidity and (2) robust decreases in turbulent exchange coefficient lead to a substantial reduction in evaporation below the rate of increase implied by the net radiation alone. This reduction of evaporation is associated with corresponding changes in the sensible heat flux. In addition, a net imbalance in the surface energy budget under transient greenhouse gas forcing provides a further reduction in the evaporation change in climate models. Further results also suggest that it might be more physical to view the evaporation change as a function of relative humidity change rather than net radiation. In this view, the relative humidity controls the net surface shortwave radiation through changes in low-level cloudiness and the temperature controls the net surface radiation through the changes in longwave radiation. In addition, the results demonstrate the dominant role of both the air-sea temperature difference and relative humidity over, for example, wind speed in reducing the evaporation change in climate models below the Clausius-Clapeyron rate.","citation-key":"lorenzEvaporationChangeGlobal2010","container-title":"Journal of Geophysical Research: Atmospheres","DOI":"10.1029/2010JD013949","ISSN":"2156-2202","issue":"D20","language":"en","license":"Copyright 2010 by the American Geophysical Union.","note":"_eprint: https://agupubs.onlinelibrary.wiley.com/doi/pdf/10.1029/2010JD013949","source":"Wiley Online Library","title":"Evaporation Change and Global Warming: The Role of Net Radiation and Relative Humidity","title-short":"Evaporation Change and Global Warming","URL":"https://onlinelibrary.wiley.com/doi/abs/10.1029/2010JD013949","volume":"115","author":[{"family":"Lorenz","given":"David J."},{"family":"DeWeaver","given":"Eric T."},{"family":"Vimont","given":"Daniel J."}],"accessed":{"date-parts":[["2025",8,14]]},"issued":{"date-parts":[["2010"]]}}}],"schema":"https://github.com/citation-style-language/schema/raw/master/csl-citation.json"} </w:instrText>
      </w:r>
      <w:r w:rsidRPr="00AC5121">
        <w:fldChar w:fldCharType="separate"/>
      </w:r>
      <w:r w:rsidRPr="00AC5121">
        <w:t>(Lorenz et al. 2010)</w:t>
      </w:r>
      <w:r w:rsidRPr="00AC5121">
        <w:fldChar w:fldCharType="end"/>
      </w:r>
      <w:r w:rsidRPr="00AC5121">
        <w:t xml:space="preserve"> we take the logarithm and derivative of </w:t>
      </w:r>
      <m:oMath>
        <m:r>
          <w:rPr>
            <w:rFonts w:ascii="Cambria Math" w:hAnsi="Cambria Math"/>
          </w:rPr>
          <m:t>LH</m:t>
        </m:r>
      </m:oMath>
      <w:r w:rsidRPr="00AC5121">
        <w:t xml:space="preserve"> yielding</w:t>
      </w:r>
    </w:p>
    <w:p w14:paraId="6A627A58" w14:textId="3C3D86C4" w:rsidR="00AC5121" w:rsidRPr="00AC5121" w:rsidRDefault="00000000" w:rsidP="00AC5121">
      <w:pPr>
        <w:spacing w:after="120"/>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LH</m:t>
                  </m:r>
                </m:den>
              </m:f>
              <m:f>
                <m:fPr>
                  <m:ctrlPr>
                    <w:rPr>
                      <w:rFonts w:ascii="Cambria Math" w:hAnsi="Cambria Math"/>
                      <w:i/>
                    </w:rPr>
                  </m:ctrlPr>
                </m:fPr>
                <m:num>
                  <m:r>
                    <w:rPr>
                      <w:rFonts w:ascii="Cambria Math" w:hAnsi="Cambria Math"/>
                    </w:rPr>
                    <m:t>dLH</m:t>
                  </m:r>
                </m:num>
                <m:den>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den>
              </m:f>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s</m:t>
                                      </m:r>
                                    </m:sub>
                                  </m:sSub>
                                </m:num>
                                <m:den>
                                  <m:r>
                                    <w:rPr>
                                      <w:rFonts w:ascii="Cambria Math" w:hAnsi="Cambria Math"/>
                                    </w:rPr>
                                    <m:t>dT</m:t>
                                  </m:r>
                                </m:den>
                              </m:f>
                            </m:e>
                          </m:d>
                        </m:e>
                        <m: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s</m:t>
                              </m:r>
                            </m:sub>
                          </m:sSub>
                        </m:sub>
                      </m:sSub>
                      <m:r>
                        <w:rPr>
                          <w:rFonts w:ascii="Cambria Math" w:hAnsi="Cambria Math"/>
                        </w:rPr>
                        <m:t>-r</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s</m:t>
                                      </m:r>
                                    </m:sub>
                                  </m:sSub>
                                </m:num>
                                <m:den>
                                  <m:r>
                                    <w:rPr>
                                      <w:rFonts w:ascii="Cambria Math" w:hAnsi="Cambria Math"/>
                                    </w:rPr>
                                    <m:t>dT</m:t>
                                  </m:r>
                                </m:den>
                              </m:f>
                            </m:e>
                          </m:d>
                        </m:e>
                        <m: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a</m:t>
                              </m:r>
                            </m:sub>
                          </m:sSub>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a</m:t>
                              </m:r>
                            </m:sub>
                          </m:sSub>
                        </m:num>
                        <m:den>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den>
                      </m:f>
                    </m:e>
                  </m:d>
                </m:num>
                <m:den>
                  <m:sSub>
                    <m:sSubPr>
                      <m:ctrlPr>
                        <w:rPr>
                          <w:rFonts w:ascii="Cambria Math" w:hAnsi="Cambria Math"/>
                          <w:i/>
                        </w:rPr>
                      </m:ctrlPr>
                    </m:sSubPr>
                    <m:e>
                      <m:r>
                        <w:rPr>
                          <w:rFonts w:ascii="Cambria Math" w:hAnsi="Cambria Math"/>
                        </w:rPr>
                        <m:t>q</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r>
                    <w:rPr>
                      <w:rFonts w:ascii="Cambria Math" w:hAnsi="Cambria Math"/>
                    </w:rPr>
                    <m:t>-r</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den>
              </m:f>
              <m:r>
                <w:rPr>
                  <w:rFonts w:ascii="Cambria Math" w:hAnsi="Cambria Math"/>
                </w:rPr>
                <m:t>#</m:t>
              </m:r>
              <m:d>
                <m:dPr>
                  <m:ctrlPr>
                    <w:rPr>
                      <w:rFonts w:ascii="Cambria Math" w:hAnsi="Cambria Math"/>
                      <w:i/>
                    </w:rPr>
                  </m:ctrlPr>
                </m:dPr>
                <m:e>
                  <m:r>
                    <w:rPr>
                      <w:rFonts w:ascii="Cambria Math" w:hAnsi="Cambria Math"/>
                    </w:rPr>
                    <m:t>A2</m:t>
                  </m:r>
                </m:e>
              </m:d>
            </m:e>
          </m:eqArr>
        </m:oMath>
      </m:oMathPara>
    </w:p>
    <w:p w14:paraId="5EFC7522" w14:textId="60317665" w:rsidR="00AC5121" w:rsidRPr="00AC5121" w:rsidRDefault="00AC5121" w:rsidP="00AC5121">
      <w:pPr>
        <w:spacing w:after="120"/>
      </w:pPr>
      <w:r w:rsidRPr="00AC5121">
        <w:t xml:space="preserve">Noting that the Clausius-Clapeyron rate </w:t>
      </w:r>
      <m:oMath>
        <m:r>
          <w:rPr>
            <w:rFonts w:ascii="Cambria Math" w:hAnsi="Cambria Math"/>
          </w:rPr>
          <m:t>α=</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s</m:t>
                </m:r>
              </m:sub>
            </m:sSub>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s</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sSup>
              <m:sSupPr>
                <m:ctrlPr>
                  <w:rPr>
                    <w:rFonts w:ascii="Cambria Math" w:hAnsi="Cambria Math"/>
                    <w:i/>
                  </w:rPr>
                </m:ctrlPr>
              </m:sSupPr>
              <m:e>
                <m:r>
                  <w:rPr>
                    <w:rFonts w:ascii="Cambria Math" w:hAnsi="Cambria Math"/>
                  </w:rPr>
                  <m:t>T</m:t>
                </m:r>
              </m:e>
              <m:sup>
                <m:r>
                  <w:rPr>
                    <w:rFonts w:ascii="Cambria Math" w:hAnsi="Cambria Math"/>
                  </w:rPr>
                  <m:t>2</m:t>
                </m:r>
              </m:sup>
            </m:sSup>
          </m:den>
        </m:f>
      </m:oMath>
      <w:r w:rsidRPr="00AC5121">
        <w:t xml:space="preserve">, assuming that </w:t>
      </w:r>
      <m:oMath>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t>
                </m:r>
              </m:sub>
            </m:sSub>
          </m:e>
        </m:d>
      </m:oMath>
      <w:r w:rsidRPr="00AC5121">
        <w:t xml:space="preserve">, and defining </w:t>
      </w:r>
      <m:oMath>
        <m:r>
          <w:rPr>
            <w:rFonts w:ascii="Cambria Math" w:hAnsi="Cambria Math"/>
          </w:rPr>
          <m:t>γ=d</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rsidRPr="00AC5121">
        <w:t>as the ratio of air temperature change to ocean surface temperature change, we can rewrite (</w:t>
      </w:r>
      <w:r w:rsidRPr="00AC5121">
        <w:rPr>
          <w:i/>
          <w:iCs/>
        </w:rPr>
        <w:t>A</w:t>
      </w:r>
      <w:r w:rsidRPr="00AC5121">
        <w:t>2) as:</w:t>
      </w:r>
    </w:p>
    <w:p w14:paraId="16267A29" w14:textId="1D318EF8" w:rsidR="00AC5121" w:rsidRPr="00AC5121" w:rsidRDefault="00000000" w:rsidP="00AC5121">
      <w:pPr>
        <w:spacing w:after="120"/>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LH</m:t>
                  </m:r>
                </m:den>
              </m:f>
              <m:f>
                <m:fPr>
                  <m:ctrlPr>
                    <w:rPr>
                      <w:rFonts w:ascii="Cambria Math" w:hAnsi="Cambria Math"/>
                      <w:i/>
                    </w:rPr>
                  </m:ctrlPr>
                </m:fPr>
                <m:num>
                  <m:r>
                    <w:rPr>
                      <w:rFonts w:ascii="Cambria Math" w:hAnsi="Cambria Math"/>
                    </w:rPr>
                    <m:t>dLH</m:t>
                  </m:r>
                </m:num>
                <m:den>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)-rα</m:t>
                      </m:r>
                      <m:sSub>
                        <m:sSubPr>
                          <m:ctrlPr>
                            <w:rPr>
                              <w:rFonts w:ascii="Cambria Math" w:hAnsi="Cambria Math"/>
                              <w:i/>
                            </w:rPr>
                          </m:ctrlPr>
                        </m:sSubPr>
                        <m:e>
                          <m:r>
                            <w:rPr>
                              <w:rFonts w:ascii="Cambria Math" w:hAnsi="Cambria Math"/>
                            </w:rPr>
                            <m:t>γq</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e>
                  </m:d>
                </m:num>
                <m:den>
                  <m:sSub>
                    <m:sSubPr>
                      <m:ctrlPr>
                        <w:rPr>
                          <w:rFonts w:ascii="Cambria Math" w:hAnsi="Cambria Math"/>
                          <w:i/>
                        </w:rPr>
                      </m:ctrlPr>
                    </m:sSubPr>
                    <m:e>
                      <m:r>
                        <w:rPr>
                          <w:rFonts w:ascii="Cambria Math" w:hAnsi="Cambria Math"/>
                        </w:rPr>
                        <m:t>q</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r>
                    <w:rPr>
                      <w:rFonts w:ascii="Cambria Math" w:hAnsi="Cambria Math"/>
                    </w:rPr>
                    <m:t>-r</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den>
              </m:f>
            </m:e>
          </m:eqArr>
        </m:oMath>
      </m:oMathPara>
    </w:p>
    <w:p w14:paraId="5D294472" w14:textId="3D968DCB" w:rsidR="00AC5121" w:rsidRPr="00AC5121" w:rsidRDefault="00AC5121" w:rsidP="00AC5121">
      <w:pPr>
        <w:spacing w:after="120"/>
      </w:pPr>
      <w:r w:rsidRPr="00AC5121">
        <w:t xml:space="preserve">Upon adding and subtracting </w:t>
      </w:r>
      <m:oMath>
        <m:r>
          <w:rPr>
            <w:rFonts w:ascii="Cambria Math" w:hAnsi="Cambria Math"/>
          </w:rPr>
          <m:t>rα</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oMath>
      <w:r w:rsidRPr="00AC5121">
        <w:t xml:space="preserve"> in the numerator, we find:</w:t>
      </w:r>
    </w:p>
    <w:p w14:paraId="1333A32E" w14:textId="26722A87" w:rsidR="00AC5121" w:rsidRPr="00AC5121" w:rsidRDefault="00000000" w:rsidP="00AC5121">
      <w:pPr>
        <w:spacing w:after="1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λ</m:t>
                  </m:r>
                </m:e>
                <m:sub>
                  <m:r>
                    <w:rPr>
                      <w:rFonts w:ascii="Cambria Math" w:hAnsi="Cambria Math"/>
                    </w:rPr>
                    <m:t>LH</m:t>
                  </m:r>
                </m:sub>
              </m:sSub>
              <m:r>
                <w:rPr>
                  <w:rFonts w:ascii="Cambria Math" w:hAnsi="Cambria Math"/>
                </w:rPr>
                <m:t>≡</m:t>
              </m:r>
              <m:f>
                <m:fPr>
                  <m:ctrlPr>
                    <w:rPr>
                      <w:rFonts w:ascii="Cambria Math" w:hAnsi="Cambria Math"/>
                      <w:i/>
                    </w:rPr>
                  </m:ctrlPr>
                </m:fPr>
                <m:num>
                  <m:r>
                    <w:rPr>
                      <w:rFonts w:ascii="Cambria Math" w:hAnsi="Cambria Math"/>
                    </w:rPr>
                    <m:t>∂LH</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den>
              </m:f>
              <m:r>
                <w:rPr>
                  <w:rFonts w:ascii="Cambria Math" w:hAnsi="Cambria Math"/>
                </w:rPr>
                <m:t>=α</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d>
                        <m:dPr>
                          <m:ctrlPr>
                            <w:rPr>
                              <w:rFonts w:ascii="Cambria Math" w:hAnsi="Cambria Math"/>
                              <w:i/>
                            </w:rPr>
                          </m:ctrlPr>
                        </m:dPr>
                        <m:e>
                          <m:r>
                            <w:rPr>
                              <w:rFonts w:ascii="Cambria Math" w:hAnsi="Cambria Math"/>
                            </w:rPr>
                            <m:t>γ-1</m:t>
                          </m:r>
                        </m:e>
                      </m:d>
                      <m:r>
                        <w:rPr>
                          <w:rFonts w:ascii="Cambria Math" w:hAnsi="Cambria Math"/>
                        </w:rPr>
                        <m:t>r</m:t>
                      </m:r>
                      <m:sSub>
                        <m:sSubPr>
                          <m:ctrlPr>
                            <w:rPr>
                              <w:rFonts w:ascii="Cambria Math" w:hAnsi="Cambria Math"/>
                              <w:i/>
                            </w:rPr>
                          </m:ctrlPr>
                        </m:sSubPr>
                        <m:e>
                          <m:r>
                            <w:rPr>
                              <w:rFonts w:ascii="Cambria Math" w:hAnsi="Cambria Math"/>
                            </w:rPr>
                            <m:t>q</m:t>
                          </m:r>
                        </m:e>
                        <m:sub>
                          <m:r>
                            <w:rPr>
                              <w:rFonts w:ascii="Cambria Math" w:hAnsi="Cambria Math"/>
                            </w:rPr>
                            <m:t>sat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t>
                              </m:r>
                            </m:sub>
                          </m:sSub>
                        </m:e>
                      </m:d>
                    </m:num>
                    <m:den>
                      <m:sSub>
                        <m:sSubPr>
                          <m:ctrlPr>
                            <w:rPr>
                              <w:rFonts w:ascii="Cambria Math" w:hAnsi="Cambria Math"/>
                              <w:i/>
                            </w:rPr>
                          </m:ctrlPr>
                        </m:sSubPr>
                        <m:e>
                          <m:r>
                            <w:rPr>
                              <w:rFonts w:ascii="Cambria Math" w:hAnsi="Cambria Math"/>
                            </w:rPr>
                            <m:t>q</m:t>
                          </m:r>
                        </m:e>
                        <m:sub>
                          <m:r>
                            <w:rPr>
                              <w:rFonts w:ascii="Cambria Math" w:hAnsi="Cambria Math"/>
                            </w:rPr>
                            <m:t>sat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r>
                        <w:rPr>
                          <w:rFonts w:ascii="Cambria Math" w:hAnsi="Cambria Math"/>
                        </w:rPr>
                        <m:t>-r</m:t>
                      </m:r>
                      <m:sSub>
                        <m:sSubPr>
                          <m:ctrlPr>
                            <w:rPr>
                              <w:rFonts w:ascii="Cambria Math" w:hAnsi="Cambria Math"/>
                              <w:i/>
                            </w:rPr>
                          </m:ctrlPr>
                        </m:sSubPr>
                        <m:e>
                          <m:r>
                            <w:rPr>
                              <w:rFonts w:ascii="Cambria Math" w:hAnsi="Cambria Math"/>
                            </w:rPr>
                            <m:t>q</m:t>
                          </m:r>
                        </m:e>
                        <m:sub>
                          <m:r>
                            <w:rPr>
                              <w:rFonts w:ascii="Cambria Math" w:hAnsi="Cambria Math"/>
                            </w:rPr>
                            <m:t>sat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t>
                              </m:r>
                            </m:sub>
                          </m:sSub>
                        </m:e>
                      </m:d>
                    </m:den>
                  </m:f>
                </m:e>
              </m:d>
              <m:r>
                <w:rPr>
                  <w:rFonts w:ascii="Cambria Math" w:hAnsi="Cambria Math"/>
                </w:rPr>
                <m:t>⋅LH#</m:t>
              </m:r>
              <m:d>
                <m:dPr>
                  <m:ctrlPr>
                    <w:rPr>
                      <w:rFonts w:ascii="Cambria Math" w:hAnsi="Cambria Math"/>
                      <w:i/>
                    </w:rPr>
                  </m:ctrlPr>
                </m:dPr>
                <m:e>
                  <m:r>
                    <w:rPr>
                      <w:rFonts w:ascii="Cambria Math" w:hAnsi="Cambria Math"/>
                    </w:rPr>
                    <m:t>A3</m:t>
                  </m:r>
                </m:e>
              </m:d>
            </m:e>
          </m:eqArr>
        </m:oMath>
      </m:oMathPara>
    </w:p>
    <w:p w14:paraId="7A0EEA2A" w14:textId="77777777" w:rsidR="00F1212F" w:rsidRDefault="00F1212F" w:rsidP="00AC5121">
      <w:pPr>
        <w:spacing w:after="120"/>
      </w:pPr>
    </w:p>
    <w:p w14:paraId="2D1F4E05" w14:textId="0FC7AB9A" w:rsidR="00AC5121" w:rsidRPr="00AC5121" w:rsidRDefault="00AC5121" w:rsidP="00AC5121">
      <w:pPr>
        <w:spacing w:after="120"/>
      </w:pPr>
      <w:r w:rsidRPr="00AC5121">
        <w:lastRenderedPageBreak/>
        <w:t>The sensible heat flux feedback parameter is also derived from the bulk formula:</w:t>
      </w:r>
    </w:p>
    <w:p w14:paraId="2500E3AB" w14:textId="7E40B9FA" w:rsidR="00AC5121" w:rsidRPr="00AC5121" w:rsidRDefault="00000000" w:rsidP="00AC5121">
      <w:pPr>
        <w:spacing w:after="120"/>
      </w:pPr>
      <m:oMathPara>
        <m:oMath>
          <m:eqArr>
            <m:eqArrPr>
              <m:maxDist m:val="1"/>
              <m:ctrlPr>
                <w:rPr>
                  <w:rFonts w:ascii="Cambria Math" w:hAnsi="Cambria Math"/>
                  <w:i/>
                </w:rPr>
              </m:ctrlPr>
            </m:eqArrPr>
            <m:e>
              <m:r>
                <w:rPr>
                  <w:rFonts w:ascii="Cambria Math" w:hAnsi="Cambria Math"/>
                </w:rPr>
                <m:t>SH=</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e>
              </m:d>
              <m:r>
                <w:rPr>
                  <w:rFonts w:ascii="Cambria Math" w:hAnsi="Cambria Math"/>
                </w:rPr>
                <m:t xml:space="preserve"> </m:t>
              </m:r>
            </m:e>
          </m:eqArr>
        </m:oMath>
      </m:oMathPara>
    </w:p>
    <w:p w14:paraId="2E2AE666" w14:textId="45426D0C" w:rsidR="00AC5121" w:rsidRPr="00AC5121" w:rsidRDefault="00AC5121" w:rsidP="00AC5121">
      <w:pPr>
        <w:spacing w:after="120"/>
      </w:pPr>
      <w:r w:rsidRPr="00AC5121">
        <w:t>Again, assuming no change in wind or stability:</w:t>
      </w:r>
    </w:p>
    <w:p w14:paraId="3ED59146" w14:textId="65D4406E" w:rsidR="00AC5121" w:rsidRPr="00AC5121" w:rsidRDefault="00000000" w:rsidP="00AC5121">
      <w:pPr>
        <w:spacing w:after="1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λ</m:t>
                  </m:r>
                </m:e>
                <m:sub>
                  <m:r>
                    <w:rPr>
                      <w:rFonts w:ascii="Cambria Math" w:hAnsi="Cambria Math"/>
                    </w:rPr>
                    <m:t>SH</m:t>
                  </m:r>
                </m:sub>
              </m:sSub>
              <m:r>
                <w:rPr>
                  <w:rFonts w:ascii="Cambria Math" w:hAnsi="Cambria Math"/>
                </w:rPr>
                <m:t>≡</m:t>
              </m:r>
              <m:f>
                <m:fPr>
                  <m:ctrlPr>
                    <w:rPr>
                      <w:rFonts w:ascii="Cambria Math" w:hAnsi="Cambria Math"/>
                      <w:i/>
                    </w:rPr>
                  </m:ctrlPr>
                </m:fPr>
                <m:num>
                  <m:r>
                    <w:rPr>
                      <w:rFonts w:ascii="Cambria Math" w:hAnsi="Cambria Math"/>
                    </w:rPr>
                    <m:t>dSH</m:t>
                  </m:r>
                </m:num>
                <m:den>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rPr>
                    <m:t>ρ</m:t>
                  </m:r>
                </m:e>
                <m:sub>
                  <m:r>
                    <w:rPr>
                      <w:rFonts w:ascii="Cambria Math" w:hAnsi="Cambria Math"/>
                    </w:rPr>
                    <m:t>a</m:t>
                  </m:r>
                </m:sub>
              </m:sSub>
              <m:d>
                <m:dPr>
                  <m:begChr m:val="|"/>
                  <m:endChr m:val="|"/>
                  <m:ctrlPr>
                    <w:rPr>
                      <w:rFonts w:ascii="Cambria Math" w:hAnsi="Cambria Math"/>
                      <w:i/>
                    </w:rPr>
                  </m:ctrlPr>
                </m:dPr>
                <m:e>
                  <m:r>
                    <w:rPr>
                      <w:rFonts w:ascii="Cambria Math" w:hAnsi="Cambria Math"/>
                    </w:rPr>
                    <m:t>U</m:t>
                  </m:r>
                </m:e>
              </m:d>
              <m:d>
                <m:dPr>
                  <m:ctrlPr>
                    <w:rPr>
                      <w:rFonts w:ascii="Cambria Math" w:hAnsi="Cambria Math"/>
                      <w:i/>
                    </w:rPr>
                  </m:ctrlPr>
                </m:dPr>
                <m:e>
                  <m:r>
                    <w:rPr>
                      <w:rFonts w:ascii="Cambria Math" w:hAnsi="Cambria Math"/>
                    </w:rPr>
                    <m:t>1-γ</m:t>
                  </m:r>
                </m:e>
              </m:d>
              <m:r>
                <w:rPr>
                  <w:rFonts w:ascii="Cambria Math" w:hAnsi="Cambria Math"/>
                </w:rPr>
                <m:t>.#</m:t>
              </m:r>
              <m:d>
                <m:dPr>
                  <m:ctrlPr>
                    <w:rPr>
                      <w:rFonts w:ascii="Cambria Math" w:hAnsi="Cambria Math"/>
                      <w:i/>
                    </w:rPr>
                  </m:ctrlPr>
                </m:dPr>
                <m:e>
                  <m:r>
                    <w:rPr>
                      <w:rFonts w:ascii="Cambria Math" w:hAnsi="Cambria Math"/>
                    </w:rPr>
                    <m:t>A4</m:t>
                  </m:r>
                </m:e>
              </m:d>
            </m:e>
          </m:eqArr>
        </m:oMath>
      </m:oMathPara>
    </w:p>
    <w:p w14:paraId="22330971" w14:textId="724A4E90" w:rsidR="00AC5121" w:rsidRDefault="00AC5121" w:rsidP="00AC5121">
      <w:pPr>
        <w:spacing w:after="120"/>
      </w:pPr>
      <w:r w:rsidRPr="00AC5121">
        <w:t xml:space="preserve">This shows that the mean upward sensible heat flux is reduced when </w:t>
      </w:r>
      <m:oMath>
        <m:r>
          <w:rPr>
            <w:rFonts w:ascii="Cambria Math" w:hAnsi="Cambria Math"/>
          </w:rPr>
          <m:t>γ&gt;1</m:t>
        </m:r>
      </m:oMath>
      <w:r w:rsidRPr="00AC5121">
        <w:t xml:space="preserve"> as air temperature warms more than SST, reducing the (absolute) air-sea temperature difference. The latent and sensible heat flux parameters are calculated using climatological values for density and wind speed, calculated from the </w:t>
      </w:r>
      <w:proofErr w:type="spellStart"/>
      <w:r w:rsidRPr="00AC5121">
        <w:t>iCOADS</w:t>
      </w:r>
      <w:proofErr w:type="spellEnd"/>
      <w:r w:rsidRPr="00AC5121">
        <w:t xml:space="preserve"> data set </w:t>
      </w:r>
      <w:r w:rsidR="00F1212F">
        <w:fldChar w:fldCharType="begin"/>
      </w:r>
      <w:r w:rsidR="00F1212F">
        <w:instrText xml:space="preserve"> ADDIN ZOTERO_ITEM CSL_CITATION {"citationID":"Qnfs0A99","properties":{"formattedCitation":"(Freeman et al. 2017)","plainCitation":"(Freeman et al. 2017)","noteIndex":0},"citationItems":[{"id":372,"uris":["http://zotero.org/users/9944535/items/4FDMD9LT"],"itemData":{"id":372,"type":"article-journal","abstract":"ABSTRACT\n            \n              We highlight improvements to the International Comprehensive Ocean</w:instrText>
      </w:r>
      <w:r w:rsidR="00F1212F">
        <w:rPr>
          <w:rFonts w:ascii="Cambria Math" w:hAnsi="Cambria Math" w:cs="Cambria Math"/>
        </w:rPr>
        <w:instrText>‐</w:instrText>
      </w:r>
      <w:r w:rsidR="00F1212F">
        <w:instrText>Atmosphere Data Set (\n              ICOADS\n              ) in the latest Release 3.0 (\n              R3\n              .0; covering 1662–2014).\n              ICOADS\n              is the most widely used freely available collection of surface marine observations, providing data for the construction of gridded analyses of sea surface temperature, estimates of air–sea interaction and other meteorological variables.\n              ICOADS\n              observations are assimilated into all major atmospheric, oceanic and coupled reanalyses, further widening its impact.\n              R3\n              .0 therefore includes changes designed to enable effective exchange of information describing data quality between\n              ICOADS\n              , reanalysis centres, data set developers, scientists and the public. These user</w:instrText>
      </w:r>
      <w:r w:rsidR="00F1212F">
        <w:rPr>
          <w:rFonts w:ascii="Cambria Math" w:hAnsi="Cambria Math" w:cs="Cambria Math"/>
        </w:rPr>
        <w:instrText>‐</w:instrText>
      </w:r>
      <w:r w:rsidR="00F1212F">
        <w:instrText>driven innovations include the assignment of a unique identifier (\n              \n                UID\n              \n              ) to each marine report – to enable tracing of observations, linking with reports and improved data sharing. Other revisions and extensions of the\n              ICOADS\n              ' International Maritime Meteorological Archive common data format incorporate new near</w:instrText>
      </w:r>
      <w:r w:rsidR="00F1212F">
        <w:rPr>
          <w:rFonts w:ascii="Cambria Math" w:hAnsi="Cambria Math" w:cs="Cambria Math"/>
        </w:rPr>
        <w:instrText>‐</w:instrText>
      </w:r>
      <w:r w:rsidR="00F1212F">
        <w:instrText>surface oceanographic data elements and cloud parameters. Many new input data sources have been assembled, and updates and improvements to existing data sources, or removal of erroneous data, made. Coupled with enhanced ‘preliminary’ monthly data and product extensions past 2014,\n              R3\n              .0 provides improved support of climate assessment and monitoring, reanalyses and near</w:instrText>
      </w:r>
      <w:r w:rsidR="00F1212F">
        <w:rPr>
          <w:rFonts w:ascii="Cambria Math" w:hAnsi="Cambria Math" w:cs="Cambria Math"/>
        </w:rPr>
        <w:instrText>‐</w:instrText>
      </w:r>
      <w:r w:rsidR="00F1212F">
        <w:instrText>real</w:instrText>
      </w:r>
      <w:r w:rsidR="00F1212F">
        <w:rPr>
          <w:rFonts w:ascii="Cambria Math" w:hAnsi="Cambria Math" w:cs="Cambria Math"/>
        </w:rPr>
        <w:instrText>‐</w:instrText>
      </w:r>
      <w:r w:rsidR="00F1212F">
        <w:instrText xml:space="preserve">time applications.","citation-key":"freemanICOADSRelease302017","container-title":"International Journal of Climatology","DOI":"10.1002/joc.4775","ISSN":"0899-8418, 1097-0088","issue":"5","journalAbbreviation":"Intl Journal of Climatology","language":"en","page":"2211-2232","source":"DOI.org (Crossref)","title":"ICOADS Release 3.0: a major update to the historical marine climate record","title-short":"ICOADS Release 3.0","volume":"37","author":[{"family":"Freeman","given":"Eric"},{"family":"Woodruff","given":"Scott D."},{"family":"Worley","given":"Steven J."},{"family":"Lubker","given":"Sandra J."},{"family":"Kent","given":"Elizabeth C."},{"family":"Angel","given":"William E."},{"family":"Berry","given":"David I."},{"family":"Brohan","given":"Philip"},{"family":"Eastman","given":"Ryan"},{"family":"Gates","given":"Lydia"},{"family":"Gloeden","given":"Wolfgang"},{"family":"Ji","given":"Zaihua"},{"family":"Lawrimore","given":"Jay"},{"family":"Rayner","given":"Nick A."},{"family":"Rosenhagen","given":"Gudrun"},{"family":"Smith","given":"Shawn R."}],"issued":{"date-parts":[["2017",4]]}}}],"schema":"https://github.com/citation-style-language/schema/raw/master/csl-citation.json"} </w:instrText>
      </w:r>
      <w:r w:rsidR="00F1212F">
        <w:fldChar w:fldCharType="separate"/>
      </w:r>
      <w:r w:rsidR="00F1212F">
        <w:rPr>
          <w:lang w:eastAsia="en-IN"/>
        </w:rPr>
        <w:t>(Freeman et al. 2017)</w:t>
      </w:r>
      <w:r w:rsidR="00F1212F">
        <w:fldChar w:fldCharType="end"/>
      </w:r>
      <w:r w:rsidRPr="00AC5121">
        <w:t xml:space="preserve">. Values </w:t>
      </w:r>
      <w:r w:rsidR="00F1212F">
        <w:t>estimated</w:t>
      </w:r>
      <w:r w:rsidRPr="00AC5121">
        <w:t xml:space="preserve"> from the CESM Historical simulation are </w:t>
      </w:r>
      <w:r w:rsidR="00F1212F">
        <w:t>similar</w:t>
      </w:r>
      <w:r w:rsidRPr="00AC5121">
        <w:t xml:space="preserve">. </w:t>
      </w:r>
    </w:p>
    <w:p w14:paraId="018A04F9" w14:textId="7343EC28" w:rsidR="00F1212F" w:rsidRPr="00F1212F" w:rsidRDefault="00F1212F" w:rsidP="00F1212F">
      <w:pPr>
        <w:spacing w:after="120"/>
      </w:pPr>
      <w:r w:rsidRPr="00F1212F">
        <w:t>The latent heat flux feedback parameter (</w:t>
      </w:r>
      <w:r>
        <w:t>A3</w:t>
      </w:r>
      <w:r w:rsidRPr="00F1212F">
        <w:t xml:space="preserve">) contains two terms that are multiplied by the mean (seasonal) latent heat flux itself. The first is simply the Clausius-Clapeyron rate </w:t>
      </w:r>
      <m:oMath>
        <m:r>
          <w:rPr>
            <w:rFonts w:ascii="Cambria Math" w:hAnsi="Cambria Math"/>
          </w:rPr>
          <m:t>α</m:t>
        </m:r>
      </m:oMath>
      <w:r w:rsidRPr="00F1212F">
        <w:t xml:space="preserve">; for mid-latitude conditions </w:t>
      </w:r>
      <m:oMath>
        <m:r>
          <w:rPr>
            <w:rFonts w:ascii="Cambria Math" w:hAnsi="Cambria Math"/>
          </w:rPr>
          <m:t>α≈6.2%</m:t>
        </m:r>
      </m:oMath>
      <w:r w:rsidRPr="00F1212F">
        <w:t xml:space="preserve">, which indicates that a uniform warming of the ocean and atmosphere will produce a fractional increase in the mean latent heat flux. The second term is proportional to the air-sea temperature change </w:t>
      </w:r>
      <m:oMath>
        <m:r>
          <w:rPr>
            <w:rFonts w:ascii="Cambria Math" w:hAnsi="Cambria Math"/>
          </w:rPr>
          <m:t>γ</m:t>
        </m:r>
      </m:oMath>
      <w:r w:rsidRPr="00F1212F">
        <w:t xml:space="preserve">: when </w:t>
      </w:r>
      <m:oMath>
        <m:r>
          <w:rPr>
            <w:rFonts w:ascii="Cambria Math" w:hAnsi="Cambria Math"/>
          </w:rPr>
          <m:t>γ=1</m:t>
        </m:r>
      </m:oMath>
      <w:r w:rsidRPr="00F1212F">
        <w:t xml:space="preserve"> the latent heat flux changes at the Clausius-Clapeyron rate. When </w:t>
      </w:r>
      <m:oMath>
        <m:r>
          <w:rPr>
            <w:rFonts w:ascii="Cambria Math" w:hAnsi="Cambria Math"/>
          </w:rPr>
          <m:t>γ&gt;1</m:t>
        </m:r>
      </m:oMath>
      <w:r w:rsidRPr="00F1212F">
        <w:t xml:space="preserve"> the equilibrated atmosphere warms more than the ocean, reducing the absolute air-sea temperature difference, which reduces the vertical moisture gradient, and hence reduces the change in upward latent heat flux per unit change in surface temperature. The sensible heat flux </w:t>
      </w:r>
      <w:r>
        <w:t>parameter (A4)</w:t>
      </w:r>
      <w:r w:rsidRPr="00F1212F">
        <w:t xml:space="preserve"> is proportional to</w:t>
      </w:r>
      <w:r w:rsidRPr="00F1212F">
        <w:rPr>
          <w:i/>
        </w:rPr>
        <w:t xml:space="preserve"> </w:t>
      </w:r>
      <m:oMath>
        <m:r>
          <w:rPr>
            <w:rFonts w:ascii="Cambria Math" w:hAnsi="Cambria Math"/>
          </w:rPr>
          <m:t>1-γ</m:t>
        </m:r>
      </m:oMath>
      <w:r w:rsidRPr="00F1212F">
        <w:rPr>
          <w:iCs/>
        </w:rPr>
        <w:t xml:space="preserve">, </w:t>
      </w:r>
      <w:r w:rsidRPr="00F1212F">
        <w:t xml:space="preserve">which implies no change in sensible heat flux if </w:t>
      </w:r>
      <m:oMath>
        <m:r>
          <w:rPr>
            <w:rFonts w:ascii="Cambria Math" w:hAnsi="Cambria Math"/>
          </w:rPr>
          <m:t>γ=1</m:t>
        </m:r>
      </m:oMath>
      <w:r w:rsidRPr="00F1212F">
        <w:t xml:space="preserve">, and a reduction in sensible heat flux when </w:t>
      </w:r>
      <m:oMath>
        <m:r>
          <w:rPr>
            <w:rFonts w:ascii="Cambria Math" w:hAnsi="Cambria Math"/>
          </w:rPr>
          <m:t>γ&gt;1</m:t>
        </m:r>
      </m:oMath>
      <w:r w:rsidRPr="00F1212F">
        <w:t xml:space="preserve"> (for </w:t>
      </w:r>
      <m:oMath>
        <m:r>
          <w:rPr>
            <w:rFonts w:ascii="Cambria Math" w:hAnsi="Cambria Math"/>
          </w:rPr>
          <m:t>γ&gt;1</m:t>
        </m:r>
      </m:oMath>
      <w:r w:rsidRPr="00F1212F">
        <w:t xml:space="preserve"> the atmosphere warms more than the ocean, and hence a warming of the surface counterintuitively implies a downward change in sensible heat flux). </w:t>
      </w:r>
    </w:p>
    <w:p w14:paraId="0B547D13" w14:textId="0CB319C2" w:rsidR="00F1212F" w:rsidRPr="00F1212F" w:rsidRDefault="00F1212F" w:rsidP="00F1212F">
      <w:pPr>
        <w:spacing w:after="120"/>
      </w:pPr>
      <w:r w:rsidRPr="00F1212F">
        <w:t xml:space="preserve">While the air-sea temperature change </w:t>
      </w:r>
      <m:oMath>
        <m:r>
          <w:rPr>
            <w:rFonts w:ascii="Cambria Math" w:hAnsi="Cambria Math"/>
          </w:rPr>
          <m:t>γ</m:t>
        </m:r>
      </m:oMath>
      <w:r w:rsidRPr="00F1212F">
        <w:t xml:space="preserve"> does have a large effect on the mean temperature change, it has very little effect on the fractional seasonal response (the amplitude of the seasonal response relative to the mean response; see SI1). The assumption that </w:t>
      </w: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a</m:t>
                </m:r>
              </m:sub>
            </m:sSub>
          </m:num>
          <m:den>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s</m:t>
                </m:r>
              </m:sub>
            </m:sSub>
          </m:den>
        </m:f>
        <m:r>
          <m:rPr>
            <m:sty m:val="p"/>
          </m:rPr>
          <w:rPr>
            <w:rFonts w:ascii="Cambria Math" w:hAnsi="Cambria Math"/>
          </w:rPr>
          <m:t>≈1</m:t>
        </m:r>
      </m:oMath>
      <w:r w:rsidRPr="00F1212F">
        <w:t xml:space="preserve"> implies that the ocean/atmosphere system is effectively in equilibrium, which reduces damping of the ocean </w:t>
      </w:r>
      <w:r w:rsidRPr="00F1212F">
        <w:fldChar w:fldCharType="begin"/>
      </w:r>
      <w:r w:rsidRPr="00F1212F">
        <w:instrText xml:space="preserve"> ADDIN ZOTERO_ITEM CSL_CITATION {"citationID":"894Pltt5","properties":{"formattedCitation":"(Barsugli and Battisti 1998)","plainCitation":"(Barsugli and Battisti 1998)","noteIndex":0},"citationItems":[{"id":458,"uris":["http://zotero.org/users/9944535/items/36G2P3UV"],"itemData":{"id":458,"type":"article-journal","abstract":"Starting from the assumption that the atmosphere is the primary source of variability internal to the midlatitude atmosphere–ocean system on intraseasonal to interannual timescales, the authors construct a simple stochastically forced, one-dimensional, linear, coupled energy balance model. The coupled system is then dissected into partially coupled and uncoupled systems in order to quantify the effects of coupling. The simplicity of the model allows for analytic evaluation of many quantities of interest, including power spectra, total variance, lag covariance between atmosphere and ocean, and surface flux spectra. The model predicts that coupling between the atmosphere and ocean in the midlatitudes will enhance the variance in both media and will decrease the energy flux between the atmosphere and the ocean. The model also demonstrates that specification of historical midlatitude sea surface temperature anomalies as a boundary condition for an atmospheric model will not generally lead to a correct simulation of low-frequency atmospheric thermal variance. This model provides a simple conceptual framework for understanding the basic aspects of midlatitude coupled variability. Given the simplicity of the model, it agrees well with numerical simulations using a two-level atmospheric general circulation model coupled to a slab mixed layer ocean. The simple model results are also qualitatively consistent with the results obtained in several other studies in which investigators coupled realistic atmospheric general circulation models to ocean models of varying complexity. This suggests that the experimental design of an atmospheric model coupled to a mixed layer ocean model would provide a reasonable null hypothesis against which to test for the presence of distinctive decadal variability.","citation-key":"barsugliBasicEffectsAtmosphere1998","container-title":"Journal of the Atmospheric Sciences","DOI":"10.1175/1520-0469(1998)055&lt;0477:TBEOAO&gt;2.0.CO;2","ISSN":"0022-4928, 1520-0469","issue":"4","language":"EN","page":"477-493","publisher":"American Meteorological Society","section":"Journal of the Atmospheric Sciences","source":"journals.ametsoc.org","title":"The Basic Effects of Atmosphere–Ocean Thermal Coupling on Midlatitude Variability","volume":"55","author":[{"family":"Barsugli","given":"Joseph J."},{"family":"Battisti","given":"David S."}],"issued":{"date-parts":[["1998",2,1]]}}}],"schema":"https://github.com/citation-style-language/schema/raw/master/csl-citation.json"} </w:instrText>
      </w:r>
      <w:r w:rsidRPr="00F1212F">
        <w:fldChar w:fldCharType="separate"/>
      </w:r>
      <w:r w:rsidRPr="00F1212F">
        <w:t>(Barsugli and Battisti 1998)</w:t>
      </w:r>
      <w:r w:rsidRPr="00F1212F">
        <w:fldChar w:fldCharType="end"/>
      </w:r>
      <w:r w:rsidRPr="00F1212F">
        <w:t xml:space="preserve">. This assumption distinguishes the feedback parameter used herein from other estimates based on natural variability </w:t>
      </w:r>
      <w:r w:rsidRPr="00F1212F">
        <w:fldChar w:fldCharType="begin"/>
      </w:r>
      <w:r w:rsidRPr="00F1212F">
        <w:instrText xml:space="preserve"> ADDIN ZOTERO_ITEM CSL_CITATION {"citationID":"XGWqA79R","properties":{"formattedCitation":"(Frankignoul and Kestenare 2002; Park et al. 2005; Liu et al. 2023)","plainCitation":"(Frankignoul and Kestenare 2002; Park et al. 2005; Liu et al. 2023)","noteIndex":0},"citationItems":[{"id":460,"uris":["http://zotero.org/users/9944535/items/DIKS7C4Z"],"itemData":{"id":460,"type":"article-journal","abstract":"The surface heat flux feedback is estimated in the Atlantic and the North Pacific, using monthly heat flux and sea surface temperature (SST) anomaly data from COADS and the NCEP reanalysis. In the Atlantic, the heat flux feedback is dominated by the turbulent flux. It is negative, mostly ranging between 10 and 35 W m–2 K–1, but larger in the western subtropical gyre and part of the subpolar gyre, and weaker in the tropics. The radiative feedback is generally weak. In the North Pacific, the heat flux feedback is also dominated by the turbulent flux and is negative nearly everywhere, peaking in the subtropics. In both oceans, the turbulent heat flux feedback remains primarily negative in each season, and is stronger in fall and winter; patches of positive feedback can be seen, but often with limited correspondence between COADS and NCEP. The radiative feedback remains weak, and is positive in spring and summer at mid-latitudes. It is also shown that the turbulent heat flux feedback is weaker over large-scale areas, that no positive heat flux feedback sustains the SST anomaly \"dipole\" in the tropical Atlantic, and that the main SST anomaly mode in the North Pacific is damped by a negative heat flux feedback. The energy exchange with the atmosphere that results from the heat flux feedback can be substantial at mid-latitudes, but does not exceed 7 W m–2 at basin scale.","citation-key":"frankignoulSurfaceHeatFlux2002","container-title":"Climate Dynamics","DOI":"10.1007/s00382-002-0252-x","ISSN":"1432-0894","issue":"8","journalAbbreviation":"Climate Dynamics","language":"en","page":"633-647","source":"Springer Link","title":"The surface heat flux feedback. Part I: estimates from observations in the Atlantic and the North Pacific","title-short":"The surface heat flux feedback. Part I","volume":"19","author":[{"family":"Frankignoul","given":"C."},{"family":"Kestenare","given":"E."}],"issued":{"date-parts":[["2002",10,1]]}}},{"id":371,"uris":["http://zotero.org/users/9944535/items/3DG62WHN","http://zotero.org/users/9944535/items/ZTLA5B7L"],"itemData":{"id":371,"type":"article-journal","citation-key":"parkEstimationSurfaceHeat2005","container-title":"Journal of climate","issue":"21","page":"4582–4599","source":"Google Scholar","title":"Estimation of the surface heat flux response to sea surface temperature anomalies over the global oceans","volume":"18","author":[{"family":"Park","given":"Sungsu"},{"family":"Deser","given":"Clara"},{"family":"Alexander","given":"Michael A."}],"issued":{"date-parts":[["2005"]]}}},{"id":429,"uris":["http://zotero.org/users/9944535/items/HF7BJZM2"],"itemData":{"id":429,"type":"article-journal","abstract":"The relative importance of ocean and atmospheric dynamics in generating Atlantic multidecadal variability (AMV) remains an open question. Comparisons between climate models with a slab ocean (SLAB) and fully dynamic ocean components (FULL) are often used to explore this question, but cannot reveal how individual ocean processes generate these differences. We build a hierarchy of physically interpretable stochastic models to investigate the contribution of two upper-ocean processes to AMV: the role of seasonal variation and mixed-layer entrainment. This interpretability arises from the stochastic model’s simplified representation of sea surface temperature (SST), considering only the local upper-ocean response to white-noise atmospheric forcing and its impact on surface heat exchange. We focus on understanding differences between SLAB and FULL non-eddy-resolving preindustrial control simulations of the Community Earth System Model 1 (CESM), and estimate the stochastic model parameters from each respective simulation. Despite its simplicity, the stochastic model reproduces temporal characteristics of SST variability in the SPG, including reemergence, seasonal-to-interannual persistence, and power spectra. Furthermore, the unrealistically persistent SST of the CESM-SLAB ocean simulation is reproduced in the equivalent stochastic model configuration where the mixed-layer depth (MLD) is constant. The stochastic model also reveals that vertical entrainment primarily damps SST variability, thus explaining why SLAB exhibits larger SST variance than FULL. The stochastic model driven by temporally stochastic, spatially coherent forcing patterns reproduces the canonical AMV pattern. However, the amplitude of low-frequency variability remains underestimated, suggesting a role for ocean dynamics beyond entrainment.","citation-key":"liuUnderstandingDriversAtlantic2023","DOI":"10.1175/JCLI-D-22-0309.1","language":"en","section":"Journal of Climate","source":"journals.ametsoc.org","title":"Understanding the Drivers of Atlantic Multidecadal Variability Using a Stochastic Model Hierarchy","URL":"https://journals.ametsoc.org/view/journals/clim/36/4/JCLI-D-22-0309.1.xml","author":[{"family":"Liu","given":"Glenn"},{"family":"Kwon","given":"Young-Oh"},{"family":"Frankignoul","given":"Claude"},{"family":"Lu","given":"Jian"}],"accessed":{"date-parts":[["2025",10,14]]},"issued":{"date-parts":[["2023",1,23]]}}}],"schema":"https://github.com/citation-style-language/schema/raw/master/csl-citation.json"} </w:instrText>
      </w:r>
      <w:r w:rsidRPr="00F1212F">
        <w:fldChar w:fldCharType="separate"/>
      </w:r>
      <w:r w:rsidRPr="00F1212F">
        <w:t>(Frankignoul and Kestenare 2002; Park et al. 2005; Liu et al. 2023)</w:t>
      </w:r>
      <w:r w:rsidRPr="00F1212F">
        <w:fldChar w:fldCharType="end"/>
      </w:r>
      <w:r w:rsidRPr="00F1212F">
        <w:t xml:space="preserve">. The CMIP3 climate models simulate </w:t>
      </w:r>
      <m:oMath>
        <m:r>
          <w:rPr>
            <w:rFonts w:ascii="Cambria Math" w:hAnsi="Cambria Math"/>
          </w:rPr>
          <m:t>γ</m:t>
        </m:r>
        <m:r>
          <m:rPr>
            <m:sty m:val="p"/>
          </m:rPr>
          <w:rPr>
            <w:rFonts w:ascii="Cambria Math" w:hAnsi="Cambria Math"/>
          </w:rPr>
          <m:t>≈1.064</m:t>
        </m:r>
      </m:oMath>
      <w:r w:rsidRPr="00F1212F">
        <w:t xml:space="preserve"> </w:t>
      </w:r>
      <w:r w:rsidRPr="00F1212F">
        <w:fldChar w:fldCharType="begin"/>
      </w:r>
      <w:r w:rsidRPr="00F1212F">
        <w:instrText xml:space="preserve"> ADDIN ZOTERO_ITEM CSL_CITATION {"citationID":"byv2SwKJ","properties":{"formattedCitation":"(Lorenz et al. 2010)","plainCitation":"(Lorenz et al. 2010)","noteIndex":0},"citationItems":[{"id":413,"uris":["http://zotero.org/users/9944535/items/WWFHNUZK"],"itemData":{"id":413,"type":"article-journal","abstract":"The change in evaporation over the oceans in climate models is analyzed from the perspective of air-sea turbulent fluxes of water and energy. The results challenge the view that the change in evaporation is predominantly constrained by the change in the net radiation at the surface. For fixed net radiation change, it is found that (1) robust increases in near-surface relative humidity and (2) robust decreases in turbulent exchange coefficient lead to a substantial reduction in evaporation below the rate of increase implied by the net radiation alone. This reduction of evaporation is associated with corresponding changes in the sensible heat flux. In addition, a net imbalance in the surface energy budget under transient greenhouse gas forcing provides a further reduction in the evaporation change in climate models. Further results also suggest that it might be more physical to view the evaporation change as a function of relative humidity change rather than net radiation. In this view, the relative humidity controls the net surface shortwave radiation through changes in low-level cloudiness and the temperature controls the net surface radiation through the changes in longwave radiation. In addition, the results demonstrate the dominant role of both the air-sea temperature difference and relative humidity over, for example, wind speed in reducing the evaporation change in climate models below the Clausius-Clapeyron rate.","citation-key":"lorenzEvaporationChangeGlobal2010","container-title":"Journal of Geophysical Research: Atmospheres","DOI":"10.1029/2010JD013949","ISSN":"2156-2202","issue":"D20","language":"en","license":"Copyright 2010 by the American Geophysical Union.","note":"_eprint: https://agupubs.onlinelibrary.wiley.com/doi/pdf/10.1029/2010JD013949","source":"Wiley Online Library","title":"Evaporation Change and Global Warming: The Role of Net Radiation and Relative Humidity","title-short":"Evaporation Change and Global Warming","URL":"https://onlinelibrary.wiley.com/doi/abs/10.1029/2010JD013949","volume":"115","author":[{"family":"Lorenz","given":"David J."},{"family":"DeWeaver","given":"Eric T."},{"family":"Vimont","given":"Daniel J."}],"accessed":{"date-parts":[["2025",8,14]]},"issued":{"date-parts":[["2010"]]}}}],"schema":"https://github.com/citation-style-language/schema/raw/master/csl-citation.json"} </w:instrText>
      </w:r>
      <w:r w:rsidRPr="00F1212F">
        <w:fldChar w:fldCharType="separate"/>
      </w:r>
      <w:r w:rsidRPr="00F1212F">
        <w:t>(Lorenz et al. 2010)</w:t>
      </w:r>
      <w:r w:rsidRPr="00F1212F">
        <w:fldChar w:fldCharType="end"/>
      </w:r>
      <w:r w:rsidRPr="00F1212F">
        <w:t xml:space="preserve"> which reduces the negative latent heat flux feedback and produces a positive sensible heat flux feedback; for reference, the CESM Abrupt4xCO2 simulation approaches </w:t>
      </w:r>
      <m:oMath>
        <m:r>
          <w:rPr>
            <w:rFonts w:ascii="Cambria Math" w:hAnsi="Cambria Math"/>
          </w:rPr>
          <m:t>γ</m:t>
        </m:r>
        <m:r>
          <m:rPr>
            <m:sty m:val="p"/>
          </m:rPr>
          <w:rPr>
            <w:rFonts w:ascii="Cambria Math" w:hAnsi="Cambria Math"/>
          </w:rPr>
          <m:t>≈1.07</m:t>
        </m:r>
      </m:oMath>
      <w:r w:rsidRPr="00F1212F">
        <w:t xml:space="preserve"> by year 1000 over the study region, which is the value we use herein. </w:t>
      </w:r>
    </w:p>
    <w:p w14:paraId="06CD001D" w14:textId="77777777" w:rsidR="00F1212F" w:rsidRPr="00AC5121" w:rsidRDefault="00F1212F" w:rsidP="00AC5121">
      <w:pPr>
        <w:spacing w:after="120"/>
      </w:pPr>
    </w:p>
    <w:p w14:paraId="66B22243" w14:textId="77777777" w:rsidR="008A593E" w:rsidRDefault="008A593E">
      <w:pPr>
        <w:spacing w:after="160" w:line="278" w:lineRule="auto"/>
        <w:rPr>
          <w:b/>
        </w:rPr>
      </w:pPr>
      <w:r>
        <w:rPr>
          <w:b/>
        </w:rPr>
        <w:br w:type="page"/>
      </w:r>
    </w:p>
    <w:p w14:paraId="4611D3D1" w14:textId="136A0E45" w:rsidR="00466C6B" w:rsidRPr="00466C6B" w:rsidRDefault="00466C6B" w:rsidP="00393133">
      <w:pPr>
        <w:spacing w:after="160" w:line="278" w:lineRule="auto"/>
        <w:rPr>
          <w:b/>
        </w:rPr>
      </w:pPr>
      <w:r>
        <w:rPr>
          <w:b/>
        </w:rPr>
        <w:lastRenderedPageBreak/>
        <w:t xml:space="preserve">SI4: Sensitivity </w:t>
      </w:r>
      <w:r w:rsidRPr="00466C6B">
        <w:rPr>
          <w:b/>
        </w:rPr>
        <w:t xml:space="preserve">to </w:t>
      </w:r>
      <m:oMath>
        <m:r>
          <m:rPr>
            <m:sty m:val="bi"/>
          </m:rPr>
          <w:rPr>
            <w:rFonts w:ascii="Cambria Math" w:hAnsi="Cambria Math"/>
          </w:rPr>
          <m:t>γ</m:t>
        </m:r>
      </m:oMath>
    </w:p>
    <w:p w14:paraId="050B23A3" w14:textId="6CF8A0D7" w:rsidR="00C5417C" w:rsidRDefault="00466C6B" w:rsidP="00380DA8">
      <w:pPr>
        <w:spacing w:after="120"/>
        <w:rPr>
          <w:rFonts w:eastAsiaTheme="minorEastAsia"/>
        </w:rPr>
      </w:pPr>
      <w:r>
        <w:t xml:space="preserve">While the annual mean response of the oceanic mixed layer </w:t>
      </w:r>
      <w:r w:rsidR="00393133">
        <w:t xml:space="preserve">(Fig. S3a) </w:t>
      </w:r>
      <w:r>
        <w:t xml:space="preserve">is sensitive to the </w:t>
      </w:r>
      <w:r w:rsidR="00393133">
        <w:t xml:space="preserve">value of </w:t>
      </w:r>
      <m:oMath>
        <m:r>
          <w:rPr>
            <w:rFonts w:ascii="Cambria Math" w:hAnsi="Cambria Math"/>
          </w:rPr>
          <m:t>γ</m:t>
        </m:r>
      </m:oMath>
      <w:r w:rsidR="00393133">
        <w:rPr>
          <w:rFonts w:eastAsiaTheme="minorEastAsia"/>
        </w:rPr>
        <w:t xml:space="preserve"> (</w:t>
      </w:r>
      <m:oMath>
        <m:r>
          <w:rPr>
            <w:rFonts w:ascii="Cambria Math" w:hAnsi="Cambria Math"/>
          </w:rPr>
          <m:t>γ=d</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oMath>
      <w:r w:rsidR="00393133">
        <w:rPr>
          <w:rFonts w:eastAsiaTheme="minorEastAsia"/>
        </w:rPr>
        <w:t xml:space="preserve">) the seasonality of the response (Fig. S3b) is relatively insensitive. </w:t>
      </w:r>
      <w:r>
        <w:t xml:space="preserve">The seasonal feedback parameter was recalculated using values of </w:t>
      </w:r>
      <m:oMath>
        <m:r>
          <w:rPr>
            <w:rFonts w:ascii="Cambria Math" w:hAnsi="Cambria Math"/>
          </w:rPr>
          <m:t>γ</m:t>
        </m:r>
      </m:oMath>
      <w:r>
        <w:rPr>
          <w:rFonts w:eastAsiaTheme="minorEastAsia"/>
        </w:rPr>
        <w:t xml:space="preserve"> ranging from </w:t>
      </w:r>
      <m:oMath>
        <m:r>
          <w:rPr>
            <w:rFonts w:ascii="Cambria Math" w:hAnsi="Cambria Math"/>
          </w:rPr>
          <m:t>γ=0.8</m:t>
        </m:r>
      </m:oMath>
      <w:r>
        <w:rPr>
          <w:rFonts w:eastAsiaTheme="minorEastAsia"/>
        </w:rPr>
        <w:t xml:space="preserve"> to </w:t>
      </w:r>
      <m:oMath>
        <m:r>
          <w:rPr>
            <w:rFonts w:ascii="Cambria Math" w:hAnsi="Cambria Math"/>
          </w:rPr>
          <m:t>γ=1.16</m:t>
        </m:r>
      </m:oMath>
      <w:r w:rsidR="00393133">
        <w:rPr>
          <w:rFonts w:eastAsiaTheme="minorEastAsia"/>
        </w:rPr>
        <w:t xml:space="preserve"> and the MLM was run to equilibrium with constant 1 W m</w:t>
      </w:r>
      <w:r w:rsidR="00393133">
        <w:rPr>
          <w:rFonts w:eastAsiaTheme="minorEastAsia"/>
          <w:vertAlign w:val="superscript"/>
        </w:rPr>
        <w:t>2</w:t>
      </w:r>
      <w:r w:rsidR="00393133">
        <w:rPr>
          <w:rFonts w:eastAsiaTheme="minorEastAsia"/>
        </w:rPr>
        <w:t xml:space="preserve"> forcing. The resulting annual mean temperature is plotted as a function of </w:t>
      </w:r>
      <m:oMath>
        <m:r>
          <w:rPr>
            <w:rFonts w:ascii="Cambria Math" w:hAnsi="Cambria Math"/>
          </w:rPr>
          <m:t>γ</m:t>
        </m:r>
      </m:oMath>
      <w:r w:rsidR="00393133">
        <w:rPr>
          <w:rFonts w:eastAsiaTheme="minorEastAsia"/>
        </w:rPr>
        <w:t xml:space="preserve"> in Fig. </w:t>
      </w:r>
      <w:proofErr w:type="gramStart"/>
      <w:r w:rsidR="00393133">
        <w:rPr>
          <w:rFonts w:eastAsiaTheme="minorEastAsia"/>
        </w:rPr>
        <w:t>S3a, and</w:t>
      </w:r>
      <w:proofErr w:type="gramEnd"/>
      <w:r w:rsidR="00393133">
        <w:rPr>
          <w:rFonts w:eastAsiaTheme="minorEastAsia"/>
        </w:rPr>
        <w:t xml:space="preserve"> shows that the annual mean response is sensitive to </w:t>
      </w:r>
      <m:oMath>
        <m:r>
          <w:rPr>
            <w:rFonts w:ascii="Cambria Math" w:hAnsi="Cambria Math"/>
          </w:rPr>
          <m:t>γ</m:t>
        </m:r>
      </m:oMath>
      <w:r w:rsidR="00393133">
        <w:rPr>
          <w:rFonts w:eastAsiaTheme="minorEastAsia"/>
        </w:rPr>
        <w:t xml:space="preserve">. The seasonal response ratio (see section SI1) is plotted in Fig. S3b and is largely insensitive to values of </w:t>
      </w:r>
      <m:oMath>
        <m:r>
          <w:rPr>
            <w:rFonts w:ascii="Cambria Math" w:hAnsi="Cambria Math"/>
          </w:rPr>
          <m:t>γ</m:t>
        </m:r>
      </m:oMath>
      <w:r w:rsidR="00393133">
        <w:rPr>
          <w:rFonts w:eastAsiaTheme="minorEastAsia"/>
        </w:rPr>
        <w:t>.</w:t>
      </w:r>
    </w:p>
    <w:p w14:paraId="09EA3089" w14:textId="193F4C66" w:rsidR="00DB04D9" w:rsidRDefault="008A593E" w:rsidP="00DB04D9">
      <w:pPr>
        <w:spacing w:after="160" w:line="278" w:lineRule="auto"/>
        <w:rPr>
          <w:b/>
        </w:rPr>
      </w:pPr>
      <w:r w:rsidRPr="00380DA8">
        <w:rPr>
          <w:noProof/>
        </w:rPr>
        <mc:AlternateContent>
          <mc:Choice Requires="wps">
            <w:drawing>
              <wp:anchor distT="0" distB="0" distL="114300" distR="114300" simplePos="0" relativeHeight="251661312" behindDoc="0" locked="0" layoutInCell="1" allowOverlap="1" wp14:anchorId="2C3805AE" wp14:editId="24FAB174">
                <wp:simplePos x="0" y="0"/>
                <wp:positionH relativeFrom="margin">
                  <wp:posOffset>1022350</wp:posOffset>
                </wp:positionH>
                <wp:positionV relativeFrom="margin">
                  <wp:posOffset>2063750</wp:posOffset>
                </wp:positionV>
                <wp:extent cx="3903980" cy="4559300"/>
                <wp:effectExtent l="12700" t="12700" r="7620" b="12700"/>
                <wp:wrapSquare wrapText="bothSides"/>
                <wp:docPr id="72826818" name="Text Box 2"/>
                <wp:cNvGraphicFramePr/>
                <a:graphic xmlns:a="http://schemas.openxmlformats.org/drawingml/2006/main">
                  <a:graphicData uri="http://schemas.microsoft.com/office/word/2010/wordprocessingShape">
                    <wps:wsp>
                      <wps:cNvSpPr txBox="1"/>
                      <wps:spPr>
                        <a:xfrm>
                          <a:off x="0" y="0"/>
                          <a:ext cx="3903980" cy="4559300"/>
                        </a:xfrm>
                        <a:prstGeom prst="rect">
                          <a:avLst/>
                        </a:prstGeom>
                        <a:solidFill>
                          <a:sysClr val="window" lastClr="FFFFFF"/>
                        </a:solidFill>
                        <a:ln w="28575">
                          <a:solidFill>
                            <a:schemeClr val="tx1"/>
                          </a:solidFill>
                        </a:ln>
                      </wps:spPr>
                      <wps:txbx>
                        <w:txbxContent>
                          <w:p w14:paraId="241A047C" w14:textId="77777777" w:rsidR="00DB04D9" w:rsidRDefault="00DB04D9" w:rsidP="00DB04D9">
                            <w:pPr>
                              <w:spacing w:line="240" w:lineRule="auto"/>
                              <w:jc w:val="center"/>
                            </w:pPr>
                            <w:r>
                              <w:rPr>
                                <w:noProof/>
                              </w:rPr>
                              <w:drawing>
                                <wp:inline distT="0" distB="0" distL="0" distR="0" wp14:anchorId="23A35173" wp14:editId="4B786552">
                                  <wp:extent cx="3200400" cy="3603171"/>
                                  <wp:effectExtent l="0" t="0" r="0" b="3810"/>
                                  <wp:docPr id="36990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026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200400" cy="3603171"/>
                                          </a:xfrm>
                                          <a:prstGeom prst="rect">
                                            <a:avLst/>
                                          </a:prstGeom>
                                        </pic:spPr>
                                      </pic:pic>
                                    </a:graphicData>
                                  </a:graphic>
                                </wp:inline>
                              </w:drawing>
                            </w:r>
                          </w:p>
                          <w:p w14:paraId="152ABD0D" w14:textId="77777777" w:rsidR="00DB04D9" w:rsidRPr="00795550" w:rsidRDefault="00DB04D9" w:rsidP="00DB04D9">
                            <w:pPr>
                              <w:spacing w:line="240" w:lineRule="auto"/>
                            </w:pPr>
                            <w:r>
                              <w:rPr>
                                <w:b/>
                                <w:bCs/>
                              </w:rPr>
                              <w:t>Figure S3:</w:t>
                            </w:r>
                            <w:r>
                              <w:t xml:space="preserve"> MLM equilibrium sensitivity to different values of </w:t>
                            </w:r>
                            <m:oMath>
                              <m:r>
                                <w:rPr>
                                  <w:rFonts w:ascii="Cambria Math" w:hAnsi="Cambria Math"/>
                                </w:rPr>
                                <m:t>γ</m:t>
                              </m:r>
                            </m:oMath>
                            <w:r>
                              <w:rPr>
                                <w:rFonts w:eastAsiaTheme="minorEastAsia"/>
                              </w:rPr>
                              <w:t xml:space="preserve">. (a) Annual mean MLM SST as a function of </w:t>
                            </w:r>
                            <m:oMath>
                              <m:r>
                                <w:rPr>
                                  <w:rFonts w:ascii="Cambria Math" w:hAnsi="Cambria Math"/>
                                </w:rPr>
                                <m:t>γ</m:t>
                              </m:r>
                            </m:oMath>
                            <w:r>
                              <w:rPr>
                                <w:rFonts w:eastAsiaTheme="minorEastAsia"/>
                              </w:rPr>
                              <w:t xml:space="preserve">. (b) Seasonal response ratio (see SI1) for different values of </w:t>
                            </w:r>
                            <m:oMath>
                              <m:r>
                                <w:rPr>
                                  <w:rFonts w:ascii="Cambria Math" w:hAnsi="Cambria Math"/>
                                </w:rPr>
                                <m:t>γ</m:t>
                              </m:r>
                            </m:oMath>
                            <w:r>
                              <w:rPr>
                                <w:rFonts w:eastAsiaTheme="minorEastAsia"/>
                              </w:rPr>
                              <w:t xml:space="preserve">. Different colors indicate different values for </w:t>
                            </w:r>
                            <m:oMath>
                              <m:r>
                                <w:rPr>
                                  <w:rFonts w:ascii="Cambria Math" w:hAnsi="Cambria Math"/>
                                </w:rPr>
                                <m:t>γ</m:t>
                              </m:r>
                            </m:oMath>
                            <w:r>
                              <w:rPr>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3805AE" id="_x0000_s1028" type="#_x0000_t202" style="position:absolute;margin-left:80.5pt;margin-top:162.5pt;width:307.4pt;height:3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lUPRgIAAJYEAAAOAAAAZHJzL2Uyb0RvYy54bWysVE1vGjEQvVfqf7B8LwsEGkAsESWiqhQl&#13;&#10;kUiUs/F6w0pej2sbdumv77P5SEh7qsrBzHjGb2bezOz0pq012ynnKzI573W6nCkjqajMa86fn5Zf&#13;&#10;Rpz5IEwhNBmV873y/Gb2+dO0sRPVpw3pQjkGEOMnjc35JgQ7yTIvN6oWvkNWGRhLcrUIUN1rVjjR&#13;&#10;AL3WWb/b/Zo15ArrSCrvcXt7MPJZwi9LJcNDWXoVmM45cgvpdOlcxzObTcXk1Qm7qeQxDfEPWdSi&#13;&#10;Mgh6hroVQbCtq/6AqivpyFMZOpLqjMqykirVgGp63Q/VrDbCqlQLyPH2TJP/f7Dyfreyj46F9hu1&#13;&#10;aGAkpLF+4nEZ62lLV8d/ZMpgB4X7M22qDUzi8mrcvRqPYJKwDYbD8VU3EZu9PbfOh++KahaFnDv0&#13;&#10;JdEldnc+ICRcTy4xmiddFctK66Ts/UI7thNoITpfUMOZFj7gMufL9ItZA+LimTasyXl/NLweplAX&#13;&#10;xjRf6gwb2lT4JQQ0bYD7RkeUQrtuWVUA+UTVmoo9GHR0GC5v5bJClXdI8VE4TBOYwYaEBxylJiRF&#13;&#10;R4mzDblff7uP/mgyrJw1mM6c+59b4RQq/2HQ/nFvMIjjnJTB8LoPxb23rN9bzLZeENjrYRetTGL0&#13;&#10;D/oklo7qFyzSPEaFSRiJ2DkPJ3ERDjuDRZRqPk9OGGArwp1ZWRmhY6tiD5/aF+HssdEBM3JPpzkW&#13;&#10;kw/9PvjGl4bm20BllYYh8nxg9Ug/hj81+Liocbve68nr7XMy+w0AAP//AwBQSwMEFAAGAAgAAAAh&#13;&#10;AM+rAX3jAAAAEQEAAA8AAABkcnMvZG93bnJldi54bWxMj8tOwzAQRfdI/IM1SOyonT5RGqeqWlWA&#13;&#10;WPUBazcekqjxOIrdJvw9wwo2o7m687gnWw2uETfsQu1JQzJSIJAKb2sqNZyOu6dnECEasqbxhBq+&#13;&#10;McAqv7/LTGp9T3u8HWIp+AiF1GioYmxTKUNRoTNh5Fsk9r5850xk2ZXSdqbn466RY6Xm0pma+ENl&#13;&#10;WtxUWFwOV6ehf1n3uzdLnx/BJSd5GV7fpZ9q/fgwbJdc1ksQEYf4twG/DJwfcg529leyQTSs5wkD&#13;&#10;RQ2T8YwbnlgsZkx0ZktNJwpknsn/JPkPAAAA//8DAFBLAQItABQABgAIAAAAIQC2gziS/gAAAOEB&#13;&#10;AAATAAAAAAAAAAAAAAAAAAAAAABbQ29udGVudF9UeXBlc10ueG1sUEsBAi0AFAAGAAgAAAAhADj9&#13;&#10;If/WAAAAlAEAAAsAAAAAAAAAAAAAAAAALwEAAF9yZWxzLy5yZWxzUEsBAi0AFAAGAAgAAAAhAIp6&#13;&#10;VQ9GAgAAlgQAAA4AAAAAAAAAAAAAAAAALgIAAGRycy9lMm9Eb2MueG1sUEsBAi0AFAAGAAgAAAAh&#13;&#10;AM+rAX3jAAAAEQEAAA8AAAAAAAAAAAAAAAAAoAQAAGRycy9kb3ducmV2LnhtbFBLBQYAAAAABAAE&#13;&#10;APMAAACwBQAAAAA=&#13;&#10;" fillcolor="window" strokecolor="black [3213]" strokeweight="2.25pt">
                <v:textbox>
                  <w:txbxContent>
                    <w:p w14:paraId="241A047C" w14:textId="77777777" w:rsidR="00DB04D9" w:rsidRDefault="00DB04D9" w:rsidP="00DB04D9">
                      <w:pPr>
                        <w:spacing w:line="240" w:lineRule="auto"/>
                        <w:jc w:val="center"/>
                      </w:pPr>
                      <w:r>
                        <w:rPr>
                          <w:noProof/>
                        </w:rPr>
                        <w:drawing>
                          <wp:inline distT="0" distB="0" distL="0" distR="0" wp14:anchorId="23A35173" wp14:editId="4B786552">
                            <wp:extent cx="3200400" cy="3603171"/>
                            <wp:effectExtent l="0" t="0" r="0" b="3810"/>
                            <wp:docPr id="36990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026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200400" cy="3603171"/>
                                    </a:xfrm>
                                    <a:prstGeom prst="rect">
                                      <a:avLst/>
                                    </a:prstGeom>
                                  </pic:spPr>
                                </pic:pic>
                              </a:graphicData>
                            </a:graphic>
                          </wp:inline>
                        </w:drawing>
                      </w:r>
                    </w:p>
                    <w:p w14:paraId="152ABD0D" w14:textId="77777777" w:rsidR="00DB04D9" w:rsidRPr="00795550" w:rsidRDefault="00DB04D9" w:rsidP="00DB04D9">
                      <w:pPr>
                        <w:spacing w:line="240" w:lineRule="auto"/>
                      </w:pPr>
                      <w:r>
                        <w:rPr>
                          <w:b/>
                          <w:bCs/>
                        </w:rPr>
                        <w:t>Figure S3:</w:t>
                      </w:r>
                      <w:r>
                        <w:t xml:space="preserve"> MLM equilibrium sensitivity to different values of </w:t>
                      </w:r>
                      <m:oMath>
                        <m:r>
                          <w:rPr>
                            <w:rFonts w:ascii="Cambria Math" w:hAnsi="Cambria Math"/>
                          </w:rPr>
                          <m:t>γ</m:t>
                        </m:r>
                      </m:oMath>
                      <w:r>
                        <w:rPr>
                          <w:rFonts w:eastAsiaTheme="minorEastAsia"/>
                        </w:rPr>
                        <w:t xml:space="preserve">. (a) Annual mean MLM SST as a function of </w:t>
                      </w:r>
                      <m:oMath>
                        <m:r>
                          <w:rPr>
                            <w:rFonts w:ascii="Cambria Math" w:hAnsi="Cambria Math"/>
                          </w:rPr>
                          <m:t>γ</m:t>
                        </m:r>
                      </m:oMath>
                      <w:r>
                        <w:rPr>
                          <w:rFonts w:eastAsiaTheme="minorEastAsia"/>
                        </w:rPr>
                        <w:t xml:space="preserve">. (b) Seasonal response ratio (see SI1) for different values of </w:t>
                      </w:r>
                      <m:oMath>
                        <m:r>
                          <w:rPr>
                            <w:rFonts w:ascii="Cambria Math" w:hAnsi="Cambria Math"/>
                          </w:rPr>
                          <m:t>γ</m:t>
                        </m:r>
                      </m:oMath>
                      <w:r>
                        <w:rPr>
                          <w:rFonts w:eastAsiaTheme="minorEastAsia"/>
                        </w:rPr>
                        <w:t xml:space="preserve">. Different colors indicate different values for </w:t>
                      </w:r>
                      <m:oMath>
                        <m:r>
                          <w:rPr>
                            <w:rFonts w:ascii="Cambria Math" w:hAnsi="Cambria Math"/>
                          </w:rPr>
                          <m:t>γ</m:t>
                        </m:r>
                      </m:oMath>
                      <w:r>
                        <w:rPr>
                          <w:rFonts w:eastAsiaTheme="minorEastAsia"/>
                        </w:rPr>
                        <w:t>.</w:t>
                      </w:r>
                    </w:p>
                  </w:txbxContent>
                </v:textbox>
                <w10:wrap type="square" anchorx="margin" anchory="margin"/>
              </v:shape>
            </w:pict>
          </mc:Fallback>
        </mc:AlternateContent>
      </w:r>
    </w:p>
    <w:p w14:paraId="4E9AD9B9" w14:textId="4AF92175" w:rsidR="00EC37BF" w:rsidRDefault="00EC37BF">
      <w:pPr>
        <w:spacing w:after="160" w:line="278" w:lineRule="auto"/>
      </w:pPr>
      <w:r>
        <w:br w:type="page"/>
      </w:r>
    </w:p>
    <w:p w14:paraId="528562B7" w14:textId="4EA1D717" w:rsidR="00DB04D9" w:rsidRDefault="00EC37BF" w:rsidP="00DB04D9">
      <w:pPr>
        <w:spacing w:after="160" w:line="278" w:lineRule="auto"/>
        <w:rPr>
          <w:b/>
          <w:bCs/>
        </w:rPr>
      </w:pPr>
      <w:r>
        <w:rPr>
          <w:b/>
          <w:bCs/>
        </w:rPr>
        <w:lastRenderedPageBreak/>
        <w:t>SI5: Seasonality of Radiative Forcing</w:t>
      </w:r>
    </w:p>
    <w:p w14:paraId="4CF62C13" w14:textId="75E05FE4" w:rsidR="00EC37BF" w:rsidRPr="00EC37BF" w:rsidRDefault="00EC37BF" w:rsidP="00EC37BF">
      <w:pPr>
        <w:spacing w:after="160" w:line="278" w:lineRule="auto"/>
      </w:pPr>
      <w:r w:rsidRPr="00EC37BF">
        <w:rPr>
          <w:noProof/>
        </w:rPr>
        <mc:AlternateContent>
          <mc:Choice Requires="wps">
            <w:drawing>
              <wp:anchor distT="0" distB="0" distL="114300" distR="114300" simplePos="0" relativeHeight="251665408" behindDoc="0" locked="0" layoutInCell="1" allowOverlap="1" wp14:anchorId="27F48B99" wp14:editId="0C87E2F3">
                <wp:simplePos x="0" y="0"/>
                <wp:positionH relativeFrom="margin">
                  <wp:posOffset>3186430</wp:posOffset>
                </wp:positionH>
                <wp:positionV relativeFrom="margin">
                  <wp:posOffset>2233295</wp:posOffset>
                </wp:positionV>
                <wp:extent cx="2743200" cy="5977255"/>
                <wp:effectExtent l="12700" t="12700" r="12700" b="17145"/>
                <wp:wrapSquare wrapText="bothSides"/>
                <wp:docPr id="1823340349" name="Text Box 2"/>
                <wp:cNvGraphicFramePr/>
                <a:graphic xmlns:a="http://schemas.openxmlformats.org/drawingml/2006/main">
                  <a:graphicData uri="http://schemas.microsoft.com/office/word/2010/wordprocessingShape">
                    <wps:wsp>
                      <wps:cNvSpPr txBox="1"/>
                      <wps:spPr>
                        <a:xfrm>
                          <a:off x="0" y="0"/>
                          <a:ext cx="2743200" cy="5977255"/>
                        </a:xfrm>
                        <a:prstGeom prst="rect">
                          <a:avLst/>
                        </a:prstGeom>
                        <a:solidFill>
                          <a:sysClr val="window" lastClr="FFFFFF"/>
                        </a:solidFill>
                        <a:ln w="28575">
                          <a:solidFill>
                            <a:schemeClr val="tx1"/>
                          </a:solidFill>
                        </a:ln>
                      </wps:spPr>
                      <wps:txbx>
                        <w:txbxContent>
                          <w:p w14:paraId="7C1CC8A9" w14:textId="77777777" w:rsidR="00EC37BF" w:rsidRDefault="00EC37BF" w:rsidP="00EC37BF">
                            <w:pPr>
                              <w:spacing w:line="240" w:lineRule="auto"/>
                              <w:jc w:val="center"/>
                            </w:pPr>
                            <w:r>
                              <w:rPr>
                                <w:noProof/>
                              </w:rPr>
                              <w:drawing>
                                <wp:inline distT="0" distB="0" distL="0" distR="0" wp14:anchorId="0F7BEFF9" wp14:editId="1DD7AE0A">
                                  <wp:extent cx="2423795" cy="4311352"/>
                                  <wp:effectExtent l="0" t="0" r="1905" b="0"/>
                                  <wp:docPr id="662031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1163"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445438" cy="4349849"/>
                                          </a:xfrm>
                                          <a:prstGeom prst="rect">
                                            <a:avLst/>
                                          </a:prstGeom>
                                        </pic:spPr>
                                      </pic:pic>
                                    </a:graphicData>
                                  </a:graphic>
                                </wp:inline>
                              </w:drawing>
                            </w:r>
                          </w:p>
                          <w:p w14:paraId="774B0077" w14:textId="7C88C5E6" w:rsidR="00EC37BF" w:rsidRPr="00D71359" w:rsidRDefault="00EC37BF" w:rsidP="00EC37BF">
                            <w:pPr>
                              <w:spacing w:line="240" w:lineRule="auto"/>
                            </w:pPr>
                            <w:r w:rsidRPr="00D71359">
                              <w:rPr>
                                <w:b/>
                                <w:bCs/>
                              </w:rPr>
                              <w:t xml:space="preserve">Figure </w:t>
                            </w:r>
                            <w:r>
                              <w:rPr>
                                <w:b/>
                                <w:bCs/>
                              </w:rPr>
                              <w:t>S4</w:t>
                            </w:r>
                            <w:r w:rsidRPr="00D71359">
                              <w:rPr>
                                <w:b/>
                                <w:bCs/>
                              </w:rPr>
                              <w:t xml:space="preserve">: </w:t>
                            </w:r>
                            <w:r w:rsidRPr="00D71359">
                              <w:t>Seasonality of</w:t>
                            </w:r>
                            <w:r>
                              <w:t xml:space="preserve"> forcing.</w:t>
                            </w:r>
                            <w:r w:rsidRPr="00D71359">
                              <w:t xml:space="preserve"> </w:t>
                            </w:r>
                            <w:r>
                              <w:t>R</w:t>
                            </w:r>
                            <w:r w:rsidRPr="00D71359">
                              <w:t>adiative changes from (a) PIC-AER minus PIC-</w:t>
                            </w:r>
                            <w:proofErr w:type="spellStart"/>
                            <w:r w:rsidRPr="00D71359">
                              <w:t>Cont</w:t>
                            </w:r>
                            <w:proofErr w:type="spellEnd"/>
                            <w:r w:rsidRPr="00D71359">
                              <w:t xml:space="preserve"> (b) PIC-GHG minus PIC-</w:t>
                            </w:r>
                            <w:proofErr w:type="spellStart"/>
                            <w:r w:rsidRPr="00D71359">
                              <w:t>Cont</w:t>
                            </w:r>
                            <w:proofErr w:type="spellEnd"/>
                            <w:r w:rsidRPr="00D71359">
                              <w:t xml:space="preserve"> simulations. </w:t>
                            </w:r>
                            <w:r>
                              <w:t>Forcing is divided into clear sky (CS) and cloud radiative effects (CRE); terms are labelled below the figure.</w:t>
                            </w:r>
                            <w:r w:rsidRPr="00D71359">
                              <w:t xml:space="preserve"> Positive denotes a net flux into the ocean.</w:t>
                            </w:r>
                          </w:p>
                          <w:p w14:paraId="135DC5DA" w14:textId="77777777" w:rsidR="00EC37BF" w:rsidRPr="00795550" w:rsidRDefault="00EC37BF" w:rsidP="00EC37BF">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8B99" id="_x0000_s1029" type="#_x0000_t202" style="position:absolute;margin-left:250.9pt;margin-top:175.85pt;width:3in;height:47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nPzRgIAAJYEAAAOAAAAZHJzL2Uyb0RvYy54bWysVN1v2jAQf5+0/8Hy+whQMtqIUDEqpkmo&#13;&#10;rUSrPhvHJpEcn2cbEvbX7+yEj3Z7msaDufOd7+N3v8vsvq0VOQjrKtA5HQ2GlAjNoaj0LqevL6sv&#13;&#10;t5Q4z3TBFGiR06Nw9H7++dOsMZkYQwmqEJZgEO2yxuS09N5kSeJ4KWrmBmCERqMEWzOPqt0lhWUN&#13;&#10;Rq9VMh4OvyYN2MJY4MI5vH3ojHQe40spuH+S0glPVE6xNh9PG89tOJP5jGU7y0xZ8b4M9g9V1KzS&#13;&#10;mPQc6oF5Rva2+iNUXXELDqQfcKgTkLLiIvaA3YyGH7rZlMyI2AuC48wZJvf/wvLHw8Y8W+Lbb9Di&#13;&#10;AAMgjXGZw8vQTyttHf6xUoJ2hPB4hk20nnC8HE8nNzgLSjja0rvpdJymIU5yeW6s898F1CQIObU4&#13;&#10;lwgXO6yd71xPLiGbA1UVq0qpqBzdUllyYDhCnHwBDSWKOY+XOV3FX5/t3TOlSYO13abTNKZ6Z4z8&#13;&#10;Euewvo2NY8FXXqgpjV1c4AiSb7ctqYqc3pyg2kJxRAQtdORyhq8q7HKNJT4zi2xCZHBD/BMeUgEW&#13;&#10;Bb1ESQn219/ugz8OGa2UNMjOnLqfe2YFdv5D4/jvRpNJoHNUJul0jIq9tmyvLXpfLwHRG+EuGh7F&#13;&#10;4O/VSZQW6jdcpEXIiiamOebOqT+JS9/tDC4iF4tFdEICG+bXemN4CB1GFWb40r4xa/pBe+TII5x4&#13;&#10;zLIP8+58w0sNi70HWUUyBJw7VHv4kfyRTv2ihu261qPX5XMy/w0AAP//AwBQSwMEFAAGAAgAAAAh&#13;&#10;ANjUefvkAAAAEQEAAA8AAABkcnMvZG93bnJldi54bWxMj0FPwzAMhe9I/IfISNxY0pXB1jWdJtAE&#13;&#10;Eye2wTlrTFutcaomW8u/x5zgYsn28/P38tXoWnHBPjSeNCQTBQKp9LahSsNhv7mbgwjRkDWtJ9Tw&#13;&#10;jQFWxfVVbjLrB3rHyy5Wgk0oZEZDHWOXSRnKGp0JE98h8e7L985EbvtK2t4MbO5aOVXqQTrTEH+o&#13;&#10;TYdPNZan3dlpGF7Ww2Zr6fMjuOQgT+Prm/T3Wt/ejM9LLusliIhj/LuA3wzMDwWDHf2ZbBCthplK&#13;&#10;mD9qSGfJIwhWLNKUJ0eWThepAlnk8n+S4gcAAP//AwBQSwECLQAUAAYACAAAACEAtoM4kv4AAADh&#13;&#10;AQAAEwAAAAAAAAAAAAAAAAAAAAAAW0NvbnRlbnRfVHlwZXNdLnhtbFBLAQItABQABgAIAAAAIQA4&#13;&#10;/SH/1gAAAJQBAAALAAAAAAAAAAAAAAAAAC8BAABfcmVscy8ucmVsc1BLAQItABQABgAIAAAAIQCw&#13;&#10;AnPzRgIAAJYEAAAOAAAAAAAAAAAAAAAAAC4CAABkcnMvZTJvRG9jLnhtbFBLAQItABQABgAIAAAA&#13;&#10;IQDY1Hn75AAAABEBAAAPAAAAAAAAAAAAAAAAAKAEAABkcnMvZG93bnJldi54bWxQSwUGAAAAAAQA&#13;&#10;BADzAAAAsQUAAAAA&#13;&#10;" fillcolor="window" strokecolor="black [3213]" strokeweight="2.25pt">
                <v:textbox>
                  <w:txbxContent>
                    <w:p w14:paraId="7C1CC8A9" w14:textId="77777777" w:rsidR="00EC37BF" w:rsidRDefault="00EC37BF" w:rsidP="00EC37BF">
                      <w:pPr>
                        <w:spacing w:line="240" w:lineRule="auto"/>
                        <w:jc w:val="center"/>
                      </w:pPr>
                      <w:r>
                        <w:rPr>
                          <w:noProof/>
                        </w:rPr>
                        <w:drawing>
                          <wp:inline distT="0" distB="0" distL="0" distR="0" wp14:anchorId="0F7BEFF9" wp14:editId="1DD7AE0A">
                            <wp:extent cx="2423795" cy="4311352"/>
                            <wp:effectExtent l="0" t="0" r="1905" b="0"/>
                            <wp:docPr id="662031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1163"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2445438" cy="4349849"/>
                                    </a:xfrm>
                                    <a:prstGeom prst="rect">
                                      <a:avLst/>
                                    </a:prstGeom>
                                  </pic:spPr>
                                </pic:pic>
                              </a:graphicData>
                            </a:graphic>
                          </wp:inline>
                        </w:drawing>
                      </w:r>
                    </w:p>
                    <w:p w14:paraId="774B0077" w14:textId="7C88C5E6" w:rsidR="00EC37BF" w:rsidRPr="00D71359" w:rsidRDefault="00EC37BF" w:rsidP="00EC37BF">
                      <w:pPr>
                        <w:spacing w:line="240" w:lineRule="auto"/>
                      </w:pPr>
                      <w:r w:rsidRPr="00D71359">
                        <w:rPr>
                          <w:b/>
                          <w:bCs/>
                        </w:rPr>
                        <w:t xml:space="preserve">Figure </w:t>
                      </w:r>
                      <w:r>
                        <w:rPr>
                          <w:b/>
                          <w:bCs/>
                        </w:rPr>
                        <w:t>S4</w:t>
                      </w:r>
                      <w:r w:rsidRPr="00D71359">
                        <w:rPr>
                          <w:b/>
                          <w:bCs/>
                        </w:rPr>
                        <w:t xml:space="preserve">: </w:t>
                      </w:r>
                      <w:r w:rsidRPr="00D71359">
                        <w:t>Seasonality of</w:t>
                      </w:r>
                      <w:r>
                        <w:t xml:space="preserve"> forcing.</w:t>
                      </w:r>
                      <w:r w:rsidRPr="00D71359">
                        <w:t xml:space="preserve"> </w:t>
                      </w:r>
                      <w:r>
                        <w:t>R</w:t>
                      </w:r>
                      <w:r w:rsidRPr="00D71359">
                        <w:t>adiative changes from (a) PIC-AER minus PIC-</w:t>
                      </w:r>
                      <w:proofErr w:type="spellStart"/>
                      <w:r w:rsidRPr="00D71359">
                        <w:t>Cont</w:t>
                      </w:r>
                      <w:proofErr w:type="spellEnd"/>
                      <w:r w:rsidRPr="00D71359">
                        <w:t xml:space="preserve"> (b) PIC-GHG minus PIC-</w:t>
                      </w:r>
                      <w:proofErr w:type="spellStart"/>
                      <w:r w:rsidRPr="00D71359">
                        <w:t>Cont</w:t>
                      </w:r>
                      <w:proofErr w:type="spellEnd"/>
                      <w:r w:rsidRPr="00D71359">
                        <w:t xml:space="preserve"> simulations. </w:t>
                      </w:r>
                      <w:r>
                        <w:t>Forcing is divided into clear sky (CS) and cloud radiative effects (CRE); terms are labelled below the figure.</w:t>
                      </w:r>
                      <w:r w:rsidRPr="00D71359">
                        <w:t xml:space="preserve"> Positive denotes a net flux into the ocean.</w:t>
                      </w:r>
                    </w:p>
                    <w:p w14:paraId="135DC5DA" w14:textId="77777777" w:rsidR="00EC37BF" w:rsidRPr="00795550" w:rsidRDefault="00EC37BF" w:rsidP="00EC37BF">
                      <w:pPr>
                        <w:spacing w:line="240" w:lineRule="auto"/>
                      </w:pPr>
                    </w:p>
                  </w:txbxContent>
                </v:textbox>
                <w10:wrap type="square" anchorx="margin" anchory="margin"/>
              </v:shape>
            </w:pict>
          </mc:Fallback>
        </mc:AlternateContent>
      </w:r>
      <w:r w:rsidRPr="00EC37BF">
        <w:t>The seasonality of radiative forcing is inferred from the RFMIP simulations (Table 1) by subtracting the PIC-</w:t>
      </w:r>
      <w:proofErr w:type="spellStart"/>
      <w:r w:rsidRPr="00EC37BF">
        <w:t>Cont</w:t>
      </w:r>
      <w:proofErr w:type="spellEnd"/>
      <w:r w:rsidRPr="00EC37BF">
        <w:t xml:space="preserve"> simulation from the PIC-AER or PIC-GHG simulations. In these simulations the atmospheric component of CESM2 (CAM5) is run for 30yr using fixed SST taken from the PI-Control simulation. The PIC-</w:t>
      </w:r>
      <w:proofErr w:type="spellStart"/>
      <w:r w:rsidRPr="00EC37BF">
        <w:t>Cont</w:t>
      </w:r>
      <w:proofErr w:type="spellEnd"/>
      <w:r w:rsidRPr="00EC37BF">
        <w:t xml:space="preserve"> simulation uses preindustrial values for aerosol and greenhouse gas emissions and concentrations, while the PIC-AER and PIC-GHG use aerosol emissions </w:t>
      </w:r>
      <w:proofErr w:type="spellStart"/>
      <w:r w:rsidRPr="00EC37BF">
        <w:t>or</w:t>
      </w:r>
      <w:proofErr w:type="spellEnd"/>
      <w:r w:rsidRPr="00EC37BF">
        <w:t xml:space="preserve"> greenhouse gas emissions / concentrations set at 2000 levels. The differences in surface radiation between the CESM2 PIC-AER (Fig. </w:t>
      </w:r>
      <w:r>
        <w:t>S4a</w:t>
      </w:r>
      <w:r w:rsidRPr="00EC37BF">
        <w:t xml:space="preserve">) or PIC-GHG (Fig. </w:t>
      </w:r>
      <w:r>
        <w:t>S4</w:t>
      </w:r>
      <w:r w:rsidRPr="00EC37BF">
        <w:t>b) simulations and the PIC-</w:t>
      </w:r>
      <w:proofErr w:type="spellStart"/>
      <w:r w:rsidRPr="00EC37BF">
        <w:t>Cont</w:t>
      </w:r>
      <w:proofErr w:type="spellEnd"/>
      <w:r w:rsidRPr="00EC37BF">
        <w:t xml:space="preserve"> simulation represents forcing (as opposed to internal </w:t>
      </w:r>
      <w:proofErr w:type="gramStart"/>
      <w:r w:rsidRPr="00EC37BF">
        <w:t>feedbacks</w:t>
      </w:r>
      <w:proofErr w:type="gramEnd"/>
      <w:r w:rsidRPr="00EC37BF">
        <w:t xml:space="preserve">) as the surface SST is not allowed to adjust. We note that these analyses do not produce a pure “external” forcing as internal and non-local </w:t>
      </w:r>
      <w:proofErr w:type="gramStart"/>
      <w:r w:rsidRPr="00EC37BF">
        <w:t>feedbacks</w:t>
      </w:r>
      <w:proofErr w:type="gramEnd"/>
      <w:r w:rsidRPr="00EC37BF">
        <w:t xml:space="preserve"> are clearly present (e.g. cloud </w:t>
      </w:r>
      <w:proofErr w:type="gramStart"/>
      <w:r w:rsidRPr="00EC37BF">
        <w:t>feedbacks</w:t>
      </w:r>
      <w:proofErr w:type="gramEnd"/>
      <w:r w:rsidRPr="00EC37BF">
        <w:t>, and non-local effects from land adjustment). As such we use these simulations to qualitatively infer seasonality rather than strictly separating forcing from feedback. For reference, analysis of the CESM2 HIST-AER and HIST-GHG simulations produce very similar results though these simulations are more strongly influenced by the adjusted climate state. Specific components of the forcing include the net clear-sky (</w:t>
      </w:r>
      <w:proofErr w:type="spellStart"/>
      <w:r w:rsidRPr="00EC37BF">
        <w:t>ClrSky</w:t>
      </w:r>
      <w:proofErr w:type="spellEnd"/>
      <w:r w:rsidRPr="00EC37BF">
        <w:t xml:space="preserve">) forcing, net cloud radiative effects (CRE; defined as the difference between all-sky and clear-sky surface radiation); and the total change in surface radiation (sum of </w:t>
      </w:r>
      <w:proofErr w:type="spellStart"/>
      <w:r w:rsidRPr="00EC37BF">
        <w:t>ClrSky</w:t>
      </w:r>
      <w:proofErr w:type="spellEnd"/>
      <w:r w:rsidRPr="00EC37BF">
        <w:t xml:space="preserve"> and CRE total radiation). The total forcing from the PIC-AER simulation is used to estimate seasonality of forcing from aerosols, and the </w:t>
      </w:r>
      <w:proofErr w:type="spellStart"/>
      <w:r w:rsidRPr="00EC37BF">
        <w:t>ClrSky</w:t>
      </w:r>
      <w:proofErr w:type="spellEnd"/>
      <w:r w:rsidRPr="00EC37BF">
        <w:t xml:space="preserve"> forcing is used to estimate greenhouse gas forcing.</w:t>
      </w:r>
    </w:p>
    <w:p w14:paraId="64835E7B" w14:textId="582A9D46" w:rsidR="00EC37BF" w:rsidRPr="00EC37BF" w:rsidRDefault="00EC37BF" w:rsidP="00EC37BF">
      <w:pPr>
        <w:spacing w:after="160" w:line="278" w:lineRule="auto"/>
      </w:pPr>
      <w:r w:rsidRPr="00EC37BF">
        <w:t xml:space="preserve">The PIC-AER simulation (Fig. </w:t>
      </w:r>
      <w:r>
        <w:t>S4</w:t>
      </w:r>
      <w:r w:rsidRPr="00EC37BF">
        <w:t xml:space="preserve">a) shows a strong seasonal cycle in radiative forcing that is dominated by the shortwave CRE in all seasons except the boreal summer, when the </w:t>
      </w:r>
      <w:proofErr w:type="spellStart"/>
      <w:r w:rsidRPr="00EC37BF">
        <w:t>ClrSky</w:t>
      </w:r>
      <w:proofErr w:type="spellEnd"/>
      <w:r w:rsidRPr="00EC37BF">
        <w:t xml:space="preserve"> effect is comparable. The CRE has </w:t>
      </w:r>
      <w:r w:rsidRPr="00EC37BF">
        <w:lastRenderedPageBreak/>
        <w:t xml:space="preserve">maximum amplitude during boreal spring (MAM) with a small secondary peak in boreal fall while the </w:t>
      </w:r>
      <w:proofErr w:type="spellStart"/>
      <w:r w:rsidRPr="00EC37BF">
        <w:t>ClrSky</w:t>
      </w:r>
      <w:proofErr w:type="spellEnd"/>
      <w:r w:rsidRPr="00EC37BF">
        <w:t xml:space="preserve"> seasonality has largest amplitude during boreal summer (JJA). These results match directly simulated shortwave </w:t>
      </w:r>
      <w:proofErr w:type="spellStart"/>
      <w:r w:rsidRPr="00EC37BF">
        <w:t>ClrSky</w:t>
      </w:r>
      <w:proofErr w:type="spellEnd"/>
      <w:r w:rsidRPr="00EC37BF">
        <w:t xml:space="preserve"> and CRE over the North Atlantic (Rathod et al. 2025) and Pacific (Zweifel et al. 2025), and satellite-based estimates of </w:t>
      </w:r>
      <w:proofErr w:type="spellStart"/>
      <w:r w:rsidRPr="00EC37BF">
        <w:t>ClrSky</w:t>
      </w:r>
      <w:proofErr w:type="spellEnd"/>
      <w:r w:rsidRPr="00EC37BF">
        <w:t xml:space="preserve"> sulfate aerosol optical depth and forcing </w:t>
      </w:r>
      <w:r w:rsidRPr="00EC37BF">
        <w:fldChar w:fldCharType="begin"/>
      </w:r>
      <w:r w:rsidRPr="00EC37BF">
        <w:instrText xml:space="preserve"> ADDIN ZOTERO_ITEM CSL_CITATION {"citationID":"uGvq1JOu","properties":{"formattedCitation":"(Matus et al. 2019)","plainCitation":"(Matus et al. 2019)","noteIndex":0},"citationItems":[{"id":431,"uris":["http://zotero.org/users/9944535/items/559DZKIZ"],"itemData":{"id":431,"type":"article-journal","abstract":"Aerosol direct radiative effects are assessed using multi-sensor observations from the A-Train satellite constellation. By leveraging vertical cloud and aerosol information from CloudSat and CALIPSO, this study reports new global estimates of aerosol radiative effects and the component owing to anthropogenic aerosols. We estimate that the global mean aerosol direct radiative effect is −2.40 W/m2 with an error of ± 0.6 W/m2 owing to uncertainties in aerosol type classification and optical depth retrievals. Anthropogenic direct radiative forcing is assessed using new observation-based aerosol radiative kernels. Anthropogenic aerosols are found to account for 21% of the global radiative effect, or −0.50 ± 0.3 W/m2, mainly from sulfate pollution (−0.54 W/m2) partially offset by absorption from smoke (0.03 W/m2). Uncertainty estimates effectively rule out the possibility that anthropogenic aerosols warm the planet, although strong positive forcing is observed locally where anthropogenic aerosols reside above clouds and bright surfaces.","citation-key":"matusNewEstimatesAerosol2019","container-title":"Geophysical Research Letters","DOI":"10.1029/2019GL083656","ISSN":"1944-8007","issue":"14","language":"en","license":"©2019. American Geophysical Union. All Rights Reserved.","note":"_eprint: https://agupubs.onlinelibrary.wiley.com/doi/pdf/10.1029/2019GL083656","page":"8338-8346","source":"Wiley Online Library","title":"New Estimates of Aerosol Direct Radiative Effects and Forcing From A-Train Satellite Observations","volume":"46","author":[{"family":"Matus","given":"Alexander V."},{"family":"L'Ecuyer","given":"Tristan S."},{"family":"Henderson","given":"David S."}],"issued":{"date-parts":[["2019"]]}}}],"schema":"https://github.com/citation-style-language/schema/raw/master/csl-citation.json"} </w:instrText>
      </w:r>
      <w:r w:rsidRPr="00EC37BF">
        <w:fldChar w:fldCharType="separate"/>
      </w:r>
      <w:r w:rsidRPr="00EC37BF">
        <w:t>(Matus et al. 2019)</w:t>
      </w:r>
      <w:r w:rsidRPr="00EC37BF">
        <w:fldChar w:fldCharType="end"/>
      </w:r>
      <w:r w:rsidRPr="00EC37BF">
        <w:t>. The resulting seasonality in total forcing shows largest (negative) forcing of about -6.5 Wm</w:t>
      </w:r>
      <w:r w:rsidRPr="00EC37BF">
        <w:rPr>
          <w:vertAlign w:val="superscript"/>
        </w:rPr>
        <w:t>-2</w:t>
      </w:r>
      <w:r w:rsidRPr="00EC37BF">
        <w:t xml:space="preserve"> during boreal Spring (MAM) and weakest forcing of about -2 Wm</w:t>
      </w:r>
      <w:r w:rsidRPr="00EC37BF">
        <w:rPr>
          <w:vertAlign w:val="superscript"/>
        </w:rPr>
        <w:t>2</w:t>
      </w:r>
      <w:r w:rsidRPr="00EC37BF">
        <w:t xml:space="preserve"> (ratio of about 3.25) during late boreal fall and early winter (NDJ). The weak </w:t>
      </w:r>
      <w:proofErr w:type="spellStart"/>
      <w:r w:rsidRPr="00EC37BF">
        <w:t>ClrSky</w:t>
      </w:r>
      <w:proofErr w:type="spellEnd"/>
      <w:r w:rsidRPr="00EC37BF">
        <w:t xml:space="preserve"> longwave effect (Fig. S2) and importance of shortwave forcing (including direct and cloud indirect) in the PIC-AER simulation suggest that the total shortwave radiative changes in the PIC-AER simulation may be more representative of actual forcing from aerosols rather than </w:t>
      </w:r>
      <w:proofErr w:type="gramStart"/>
      <w:r w:rsidRPr="00EC37BF">
        <w:t>feedbacks</w:t>
      </w:r>
      <w:proofErr w:type="gramEnd"/>
      <w:r w:rsidRPr="00EC37BF">
        <w:t xml:space="preserve">. </w:t>
      </w:r>
    </w:p>
    <w:p w14:paraId="1ECC8AC6" w14:textId="3140EF4C" w:rsidR="00EC37BF" w:rsidRPr="00EC37BF" w:rsidRDefault="00EC37BF" w:rsidP="00EC37BF">
      <w:pPr>
        <w:spacing w:after="160" w:line="278" w:lineRule="auto"/>
      </w:pPr>
      <w:r w:rsidRPr="00EC37BF">
        <w:t xml:space="preserve">Radiative changes in the PIC-GHG simulation (Fig. </w:t>
      </w:r>
      <w:r w:rsidR="00F475AF">
        <w:t>S4</w:t>
      </w:r>
      <w:r w:rsidRPr="00EC37BF">
        <w:t xml:space="preserve">b) show very different seasonality than the PIC-AER simulation, though it is still difficult to disentangle the forcing from feedback due to the dominance of longwave terms. To avoid potential cloud feedbacks, we use the </w:t>
      </w:r>
      <w:proofErr w:type="spellStart"/>
      <w:r w:rsidRPr="00EC37BF">
        <w:t>ClrSky</w:t>
      </w:r>
      <w:proofErr w:type="spellEnd"/>
      <w:r w:rsidRPr="00EC37BF">
        <w:t xml:space="preserve"> forcing to infer seasonality (Fig. 8) though in nature clouds may mask that forcing </w:t>
      </w:r>
      <w:r w:rsidRPr="00EC37BF">
        <w:fldChar w:fldCharType="begin"/>
      </w:r>
      <w:r w:rsidRPr="00EC37BF">
        <w:instrText xml:space="preserve"> ADDIN ZOTERO_ITEM CSL_CITATION {"citationID":"ZyEt8baT","properties":{"formattedCitation":"(Sledd and L\\uc0\\u8217{}Ecuyer 2019; Mosso et al. 2024)","plainCitation":"(Sledd and L’Ecuyer 2019; Mosso et al. 2024)","noteIndex":0},"citationItems":[{"id":990,"uris":["http://zotero.org/users/9944535/items/UFFEJASS"],"itemData":{"id":990,"type":"article-journal","abstract":"Decreasing sea ice and snow cover are reducing the surface albedo and changing the Arctic surface energy balance. How these surface albedo changes influence the planetary albedo is a more complex question, though, that depends critically on the modulating effects of the intervening atmosphere. To answer this question, we partition the observed top of atmosphere (TOA) albedo into contributions from the surface and atmosphere, the latter being heavily dependent on clouds. While the surface albedo predictably declines with lower sea ice and snow cover, the TOA albedo decreases approximately half as much. This weaker response can be directly attributed to the fact that the atmosphere contributes more than 70% of the TOA albedo in the annual mean and is less dependent on surface cover. The surface accounts for a maximum of 30% of the TOA albedo in spring and less than 10% by the end of summer. Reanalyses (ASR versions 1 and 2, ERA-Interim, MERRA-2, and NCEP R2) represent the annual means of surface albedo fairly well, but biases are found in magnitudes of the TOA albedo and its contributions, likely due to their representations of clouds. Reanalyses show a wide range of TOA albedo sensitivity to changing sea ice concentration, 0.04–0.18 in September, compared to 0.11 in observations.","citation-key":"sledd2019","container-title":"Atmosphere","DOI":"10.3390/atmos10010012","ISSN":"2073-4433","issue":"1","language":"en","license":"http://creativecommons.org/licenses/by/3.0/","page":"12","publisher":"Multidisciplinary Digital Publishing Institute","source":"www.mdpi.com","title":"How Much Do Clouds Mask the Impacts of Arctic Sea Ice and Snow Cover Variations? Different Perspectives from Observations and Reanalyses","title-short":"How Much Do Clouds Mask the Impacts of Arctic Sea Ice and Snow Cover Variations?","volume":"10","author":[{"family":"Sledd","given":"Anne"},{"family":"L’Ecuyer","given":"Tristan"}],"issued":{"date-parts":[["2019",1]]}}},{"id":992,"uris":["http://zotero.org/users/9944535/items/UEP7QMC8"],"itemData":{"id":992,"type":"article-journal","abstract":"Clouds affect the sensitivity of the climate system by changing their distribution, height, and optical properties under climate change. Although the precise magnitude remains uncertain, the direct cloud response to an external forcing is known to be destabilising. Additionally, clouds have a masking effect on CO2 forcing and can influence other feedback mechanisms such as the surface albedo feedback. To understand the overall impact of clouds, we compute how much the equilibrium climate sensitivity (ECS) to a doubling of CO2 changes when clouds are made transparent to radiation in an Earth system model (MPI-ESM1.2, the Max Planck Institute for Meteorology Earth System Model version 1.2). In practice, to stabilise the model climate at near-preindustrial temperatures, the solar constant was reduced by 8.8 %. Our experiments reveal that clouds exert a stabilising influence on the model, with a clear-sky ECS of 4.29 K, which is higher than the corresponding full-sky ECS of 2.84 K, contrasting with their direct destabilising effect. Detailed partial radiative perturbation diagnostics show that beyond directly amplifying warming by themselves, clouds also strengthen the negative lapse rate and positive water vapour feedbacks, while strongly damping the positive albedo feedback. These findings highlight the complex role of clouds in modulating climate sensitivity.","citation-key":"mosso2024","container-title":"Atmospheric Chemistry and Physics","DOI":"10.5194/acp-24-12793-2024","ISSN":"1680-7316","issue":"22","language":"English","page":"12793-12806","publisher":"Copernicus GmbH","source":"Copernicus Online Journals","title":"The presence of clouds lowers climate sensitivity in the MPI-ESM1.2 climate model","volume":"24","author":[{"family":"Mosso","given":"Andrea"},{"family":"Hocking","given":"Thomas"},{"family":"Mauritsen","given":"Thorsten"}],"issued":{"date-parts":[["2024",11,19]]}}}],"schema":"https://github.com/citation-style-language/schema/raw/master/csl-citation.json"} </w:instrText>
      </w:r>
      <w:r w:rsidRPr="00EC37BF">
        <w:fldChar w:fldCharType="separate"/>
      </w:r>
      <w:r w:rsidRPr="00EC37BF">
        <w:t>(Sledd and L’Ecuyer 2019; Mosso et al. 2024)</w:t>
      </w:r>
      <w:r w:rsidRPr="00EC37BF">
        <w:fldChar w:fldCharType="end"/>
      </w:r>
      <w:r w:rsidRPr="00EC37BF">
        <w:t xml:space="preserve">. The PIC-GHG simulation shows nearly constant </w:t>
      </w:r>
      <w:proofErr w:type="spellStart"/>
      <w:r w:rsidRPr="00EC37BF">
        <w:t>ClrSky</w:t>
      </w:r>
      <w:proofErr w:type="spellEnd"/>
      <w:r w:rsidRPr="00EC37BF">
        <w:t xml:space="preserve"> changes of about 2 Wm</w:t>
      </w:r>
      <w:r w:rsidRPr="00EC37BF">
        <w:rPr>
          <w:rFonts w:ascii="Cambria Math" w:hAnsi="Cambria Math" w:cs="Cambria Math"/>
          <w:vertAlign w:val="superscript"/>
        </w:rPr>
        <w:t>‑</w:t>
      </w:r>
      <w:r w:rsidRPr="00EC37BF">
        <w:rPr>
          <w:vertAlign w:val="superscript"/>
        </w:rPr>
        <w:t>2</w:t>
      </w:r>
      <w:r w:rsidRPr="00EC37BF">
        <w:t xml:space="preserve">. The CRE changes do show some seasonality that is consistent with the HIST-GHG simulation, but even if the CRE effects are included the seasonality of the total radiation change is weak compared to the PIC-AER simulation. </w:t>
      </w:r>
    </w:p>
    <w:p w14:paraId="58567843" w14:textId="77777777" w:rsidR="009725C3" w:rsidRDefault="009725C3">
      <w:pPr>
        <w:spacing w:after="160" w:line="278" w:lineRule="auto"/>
        <w:rPr>
          <w:b/>
          <w:bCs/>
        </w:rPr>
      </w:pPr>
      <w:r>
        <w:rPr>
          <w:b/>
          <w:bCs/>
        </w:rPr>
        <w:br w:type="page"/>
      </w:r>
    </w:p>
    <w:p w14:paraId="09E4D58B" w14:textId="704313AB" w:rsidR="00EC37BF" w:rsidRDefault="009725C3" w:rsidP="00DB04D9">
      <w:pPr>
        <w:spacing w:after="160" w:line="278" w:lineRule="auto"/>
        <w:rPr>
          <w:b/>
          <w:bCs/>
        </w:rPr>
      </w:pPr>
      <w:r>
        <w:rPr>
          <w:b/>
          <w:bCs/>
        </w:rPr>
        <w:lastRenderedPageBreak/>
        <w:t>SI6: Models used in this analysis</w:t>
      </w:r>
    </w:p>
    <w:p w14:paraId="72536362" w14:textId="5DD13B7D" w:rsidR="007353D0" w:rsidRDefault="009725C3" w:rsidP="009725C3">
      <w:r w:rsidRPr="00121DD9">
        <w:t xml:space="preserve">We acknowledge the World Climate Research </w:t>
      </w:r>
      <w:proofErr w:type="spellStart"/>
      <w:r w:rsidRPr="00121DD9">
        <w:t>Programme</w:t>
      </w:r>
      <w:proofErr w:type="spellEnd"/>
      <w:r w:rsidRPr="00121DD9">
        <w:t>, which, through its Working Group on Coupled Modelling, coordinated and promoted CMIP6. We thank the climate modeling groups for producing and making available their model output, the Earth System Grid Federation (ESGF) for archiving the data and providing access, and the multiple funding agencies who support CMIP6 and ESGF.</w:t>
      </w:r>
      <w:r>
        <w:t xml:space="preserve"> </w:t>
      </w:r>
    </w:p>
    <w:p w14:paraId="4F6F3B4C" w14:textId="77777777" w:rsidR="000F73BC" w:rsidRDefault="000F73BC" w:rsidP="009725C3"/>
    <w:p w14:paraId="06ABDC1A" w14:textId="48D81630" w:rsidR="009725C3" w:rsidRDefault="007353D0" w:rsidP="000F73BC">
      <w:r>
        <w:t>Data produced by t</w:t>
      </w:r>
      <w:r w:rsidR="009725C3">
        <w:t>he following model</w:t>
      </w:r>
      <w:r w:rsidR="0020314F">
        <w:t xml:space="preserve">ing efforts </w:t>
      </w:r>
      <w:r w:rsidR="009725C3">
        <w:t>were used in this analysis:</w:t>
      </w:r>
    </w:p>
    <w:p w14:paraId="17C5BFC9"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ACCESS-CM2</w:t>
      </w:r>
      <w:r w:rsidRPr="00251582">
        <w:rPr>
          <w:rFonts w:ascii="Aptos" w:hAnsi="Aptos"/>
        </w:rPr>
        <w:t xml:space="preserve">: Dix, M. et al. CSIRO-ARCCSS ACCESS-CM2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13" w:tgtFrame="_blank" w:history="1">
        <w:r w:rsidRPr="00251582">
          <w:rPr>
            <w:rStyle w:val="Hyperlink"/>
            <w:rFonts w:ascii="Aptos" w:eastAsiaTheme="majorEastAsia" w:hAnsi="Aptos"/>
          </w:rPr>
          <w:t>https://doi.org/10.22033/ESGF/CMIP6.2285</w:t>
        </w:r>
      </w:hyperlink>
      <w:r w:rsidRPr="00251582">
        <w:rPr>
          <w:rFonts w:ascii="Aptos" w:hAnsi="Aptos"/>
        </w:rPr>
        <w:t xml:space="preserve"> (2019).</w:t>
      </w:r>
    </w:p>
    <w:p w14:paraId="185B350C"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ACCESS-ESM1-5</w:t>
      </w:r>
      <w:r w:rsidRPr="00251582">
        <w:rPr>
          <w:rFonts w:ascii="Aptos" w:hAnsi="Aptos"/>
        </w:rPr>
        <w:t xml:space="preserve">: </w:t>
      </w:r>
      <w:proofErr w:type="spellStart"/>
      <w:r w:rsidRPr="00251582">
        <w:rPr>
          <w:rFonts w:ascii="Aptos" w:hAnsi="Aptos"/>
        </w:rPr>
        <w:t>Ziehn</w:t>
      </w:r>
      <w:proofErr w:type="spellEnd"/>
      <w:r w:rsidRPr="00251582">
        <w:rPr>
          <w:rFonts w:ascii="Aptos" w:hAnsi="Aptos"/>
        </w:rPr>
        <w:t xml:space="preserve">, T. et al. CSIRO ACCESS-ESM1.5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14" w:tgtFrame="_blank" w:history="1">
        <w:r w:rsidRPr="00251582">
          <w:rPr>
            <w:rStyle w:val="Hyperlink"/>
            <w:rFonts w:ascii="Aptos" w:eastAsiaTheme="majorEastAsia" w:hAnsi="Aptos"/>
          </w:rPr>
          <w:t>https://doi.org/10.22033/ESGF/CMIP6.2291</w:t>
        </w:r>
      </w:hyperlink>
      <w:r w:rsidRPr="00251582">
        <w:rPr>
          <w:rFonts w:ascii="Aptos" w:hAnsi="Aptos"/>
        </w:rPr>
        <w:t xml:space="preserve"> (2019).</w:t>
      </w:r>
    </w:p>
    <w:p w14:paraId="7E0EDB95"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AWI-CM-1-1-MR</w:t>
      </w:r>
      <w:r w:rsidRPr="00251582">
        <w:rPr>
          <w:rFonts w:ascii="Aptos" w:hAnsi="Aptos"/>
        </w:rPr>
        <w:t xml:space="preserve">: Semmler, T. et al. AWI AWI-CM1.1MR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15" w:tgtFrame="_blank" w:history="1">
        <w:r w:rsidRPr="00251582">
          <w:rPr>
            <w:rStyle w:val="Hyperlink"/>
            <w:rFonts w:ascii="Aptos" w:eastAsiaTheme="majorEastAsia" w:hAnsi="Aptos"/>
          </w:rPr>
          <w:t>https://doi.org/10.22033/ESGF/CMIP6.376</w:t>
        </w:r>
      </w:hyperlink>
      <w:r w:rsidRPr="00251582">
        <w:rPr>
          <w:rFonts w:ascii="Aptos" w:hAnsi="Aptos"/>
        </w:rPr>
        <w:t xml:space="preserve"> (2019).</w:t>
      </w:r>
    </w:p>
    <w:p w14:paraId="1B0AD53F"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AWI-ESM-1-1-LR</w:t>
      </w:r>
      <w:r w:rsidRPr="00251582">
        <w:rPr>
          <w:rFonts w:ascii="Aptos" w:hAnsi="Aptos"/>
        </w:rPr>
        <w:t xml:space="preserve">: Semmler, T. et al. AWI AWI-ESM1.1LR model output prepared for CMIP6 CMIP. </w:t>
      </w:r>
      <w:r w:rsidRPr="00251582">
        <w:rPr>
          <w:rFonts w:ascii="Aptos" w:hAnsi="Aptos"/>
          <w:i/>
          <w:iCs/>
        </w:rPr>
        <w:t>Earth System Grid Federation</w:t>
      </w:r>
      <w:r w:rsidRPr="00251582">
        <w:rPr>
          <w:rFonts w:ascii="Aptos" w:hAnsi="Aptos"/>
        </w:rPr>
        <w:t xml:space="preserve"> </w:t>
      </w:r>
      <w:hyperlink r:id="rId16" w:tgtFrame="_blank" w:history="1">
        <w:r w:rsidRPr="00251582">
          <w:rPr>
            <w:rStyle w:val="Hyperlink"/>
            <w:rFonts w:ascii="Aptos" w:eastAsiaTheme="majorEastAsia" w:hAnsi="Aptos"/>
          </w:rPr>
          <w:t>https://doi.org/10.22033/ESGF/CMIP6.3134</w:t>
        </w:r>
      </w:hyperlink>
      <w:r w:rsidRPr="00251582">
        <w:rPr>
          <w:rFonts w:ascii="Aptos" w:hAnsi="Aptos"/>
        </w:rPr>
        <w:t xml:space="preserve"> (2019).</w:t>
      </w:r>
    </w:p>
    <w:p w14:paraId="09A39DF1"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BCC-CSM2-MR</w:t>
      </w:r>
      <w:r w:rsidRPr="00251582">
        <w:rPr>
          <w:rFonts w:ascii="Aptos" w:hAnsi="Aptos"/>
        </w:rPr>
        <w:t xml:space="preserve">: Xin, X. et al. BCC BCC-CSM2MR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17" w:tgtFrame="_blank" w:history="1">
        <w:r w:rsidRPr="00251582">
          <w:rPr>
            <w:rStyle w:val="Hyperlink"/>
            <w:rFonts w:ascii="Aptos" w:eastAsiaTheme="majorEastAsia" w:hAnsi="Aptos"/>
          </w:rPr>
          <w:t>https://doi.org/10.22033/ESGF/CMIP6.1732</w:t>
        </w:r>
      </w:hyperlink>
      <w:r w:rsidRPr="00251582">
        <w:rPr>
          <w:rFonts w:ascii="Aptos" w:hAnsi="Aptos"/>
        </w:rPr>
        <w:t xml:space="preserve"> (2019).</w:t>
      </w:r>
    </w:p>
    <w:p w14:paraId="64EEE809"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BCC-ESM1</w:t>
      </w:r>
      <w:r w:rsidRPr="00251582">
        <w:rPr>
          <w:rFonts w:ascii="Aptos" w:hAnsi="Aptos"/>
        </w:rPr>
        <w:t xml:space="preserve">: Wu, T. et al. BCC BCC-ESM1 model output prepared for CMIP6 CMIP. </w:t>
      </w:r>
      <w:r w:rsidRPr="00251582">
        <w:rPr>
          <w:rFonts w:ascii="Aptos" w:hAnsi="Aptos"/>
          <w:i/>
          <w:iCs/>
        </w:rPr>
        <w:t>Earth System Grid Federation</w:t>
      </w:r>
      <w:r w:rsidRPr="00251582">
        <w:rPr>
          <w:rFonts w:ascii="Aptos" w:hAnsi="Aptos"/>
        </w:rPr>
        <w:t xml:space="preserve"> </w:t>
      </w:r>
      <w:hyperlink r:id="rId18" w:tgtFrame="_blank" w:history="1">
        <w:r w:rsidRPr="00251582">
          <w:rPr>
            <w:rStyle w:val="Hyperlink"/>
            <w:rFonts w:ascii="Aptos" w:eastAsiaTheme="majorEastAsia" w:hAnsi="Aptos"/>
          </w:rPr>
          <w:t>https://doi.org/10.22033/ESGF/CMIP6.1728</w:t>
        </w:r>
      </w:hyperlink>
      <w:r w:rsidRPr="00251582">
        <w:rPr>
          <w:rFonts w:ascii="Aptos" w:hAnsi="Aptos"/>
        </w:rPr>
        <w:t xml:space="preserve"> (2018).</w:t>
      </w:r>
    </w:p>
    <w:p w14:paraId="3C489808"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CAMS-CSM1-0</w:t>
      </w:r>
      <w:r w:rsidRPr="00251582">
        <w:rPr>
          <w:rFonts w:ascii="Aptos" w:hAnsi="Aptos"/>
        </w:rPr>
        <w:t xml:space="preserve">: Rong, X. CAMS-CSM1.0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19" w:tgtFrame="_blank" w:history="1">
        <w:r w:rsidRPr="00251582">
          <w:rPr>
            <w:rStyle w:val="Hyperlink"/>
            <w:rFonts w:ascii="Aptos" w:eastAsiaTheme="majorEastAsia" w:hAnsi="Aptos"/>
          </w:rPr>
          <w:t>https://doi.org/10.22033/ESGF/CMIP6.9754</w:t>
        </w:r>
      </w:hyperlink>
      <w:r w:rsidRPr="00251582">
        <w:rPr>
          <w:rFonts w:ascii="Aptos" w:hAnsi="Aptos"/>
        </w:rPr>
        <w:t xml:space="preserve"> (2019).</w:t>
      </w:r>
    </w:p>
    <w:p w14:paraId="47FD40EC"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CAS-ESM2-0</w:t>
      </w:r>
      <w:r w:rsidRPr="00251582">
        <w:rPr>
          <w:rFonts w:ascii="Aptos" w:hAnsi="Aptos"/>
        </w:rPr>
        <w:t xml:space="preserve">: Chinese Academy of Sciences (CAS). CAS CAS-ESM2.0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20" w:tgtFrame="_blank" w:history="1">
        <w:r w:rsidRPr="00251582">
          <w:rPr>
            <w:rStyle w:val="Hyperlink"/>
            <w:rFonts w:ascii="Aptos" w:eastAsiaTheme="majorEastAsia" w:hAnsi="Aptos"/>
          </w:rPr>
          <w:t>https://doi.org/10.22033/ESGF/CMIP6.14365</w:t>
        </w:r>
      </w:hyperlink>
      <w:r w:rsidRPr="00251582">
        <w:rPr>
          <w:rFonts w:ascii="Aptos" w:hAnsi="Aptos"/>
        </w:rPr>
        <w:t xml:space="preserve"> (2020).</w:t>
      </w:r>
    </w:p>
    <w:p w14:paraId="59B08BA7"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CESM2</w:t>
      </w:r>
      <w:r w:rsidRPr="00251582">
        <w:rPr>
          <w:rFonts w:ascii="Aptos" w:hAnsi="Aptos"/>
        </w:rPr>
        <w:t xml:space="preserve">: </w:t>
      </w:r>
      <w:proofErr w:type="spellStart"/>
      <w:r w:rsidRPr="00251582">
        <w:rPr>
          <w:rFonts w:ascii="Aptos" w:hAnsi="Aptos"/>
        </w:rPr>
        <w:t>Danabasoglu</w:t>
      </w:r>
      <w:proofErr w:type="spellEnd"/>
      <w:r w:rsidRPr="00251582">
        <w:rPr>
          <w:rFonts w:ascii="Aptos" w:hAnsi="Aptos"/>
        </w:rPr>
        <w:t xml:space="preserve">, G. NCAR CESM2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21" w:tgtFrame="_blank" w:history="1">
        <w:r w:rsidRPr="00251582">
          <w:rPr>
            <w:rStyle w:val="Hyperlink"/>
            <w:rFonts w:ascii="Aptos" w:eastAsiaTheme="majorEastAsia" w:hAnsi="Aptos"/>
          </w:rPr>
          <w:t>https://doi.org/10.22033/ESGF/CMIP6.7748</w:t>
        </w:r>
      </w:hyperlink>
      <w:r w:rsidRPr="00251582">
        <w:rPr>
          <w:rFonts w:ascii="Aptos" w:hAnsi="Aptos"/>
        </w:rPr>
        <w:t xml:space="preserve"> (2019).</w:t>
      </w:r>
    </w:p>
    <w:p w14:paraId="64EA716A"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CESM2-FV2</w:t>
      </w:r>
      <w:r w:rsidRPr="00251582">
        <w:rPr>
          <w:rFonts w:ascii="Aptos" w:hAnsi="Aptos"/>
        </w:rPr>
        <w:t xml:space="preserve">: National Center for Atmospheric Research (NCAR). NCAR CESM2-FV2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22" w:tgtFrame="_blank" w:history="1">
        <w:r w:rsidRPr="00251582">
          <w:rPr>
            <w:rStyle w:val="Hyperlink"/>
            <w:rFonts w:ascii="Aptos" w:eastAsiaTheme="majorEastAsia" w:hAnsi="Aptos"/>
          </w:rPr>
          <w:t>https://doi.org/10.22033/ESGF/CMIP6.14366</w:t>
        </w:r>
      </w:hyperlink>
      <w:r w:rsidRPr="00251582">
        <w:rPr>
          <w:rFonts w:ascii="Aptos" w:hAnsi="Aptos"/>
        </w:rPr>
        <w:t xml:space="preserve"> (2022).</w:t>
      </w:r>
    </w:p>
    <w:p w14:paraId="110DD0FE"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lastRenderedPageBreak/>
        <w:t>CESM2-WACCM</w:t>
      </w:r>
      <w:r w:rsidRPr="00251582">
        <w:rPr>
          <w:rFonts w:ascii="Aptos" w:hAnsi="Aptos"/>
        </w:rPr>
        <w:t xml:space="preserve">: </w:t>
      </w:r>
      <w:proofErr w:type="spellStart"/>
      <w:r w:rsidRPr="00251582">
        <w:rPr>
          <w:rFonts w:ascii="Aptos" w:hAnsi="Aptos"/>
        </w:rPr>
        <w:t>Danabasoglu</w:t>
      </w:r>
      <w:proofErr w:type="spellEnd"/>
      <w:r w:rsidRPr="00251582">
        <w:rPr>
          <w:rFonts w:ascii="Aptos" w:hAnsi="Aptos"/>
        </w:rPr>
        <w:t xml:space="preserve">, G. NCAR CESM2-WACCM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23" w:tgtFrame="_blank" w:history="1">
        <w:r w:rsidRPr="00251582">
          <w:rPr>
            <w:rStyle w:val="Hyperlink"/>
            <w:rFonts w:ascii="Aptos" w:eastAsiaTheme="majorEastAsia" w:hAnsi="Aptos"/>
          </w:rPr>
          <w:t>https://doi.org/10.22033/ESGF/CMIP6.10111</w:t>
        </w:r>
      </w:hyperlink>
      <w:r w:rsidRPr="00251582">
        <w:rPr>
          <w:rFonts w:ascii="Aptos" w:hAnsi="Aptos"/>
        </w:rPr>
        <w:t xml:space="preserve"> (2019).</w:t>
      </w:r>
    </w:p>
    <w:p w14:paraId="5A175FD0"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CESM2-WACCM-FV2</w:t>
      </w:r>
      <w:r w:rsidRPr="00251582">
        <w:rPr>
          <w:rFonts w:ascii="Aptos" w:hAnsi="Aptos"/>
        </w:rPr>
        <w:t xml:space="preserve">: </w:t>
      </w:r>
      <w:proofErr w:type="spellStart"/>
      <w:r w:rsidRPr="00251582">
        <w:rPr>
          <w:rFonts w:ascii="Aptos" w:hAnsi="Aptos"/>
        </w:rPr>
        <w:t>Danabasoglu</w:t>
      </w:r>
      <w:proofErr w:type="spellEnd"/>
      <w:r w:rsidRPr="00251582">
        <w:rPr>
          <w:rFonts w:ascii="Aptos" w:hAnsi="Aptos"/>
        </w:rPr>
        <w:t xml:space="preserve">, G. NCAR CESM2-WACCM-FV2 model output prepared for CMIP6 CMIP. </w:t>
      </w:r>
      <w:r w:rsidRPr="00251582">
        <w:rPr>
          <w:rFonts w:ascii="Aptos" w:hAnsi="Aptos"/>
          <w:i/>
          <w:iCs/>
        </w:rPr>
        <w:t>Earth System Grid Federation</w:t>
      </w:r>
      <w:r w:rsidRPr="00251582">
        <w:rPr>
          <w:rFonts w:ascii="Aptos" w:hAnsi="Aptos"/>
        </w:rPr>
        <w:t xml:space="preserve"> </w:t>
      </w:r>
      <w:hyperlink r:id="rId24" w:tgtFrame="_blank" w:history="1">
        <w:r w:rsidRPr="00251582">
          <w:rPr>
            <w:rStyle w:val="Hyperlink"/>
            <w:rFonts w:ascii="Aptos" w:eastAsiaTheme="majorEastAsia" w:hAnsi="Aptos"/>
          </w:rPr>
          <w:t>https://doi.org/10.22033/ESGF/CMIP6.10098</w:t>
        </w:r>
      </w:hyperlink>
      <w:r w:rsidRPr="00251582">
        <w:rPr>
          <w:rFonts w:ascii="Aptos" w:hAnsi="Aptos"/>
        </w:rPr>
        <w:t xml:space="preserve"> (2019).</w:t>
      </w:r>
    </w:p>
    <w:p w14:paraId="4DC3899A"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CIESM</w:t>
      </w:r>
      <w:r w:rsidRPr="00251582">
        <w:rPr>
          <w:rFonts w:ascii="Aptos" w:hAnsi="Aptos"/>
        </w:rPr>
        <w:t xml:space="preserve">: Huang, W. THU CIESM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25" w:tgtFrame="_blank" w:history="1">
        <w:r w:rsidRPr="00251582">
          <w:rPr>
            <w:rStyle w:val="Hyperlink"/>
            <w:rFonts w:ascii="Aptos" w:eastAsiaTheme="majorEastAsia" w:hAnsi="Aptos"/>
          </w:rPr>
          <w:t>https://doi.org/10.22033/ESGF/CMIP6.9248</w:t>
        </w:r>
      </w:hyperlink>
      <w:r w:rsidRPr="00251582">
        <w:rPr>
          <w:rFonts w:ascii="Aptos" w:hAnsi="Aptos"/>
        </w:rPr>
        <w:t xml:space="preserve"> (2019).</w:t>
      </w:r>
    </w:p>
    <w:p w14:paraId="6182A705"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CMCC-CM2-HR4</w:t>
      </w:r>
      <w:r w:rsidRPr="00251582">
        <w:rPr>
          <w:rFonts w:ascii="Aptos" w:hAnsi="Aptos"/>
        </w:rPr>
        <w:t xml:space="preserve">: </w:t>
      </w:r>
      <w:proofErr w:type="spellStart"/>
      <w:r w:rsidRPr="00251582">
        <w:rPr>
          <w:rFonts w:ascii="Aptos" w:hAnsi="Aptos"/>
        </w:rPr>
        <w:t>Cherchi</w:t>
      </w:r>
      <w:proofErr w:type="spellEnd"/>
      <w:r w:rsidRPr="00251582">
        <w:rPr>
          <w:rFonts w:ascii="Aptos" w:hAnsi="Aptos"/>
        </w:rPr>
        <w:t xml:space="preserve">, A. et al. CMCC CMCC-CM2-HR4 model output prepared for CMIP6 CMIP. </w:t>
      </w:r>
      <w:r w:rsidRPr="00251582">
        <w:rPr>
          <w:rFonts w:ascii="Aptos" w:hAnsi="Aptos"/>
          <w:i/>
          <w:iCs/>
        </w:rPr>
        <w:t>Earth System Grid Federation</w:t>
      </w:r>
      <w:r w:rsidRPr="00251582">
        <w:rPr>
          <w:rFonts w:ascii="Aptos" w:hAnsi="Aptos"/>
        </w:rPr>
        <w:t xml:space="preserve"> </w:t>
      </w:r>
      <w:hyperlink r:id="rId26" w:tgtFrame="_blank" w:history="1">
        <w:r w:rsidRPr="00251582">
          <w:rPr>
            <w:rStyle w:val="Hyperlink"/>
            <w:rFonts w:ascii="Aptos" w:eastAsiaTheme="majorEastAsia" w:hAnsi="Aptos"/>
          </w:rPr>
          <w:t>https://doi.org/10.22033/ESGF/CMIP6.1359</w:t>
        </w:r>
      </w:hyperlink>
      <w:r w:rsidRPr="00251582">
        <w:rPr>
          <w:rFonts w:ascii="Aptos" w:hAnsi="Aptos"/>
        </w:rPr>
        <w:t xml:space="preserve"> (2019).</w:t>
      </w:r>
    </w:p>
    <w:p w14:paraId="6C4E4EFE"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CMCC-CM2-SR5</w:t>
      </w:r>
      <w:r w:rsidRPr="00251582">
        <w:rPr>
          <w:rFonts w:ascii="Aptos" w:hAnsi="Aptos"/>
        </w:rPr>
        <w:t xml:space="preserve">: Lovato, T. &amp; Peano, D. CMCC CMCC-CM2-SR5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27" w:tgtFrame="_blank" w:history="1">
        <w:r w:rsidRPr="00251582">
          <w:rPr>
            <w:rStyle w:val="Hyperlink"/>
            <w:rFonts w:ascii="Aptos" w:eastAsiaTheme="majorEastAsia" w:hAnsi="Aptos"/>
          </w:rPr>
          <w:t>https://doi.org/10.22033/ESGF/CMIP6.1360</w:t>
        </w:r>
      </w:hyperlink>
      <w:r w:rsidRPr="00251582">
        <w:rPr>
          <w:rFonts w:ascii="Aptos" w:hAnsi="Aptos"/>
        </w:rPr>
        <w:t xml:space="preserve"> (2020).</w:t>
      </w:r>
    </w:p>
    <w:p w14:paraId="133960DC"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CMCC-ESM2</w:t>
      </w:r>
      <w:r w:rsidRPr="00251582">
        <w:rPr>
          <w:rFonts w:ascii="Aptos" w:hAnsi="Aptos"/>
        </w:rPr>
        <w:t xml:space="preserve">: Lovato, T. et al. CMCC CMCC-ESM2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28" w:tgtFrame="_blank" w:history="1">
        <w:r w:rsidRPr="00251582">
          <w:rPr>
            <w:rStyle w:val="Hyperlink"/>
            <w:rFonts w:ascii="Aptos" w:eastAsiaTheme="majorEastAsia" w:hAnsi="Aptos"/>
          </w:rPr>
          <w:t>https://doi.org/10.22033/ESGF/CMIP6.13195</w:t>
        </w:r>
      </w:hyperlink>
      <w:r w:rsidRPr="00251582">
        <w:rPr>
          <w:rFonts w:ascii="Aptos" w:hAnsi="Aptos"/>
        </w:rPr>
        <w:t xml:space="preserve"> (2021).</w:t>
      </w:r>
    </w:p>
    <w:p w14:paraId="1B4591B2"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CNRM-CM6-1</w:t>
      </w:r>
      <w:r w:rsidRPr="00251582">
        <w:rPr>
          <w:rFonts w:ascii="Aptos" w:hAnsi="Aptos"/>
        </w:rPr>
        <w:t xml:space="preserve">: </w:t>
      </w:r>
      <w:proofErr w:type="spellStart"/>
      <w:r w:rsidRPr="00251582">
        <w:rPr>
          <w:rFonts w:ascii="Aptos" w:hAnsi="Aptos"/>
        </w:rPr>
        <w:t>Voldoire</w:t>
      </w:r>
      <w:proofErr w:type="spellEnd"/>
      <w:r w:rsidRPr="00251582">
        <w:rPr>
          <w:rFonts w:ascii="Aptos" w:hAnsi="Aptos"/>
        </w:rPr>
        <w:t xml:space="preserve">, A. CNRM-CERFACS CNRM-CM6-1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29" w:tgtFrame="_blank" w:history="1">
        <w:r w:rsidRPr="00251582">
          <w:rPr>
            <w:rStyle w:val="Hyperlink"/>
            <w:rFonts w:ascii="Aptos" w:eastAsiaTheme="majorEastAsia" w:hAnsi="Aptos"/>
          </w:rPr>
          <w:t>https://doi.org/10.22033/ESGF/CMIP6.643</w:t>
        </w:r>
      </w:hyperlink>
      <w:r w:rsidRPr="00251582">
        <w:rPr>
          <w:rFonts w:ascii="Aptos" w:hAnsi="Aptos"/>
        </w:rPr>
        <w:t xml:space="preserve"> (2019).</w:t>
      </w:r>
    </w:p>
    <w:p w14:paraId="56F30EDD"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CNRM-CM6-1-HR</w:t>
      </w:r>
      <w:r w:rsidRPr="00251582">
        <w:rPr>
          <w:rFonts w:ascii="Aptos" w:hAnsi="Aptos"/>
        </w:rPr>
        <w:t xml:space="preserve">: </w:t>
      </w:r>
      <w:proofErr w:type="spellStart"/>
      <w:r w:rsidRPr="00251582">
        <w:rPr>
          <w:rFonts w:ascii="Aptos" w:hAnsi="Aptos"/>
        </w:rPr>
        <w:t>Voldoire</w:t>
      </w:r>
      <w:proofErr w:type="spellEnd"/>
      <w:r w:rsidRPr="00251582">
        <w:rPr>
          <w:rFonts w:ascii="Aptos" w:hAnsi="Aptos"/>
        </w:rPr>
        <w:t xml:space="preserve">, A. CNRM-CERFACS CNRM-CM6-1-HR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0" w:tgtFrame="_blank" w:history="1">
        <w:r w:rsidRPr="00251582">
          <w:rPr>
            <w:rStyle w:val="Hyperlink"/>
            <w:rFonts w:ascii="Aptos" w:eastAsiaTheme="majorEastAsia" w:hAnsi="Aptos"/>
          </w:rPr>
          <w:t>https://doi.org/10.22033/ESGF/CMIP6.4011</w:t>
        </w:r>
      </w:hyperlink>
      <w:r w:rsidRPr="00251582">
        <w:rPr>
          <w:rFonts w:ascii="Aptos" w:hAnsi="Aptos"/>
        </w:rPr>
        <w:t xml:space="preserve"> (2019).</w:t>
      </w:r>
    </w:p>
    <w:p w14:paraId="458E0CC7"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CNRM-ESM2-1</w:t>
      </w:r>
      <w:r w:rsidRPr="00251582">
        <w:rPr>
          <w:rFonts w:ascii="Aptos" w:hAnsi="Aptos"/>
        </w:rPr>
        <w:t xml:space="preserve">: Seferian, R. CNRM-CERFACS CNRM-ESM2-1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1" w:tgtFrame="_blank" w:history="1">
        <w:r w:rsidRPr="00251582">
          <w:rPr>
            <w:rStyle w:val="Hyperlink"/>
            <w:rFonts w:ascii="Aptos" w:eastAsiaTheme="majorEastAsia" w:hAnsi="Aptos"/>
          </w:rPr>
          <w:t>https://doi.org/10.22033/ESGF/CMIP6.4172</w:t>
        </w:r>
      </w:hyperlink>
      <w:r w:rsidRPr="00251582">
        <w:rPr>
          <w:rFonts w:ascii="Aptos" w:hAnsi="Aptos"/>
        </w:rPr>
        <w:t xml:space="preserve"> (2019).</w:t>
      </w:r>
    </w:p>
    <w:p w14:paraId="758CF59F"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CanESM5</w:t>
      </w:r>
      <w:r w:rsidRPr="00251582">
        <w:rPr>
          <w:rFonts w:ascii="Aptos" w:hAnsi="Aptos"/>
        </w:rPr>
        <w:t xml:space="preserve">: Swart, N. C. et al. </w:t>
      </w:r>
      <w:proofErr w:type="spellStart"/>
      <w:r w:rsidRPr="00251582">
        <w:rPr>
          <w:rFonts w:ascii="Aptos" w:hAnsi="Aptos"/>
        </w:rPr>
        <w:t>CCCma</w:t>
      </w:r>
      <w:proofErr w:type="spellEnd"/>
      <w:r w:rsidRPr="00251582">
        <w:rPr>
          <w:rFonts w:ascii="Aptos" w:hAnsi="Aptos"/>
        </w:rPr>
        <w:t xml:space="preserve"> CanESM5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2" w:tgtFrame="_blank" w:history="1">
        <w:r w:rsidRPr="00251582">
          <w:rPr>
            <w:rStyle w:val="Hyperlink"/>
            <w:rFonts w:ascii="Aptos" w:eastAsiaTheme="majorEastAsia" w:hAnsi="Aptos"/>
          </w:rPr>
          <w:t>https://doi.org/10.22033/ESGF/CMIP6.3615</w:t>
        </w:r>
      </w:hyperlink>
      <w:r w:rsidRPr="00251582">
        <w:rPr>
          <w:rFonts w:ascii="Aptos" w:hAnsi="Aptos"/>
        </w:rPr>
        <w:t xml:space="preserve"> (2019).</w:t>
      </w:r>
    </w:p>
    <w:p w14:paraId="3BB7D1F8"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CanESM5-CanOE</w:t>
      </w:r>
      <w:r w:rsidRPr="00251582">
        <w:rPr>
          <w:rFonts w:ascii="Aptos" w:hAnsi="Aptos"/>
        </w:rPr>
        <w:t xml:space="preserve">: Swart, N. C. et al. </w:t>
      </w:r>
      <w:proofErr w:type="spellStart"/>
      <w:r w:rsidRPr="00251582">
        <w:rPr>
          <w:rFonts w:ascii="Aptos" w:hAnsi="Aptos"/>
        </w:rPr>
        <w:t>CCCma</w:t>
      </w:r>
      <w:proofErr w:type="spellEnd"/>
      <w:r w:rsidRPr="00251582">
        <w:rPr>
          <w:rFonts w:ascii="Aptos" w:hAnsi="Aptos"/>
        </w:rPr>
        <w:t xml:space="preserve"> CanESM5-CanOE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3" w:tgtFrame="_blank" w:history="1">
        <w:r w:rsidRPr="00251582">
          <w:rPr>
            <w:rStyle w:val="Hyperlink"/>
            <w:rFonts w:ascii="Aptos" w:eastAsiaTheme="majorEastAsia" w:hAnsi="Aptos"/>
          </w:rPr>
          <w:t>https://doi.org/10.22033/ESGF/CMIP6.3616</w:t>
        </w:r>
      </w:hyperlink>
      <w:r w:rsidRPr="00251582">
        <w:rPr>
          <w:rFonts w:ascii="Aptos" w:hAnsi="Aptos"/>
        </w:rPr>
        <w:t xml:space="preserve"> (2019).</w:t>
      </w:r>
    </w:p>
    <w:p w14:paraId="15FEDEA7"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E3SM-1-0</w:t>
      </w:r>
      <w:r w:rsidRPr="00251582">
        <w:rPr>
          <w:rFonts w:ascii="Aptos" w:hAnsi="Aptos"/>
        </w:rPr>
        <w:t xml:space="preserve">: Bader, D. C. et al. E3SM-Project E3SM1.0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4" w:tgtFrame="_blank" w:history="1">
        <w:r w:rsidRPr="00251582">
          <w:rPr>
            <w:rStyle w:val="Hyperlink"/>
            <w:rFonts w:ascii="Aptos" w:eastAsiaTheme="majorEastAsia" w:hAnsi="Aptos"/>
          </w:rPr>
          <w:t>https://doi.org/10.22033/ESGF/CMIP6.15102</w:t>
        </w:r>
      </w:hyperlink>
      <w:r w:rsidRPr="00251582">
        <w:rPr>
          <w:rFonts w:ascii="Aptos" w:hAnsi="Aptos"/>
        </w:rPr>
        <w:t xml:space="preserve"> (2022).</w:t>
      </w:r>
    </w:p>
    <w:p w14:paraId="6DB0720D"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E3SM-1-0</w:t>
      </w:r>
      <w:r w:rsidRPr="00251582">
        <w:rPr>
          <w:rFonts w:ascii="Aptos" w:hAnsi="Aptos"/>
        </w:rPr>
        <w:t xml:space="preserve">: Stevenson, S. et al. UCSB E3SM1.0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5" w:tgtFrame="_blank" w:history="1">
        <w:r w:rsidRPr="00251582">
          <w:rPr>
            <w:rStyle w:val="Hyperlink"/>
            <w:rFonts w:ascii="Aptos" w:eastAsiaTheme="majorEastAsia" w:hAnsi="Aptos"/>
          </w:rPr>
          <w:t>https://doi.org/10.22033/ESGF/CMIP6.17065</w:t>
        </w:r>
      </w:hyperlink>
      <w:r w:rsidRPr="00251582">
        <w:rPr>
          <w:rFonts w:ascii="Aptos" w:hAnsi="Aptos"/>
        </w:rPr>
        <w:t xml:space="preserve"> (2023).</w:t>
      </w:r>
    </w:p>
    <w:p w14:paraId="25143E35"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lastRenderedPageBreak/>
        <w:t>E3SM-1-1</w:t>
      </w:r>
      <w:r w:rsidRPr="00251582">
        <w:rPr>
          <w:rFonts w:ascii="Aptos" w:hAnsi="Aptos"/>
        </w:rPr>
        <w:t xml:space="preserve">: Bader, D. C. et al. E3SM-Project E3SM1.1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6" w:tgtFrame="_blank" w:history="1">
        <w:r w:rsidRPr="00251582">
          <w:rPr>
            <w:rStyle w:val="Hyperlink"/>
            <w:rFonts w:ascii="Aptos" w:eastAsiaTheme="majorEastAsia" w:hAnsi="Aptos"/>
          </w:rPr>
          <w:t>https://doi.org/10.22033/ESGF/CMIP6.4527</w:t>
        </w:r>
      </w:hyperlink>
      <w:r w:rsidRPr="00251582">
        <w:rPr>
          <w:rFonts w:ascii="Aptos" w:hAnsi="Aptos"/>
        </w:rPr>
        <w:t xml:space="preserve"> (2020).</w:t>
      </w:r>
    </w:p>
    <w:p w14:paraId="14A336DF"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E3SM-1-1-ECA</w:t>
      </w:r>
      <w:r w:rsidRPr="00251582">
        <w:rPr>
          <w:rFonts w:ascii="Aptos" w:hAnsi="Aptos"/>
        </w:rPr>
        <w:t xml:space="preserve">: Bader, D. C. et al. E3SM-Project E3SM1.1-ECA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7" w:tgtFrame="_blank" w:history="1">
        <w:r w:rsidRPr="00251582">
          <w:rPr>
            <w:rStyle w:val="Hyperlink"/>
            <w:rFonts w:ascii="Aptos" w:eastAsiaTheme="majorEastAsia" w:hAnsi="Aptos"/>
          </w:rPr>
          <w:t>https://doi.org/10.22033/ESGF/CMIP6.4528</w:t>
        </w:r>
      </w:hyperlink>
      <w:r w:rsidRPr="00251582">
        <w:rPr>
          <w:rFonts w:ascii="Aptos" w:hAnsi="Aptos"/>
        </w:rPr>
        <w:t xml:space="preserve"> (2022).</w:t>
      </w:r>
    </w:p>
    <w:p w14:paraId="547CC4A7"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EC-Earth3</w:t>
      </w:r>
      <w:r w:rsidRPr="00251582">
        <w:rPr>
          <w:rFonts w:ascii="Aptos" w:hAnsi="Aptos"/>
        </w:rPr>
        <w:t xml:space="preserve">: EC-Earth Consortium. EC-Earth-Consortium EC-Earth3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8" w:tgtFrame="_blank" w:history="1">
        <w:r w:rsidRPr="00251582">
          <w:rPr>
            <w:rStyle w:val="Hyperlink"/>
            <w:rFonts w:ascii="Aptos" w:eastAsiaTheme="majorEastAsia" w:hAnsi="Aptos"/>
          </w:rPr>
          <w:t>https://doi.org/10.22033/ESGF/CMIP6.724</w:t>
        </w:r>
      </w:hyperlink>
      <w:r w:rsidRPr="00251582">
        <w:rPr>
          <w:rFonts w:ascii="Aptos" w:hAnsi="Aptos"/>
        </w:rPr>
        <w:t xml:space="preserve"> (2019).</w:t>
      </w:r>
    </w:p>
    <w:p w14:paraId="51912AFC"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EC-Earth3-AerChem</w:t>
      </w:r>
      <w:r w:rsidRPr="00251582">
        <w:rPr>
          <w:rFonts w:ascii="Aptos" w:hAnsi="Aptos"/>
        </w:rPr>
        <w:t xml:space="preserve">: EC-Earth Consortium. EC-Earth-Consortium EC-Earth3-AerChem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39" w:tgtFrame="_blank" w:history="1">
        <w:r w:rsidRPr="00251582">
          <w:rPr>
            <w:rStyle w:val="Hyperlink"/>
            <w:rFonts w:ascii="Aptos" w:eastAsiaTheme="majorEastAsia" w:hAnsi="Aptos"/>
          </w:rPr>
          <w:t>https://doi.org/10.22033/ESGF/CMIP6.725</w:t>
        </w:r>
      </w:hyperlink>
      <w:r w:rsidRPr="00251582">
        <w:rPr>
          <w:rFonts w:ascii="Aptos" w:hAnsi="Aptos"/>
        </w:rPr>
        <w:t xml:space="preserve"> (2020).</w:t>
      </w:r>
    </w:p>
    <w:p w14:paraId="492AEA1A"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EC-Earth3-CC</w:t>
      </w:r>
      <w:r w:rsidRPr="00251582">
        <w:rPr>
          <w:rFonts w:ascii="Aptos" w:hAnsi="Aptos"/>
        </w:rPr>
        <w:t xml:space="preserve">: EC-Earth Consortium. EC-Earth-Consortium EC-Earth3-CC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40" w:tgtFrame="_blank" w:history="1">
        <w:r w:rsidRPr="00251582">
          <w:rPr>
            <w:rStyle w:val="Hyperlink"/>
            <w:rFonts w:ascii="Aptos" w:eastAsiaTheme="majorEastAsia" w:hAnsi="Aptos"/>
          </w:rPr>
          <w:t>https://doi.org/10.22033/ESGF/CMIP6.4700</w:t>
        </w:r>
      </w:hyperlink>
      <w:r w:rsidRPr="00251582">
        <w:rPr>
          <w:rFonts w:ascii="Aptos" w:hAnsi="Aptos"/>
        </w:rPr>
        <w:t xml:space="preserve"> (2021).</w:t>
      </w:r>
    </w:p>
    <w:p w14:paraId="0E63B825"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EC-Earth3-Veg</w:t>
      </w:r>
      <w:r w:rsidRPr="00251582">
        <w:rPr>
          <w:rFonts w:ascii="Aptos" w:hAnsi="Aptos"/>
        </w:rPr>
        <w:t xml:space="preserve">: EC-Earth Consortium. EC-Earth-Consortium EC-Earth3-Veg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41" w:tgtFrame="_blank" w:history="1">
        <w:r w:rsidRPr="00251582">
          <w:rPr>
            <w:rStyle w:val="Hyperlink"/>
            <w:rFonts w:ascii="Aptos" w:eastAsiaTheme="majorEastAsia" w:hAnsi="Aptos"/>
          </w:rPr>
          <w:t>https://doi.org/10.22033/ESGF/CMIP6.728</w:t>
        </w:r>
      </w:hyperlink>
      <w:r w:rsidRPr="00251582">
        <w:rPr>
          <w:rFonts w:ascii="Aptos" w:hAnsi="Aptos"/>
        </w:rPr>
        <w:t xml:space="preserve"> (2019).</w:t>
      </w:r>
    </w:p>
    <w:p w14:paraId="229C2EF9"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EC-Earth3-Veg-LR</w:t>
      </w:r>
      <w:r w:rsidRPr="00251582">
        <w:rPr>
          <w:rFonts w:ascii="Aptos" w:hAnsi="Aptos"/>
        </w:rPr>
        <w:t xml:space="preserve">: EC-Earth Consortium. EC-Earth-Consortium EC-Earth3-Veg-LR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42" w:tgtFrame="_blank" w:history="1">
        <w:r w:rsidRPr="00251582">
          <w:rPr>
            <w:rStyle w:val="Hyperlink"/>
            <w:rFonts w:ascii="Aptos" w:eastAsiaTheme="majorEastAsia" w:hAnsi="Aptos"/>
          </w:rPr>
          <w:t>https://doi.org/10.22033/ESGF/CMIP6.4702</w:t>
        </w:r>
      </w:hyperlink>
      <w:r w:rsidRPr="00251582">
        <w:rPr>
          <w:rFonts w:ascii="Aptos" w:hAnsi="Aptos"/>
        </w:rPr>
        <w:t xml:space="preserve"> (2020).</w:t>
      </w:r>
    </w:p>
    <w:p w14:paraId="5CC2BD87"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FGOALS-f3-L</w:t>
      </w:r>
      <w:r w:rsidRPr="00251582">
        <w:rPr>
          <w:rFonts w:ascii="Aptos" w:hAnsi="Aptos"/>
        </w:rPr>
        <w:t xml:space="preserve">: YU, Y. CAS FGOALS-f3-L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43" w:tgtFrame="_blank" w:history="1">
        <w:r w:rsidRPr="00251582">
          <w:rPr>
            <w:rStyle w:val="Hyperlink"/>
            <w:rFonts w:ascii="Aptos" w:eastAsiaTheme="majorEastAsia" w:hAnsi="Aptos"/>
          </w:rPr>
          <w:t>https://doi.org/10.22033/ESGF/CMIP6.3354</w:t>
        </w:r>
      </w:hyperlink>
      <w:r w:rsidRPr="00251582">
        <w:rPr>
          <w:rFonts w:ascii="Aptos" w:hAnsi="Aptos"/>
        </w:rPr>
        <w:t xml:space="preserve"> (2019).</w:t>
      </w:r>
    </w:p>
    <w:p w14:paraId="35EDD14A"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FGOALS-g3</w:t>
      </w:r>
      <w:r w:rsidRPr="00251582">
        <w:rPr>
          <w:rFonts w:ascii="Aptos" w:hAnsi="Aptos"/>
        </w:rPr>
        <w:t xml:space="preserve">: Li, L. CAS FGOALS-g3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44" w:tgtFrame="_blank" w:history="1">
        <w:r w:rsidRPr="00251582">
          <w:rPr>
            <w:rStyle w:val="Hyperlink"/>
            <w:rFonts w:ascii="Aptos" w:eastAsiaTheme="majorEastAsia" w:hAnsi="Aptos"/>
          </w:rPr>
          <w:t>https://doi.org/10.22033/ESGF/CMIP6.3355</w:t>
        </w:r>
      </w:hyperlink>
      <w:r w:rsidRPr="00251582">
        <w:rPr>
          <w:rFonts w:ascii="Aptos" w:hAnsi="Aptos"/>
        </w:rPr>
        <w:t xml:space="preserve"> (2019).</w:t>
      </w:r>
    </w:p>
    <w:p w14:paraId="7F82D746"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FIO-ESM-2-0</w:t>
      </w:r>
      <w:r w:rsidRPr="00251582">
        <w:rPr>
          <w:rFonts w:ascii="Aptos" w:hAnsi="Aptos"/>
        </w:rPr>
        <w:t xml:space="preserve">: Song, Z. et al. FIO-QLNM FIO-ESM2.0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45" w:tgtFrame="_blank" w:history="1">
        <w:r w:rsidRPr="00251582">
          <w:rPr>
            <w:rStyle w:val="Hyperlink"/>
            <w:rFonts w:ascii="Aptos" w:eastAsiaTheme="majorEastAsia" w:hAnsi="Aptos"/>
          </w:rPr>
          <w:t>https://doi.org/10.22033/ESGF/CMIP6.9202</w:t>
        </w:r>
      </w:hyperlink>
      <w:r w:rsidRPr="00251582">
        <w:rPr>
          <w:rFonts w:ascii="Aptos" w:hAnsi="Aptos"/>
        </w:rPr>
        <w:t xml:space="preserve"> (2019).</w:t>
      </w:r>
    </w:p>
    <w:p w14:paraId="59899F00"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GFDL-CM4</w:t>
      </w:r>
      <w:r w:rsidRPr="00251582">
        <w:rPr>
          <w:rFonts w:ascii="Aptos" w:hAnsi="Aptos"/>
        </w:rPr>
        <w:t xml:space="preserve">: Guo, H. et al. NOAA-GFDL GFDL-CM4 model output prepared for CMIP6 CMIP. </w:t>
      </w:r>
      <w:r w:rsidRPr="00251582">
        <w:rPr>
          <w:rFonts w:ascii="Aptos" w:hAnsi="Aptos"/>
          <w:i/>
          <w:iCs/>
        </w:rPr>
        <w:t>Earth System Grid Federation</w:t>
      </w:r>
      <w:r w:rsidRPr="00251582">
        <w:rPr>
          <w:rFonts w:ascii="Aptos" w:hAnsi="Aptos"/>
        </w:rPr>
        <w:t xml:space="preserve"> </w:t>
      </w:r>
      <w:hyperlink r:id="rId46" w:tgtFrame="_blank" w:history="1">
        <w:r w:rsidRPr="00251582">
          <w:rPr>
            <w:rStyle w:val="Hyperlink"/>
            <w:rFonts w:ascii="Aptos" w:eastAsiaTheme="majorEastAsia" w:hAnsi="Aptos"/>
          </w:rPr>
          <w:t>https://doi.org/10.22033/ESGF/CMIP6.1402</w:t>
        </w:r>
      </w:hyperlink>
      <w:r w:rsidRPr="00251582">
        <w:rPr>
          <w:rFonts w:ascii="Aptos" w:hAnsi="Aptos"/>
        </w:rPr>
        <w:t xml:space="preserve"> (2018).</w:t>
      </w:r>
    </w:p>
    <w:p w14:paraId="0FA5A589"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GFDL-ESM4</w:t>
      </w:r>
      <w:r w:rsidRPr="00251582">
        <w:rPr>
          <w:rFonts w:ascii="Aptos" w:hAnsi="Aptos"/>
        </w:rPr>
        <w:t xml:space="preserve">: John, J. G. et al. NOAA-GFDL GFDL-ESM4 model output prepared for CMIP6 CMIP. </w:t>
      </w:r>
      <w:r w:rsidRPr="00251582">
        <w:rPr>
          <w:rFonts w:ascii="Aptos" w:hAnsi="Aptos"/>
          <w:i/>
          <w:iCs/>
        </w:rPr>
        <w:t>Earth System Grid Federation</w:t>
      </w:r>
      <w:r w:rsidRPr="00251582">
        <w:rPr>
          <w:rFonts w:ascii="Aptos" w:hAnsi="Aptos"/>
        </w:rPr>
        <w:t xml:space="preserve"> </w:t>
      </w:r>
      <w:hyperlink r:id="rId47" w:tgtFrame="_blank" w:history="1">
        <w:r w:rsidRPr="00251582">
          <w:rPr>
            <w:rStyle w:val="Hyperlink"/>
            <w:rFonts w:ascii="Aptos" w:eastAsiaTheme="majorEastAsia" w:hAnsi="Aptos"/>
          </w:rPr>
          <w:t>https://doi.org/10.22033/ESGF/CMIP6.1407</w:t>
        </w:r>
      </w:hyperlink>
      <w:r w:rsidRPr="00251582">
        <w:rPr>
          <w:rFonts w:ascii="Aptos" w:hAnsi="Aptos"/>
        </w:rPr>
        <w:t xml:space="preserve"> (2018).</w:t>
      </w:r>
    </w:p>
    <w:p w14:paraId="60CC26C6"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GISS-E2-1-G</w:t>
      </w:r>
      <w:r w:rsidRPr="00251582">
        <w:rPr>
          <w:rFonts w:ascii="Aptos" w:hAnsi="Aptos"/>
        </w:rPr>
        <w:t xml:space="preserve">: NASA Goddard Institute for Space Studies. NASA-GISS GISS-E2.1G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48" w:tgtFrame="_blank" w:history="1">
        <w:r w:rsidRPr="00251582">
          <w:rPr>
            <w:rStyle w:val="Hyperlink"/>
            <w:rFonts w:ascii="Aptos" w:eastAsiaTheme="majorEastAsia" w:hAnsi="Aptos"/>
          </w:rPr>
          <w:t>https://doi.org/10.22033/ESGF/CMIP6.7127</w:t>
        </w:r>
      </w:hyperlink>
      <w:r w:rsidRPr="00251582">
        <w:rPr>
          <w:rFonts w:ascii="Aptos" w:hAnsi="Aptos"/>
        </w:rPr>
        <w:t xml:space="preserve"> (2020).</w:t>
      </w:r>
    </w:p>
    <w:p w14:paraId="12F86801"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lastRenderedPageBreak/>
        <w:t>GISS-E2-1-H</w:t>
      </w:r>
      <w:r w:rsidRPr="00251582">
        <w:rPr>
          <w:rFonts w:ascii="Aptos" w:hAnsi="Aptos"/>
        </w:rPr>
        <w:t xml:space="preserve">: NASA Goddard Institute for Space Studies. NASA-GISS GISS-E2.1H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49" w:tgtFrame="_blank" w:history="1">
        <w:r w:rsidRPr="00251582">
          <w:rPr>
            <w:rStyle w:val="Hyperlink"/>
            <w:rFonts w:ascii="Aptos" w:eastAsiaTheme="majorEastAsia" w:hAnsi="Aptos"/>
          </w:rPr>
          <w:t>https://doi.org/10.22033/ESGF/CMIP6.7128</w:t>
        </w:r>
      </w:hyperlink>
      <w:r w:rsidRPr="00251582">
        <w:rPr>
          <w:rFonts w:ascii="Aptos" w:hAnsi="Aptos"/>
        </w:rPr>
        <w:t xml:space="preserve"> (2020).</w:t>
      </w:r>
    </w:p>
    <w:p w14:paraId="5EBA9B52"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GISS-E2-2-H</w:t>
      </w:r>
      <w:r w:rsidRPr="00251582">
        <w:rPr>
          <w:rFonts w:ascii="Aptos" w:hAnsi="Aptos"/>
        </w:rPr>
        <w:t xml:space="preserve">: NASA Goddard Institute for Space Studies. NASA-GISS GISS-E2.2H model output prepared for CMIP6 CMIP. </w:t>
      </w:r>
      <w:r w:rsidRPr="00251582">
        <w:rPr>
          <w:rFonts w:ascii="Aptos" w:hAnsi="Aptos"/>
          <w:i/>
          <w:iCs/>
        </w:rPr>
        <w:t>Earth System Grid Federation</w:t>
      </w:r>
      <w:r w:rsidRPr="00251582">
        <w:rPr>
          <w:rFonts w:ascii="Aptos" w:hAnsi="Aptos"/>
        </w:rPr>
        <w:t xml:space="preserve"> </w:t>
      </w:r>
      <w:hyperlink r:id="rId50" w:tgtFrame="_blank" w:history="1">
        <w:r w:rsidRPr="00251582">
          <w:rPr>
            <w:rStyle w:val="Hyperlink"/>
            <w:rFonts w:ascii="Aptos" w:eastAsiaTheme="majorEastAsia" w:hAnsi="Aptos"/>
          </w:rPr>
          <w:t>https://doi.org/10.22033/ESGF/CMIP6.10115</w:t>
        </w:r>
      </w:hyperlink>
      <w:r w:rsidRPr="00251582">
        <w:rPr>
          <w:rFonts w:ascii="Aptos" w:hAnsi="Aptos"/>
        </w:rPr>
        <w:t xml:space="preserve"> (2021).</w:t>
      </w:r>
    </w:p>
    <w:p w14:paraId="37E57208"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HadGEM3-GC31-LL</w:t>
      </w:r>
      <w:r w:rsidRPr="00251582">
        <w:rPr>
          <w:rFonts w:ascii="Aptos" w:hAnsi="Aptos"/>
        </w:rPr>
        <w:t xml:space="preserve">: Good, P. MOHC HadGEM3-GC31-LL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51" w:tgtFrame="_blank" w:history="1">
        <w:r w:rsidRPr="00251582">
          <w:rPr>
            <w:rStyle w:val="Hyperlink"/>
            <w:rFonts w:ascii="Aptos" w:eastAsiaTheme="majorEastAsia" w:hAnsi="Aptos"/>
          </w:rPr>
          <w:t>https://doi.org/10.22033/ESGF/CMIP6.1567</w:t>
        </w:r>
      </w:hyperlink>
      <w:r w:rsidRPr="00251582">
        <w:rPr>
          <w:rFonts w:ascii="Aptos" w:hAnsi="Aptos"/>
        </w:rPr>
        <w:t xml:space="preserve"> (2019).</w:t>
      </w:r>
    </w:p>
    <w:p w14:paraId="78545D31"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HadGEM3-GC31-MM</w:t>
      </w:r>
      <w:r w:rsidRPr="00251582">
        <w:rPr>
          <w:rFonts w:ascii="Aptos" w:hAnsi="Aptos"/>
        </w:rPr>
        <w:t xml:space="preserve">: Jackson, L. MOHC HadGEM3-GC31-MM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52" w:tgtFrame="_blank" w:history="1">
        <w:r w:rsidRPr="00251582">
          <w:rPr>
            <w:rStyle w:val="Hyperlink"/>
            <w:rFonts w:ascii="Aptos" w:eastAsiaTheme="majorEastAsia" w:hAnsi="Aptos"/>
          </w:rPr>
          <w:t>https://doi.org/10.22033/ESGF/CMIP6.6109</w:t>
        </w:r>
      </w:hyperlink>
      <w:r w:rsidRPr="00251582">
        <w:rPr>
          <w:rFonts w:ascii="Aptos" w:hAnsi="Aptos"/>
        </w:rPr>
        <w:t xml:space="preserve"> (2020).</w:t>
      </w:r>
    </w:p>
    <w:p w14:paraId="57881B28"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ICON-ESM-LR</w:t>
      </w:r>
      <w:r w:rsidRPr="00251582">
        <w:rPr>
          <w:rFonts w:ascii="Aptos" w:hAnsi="Aptos"/>
        </w:rPr>
        <w:t xml:space="preserve">: Jungclaus, J. et al. MPI-M ICON-ESM-LR model output prepared for CMIP6 CMIP. </w:t>
      </w:r>
      <w:r w:rsidRPr="00251582">
        <w:rPr>
          <w:rFonts w:ascii="Aptos" w:hAnsi="Aptos"/>
          <w:i/>
          <w:iCs/>
        </w:rPr>
        <w:t>Earth System Grid Federation</w:t>
      </w:r>
      <w:r w:rsidRPr="00251582">
        <w:rPr>
          <w:rFonts w:ascii="Aptos" w:hAnsi="Aptos"/>
        </w:rPr>
        <w:t xml:space="preserve"> </w:t>
      </w:r>
      <w:hyperlink r:id="rId53" w:tgtFrame="_blank" w:history="1">
        <w:r w:rsidRPr="00251582">
          <w:rPr>
            <w:rStyle w:val="Hyperlink"/>
            <w:rFonts w:ascii="Aptos" w:eastAsiaTheme="majorEastAsia" w:hAnsi="Aptos"/>
          </w:rPr>
          <w:t>https://doi.org/10.22033/ESGF/CMIP6.666</w:t>
        </w:r>
      </w:hyperlink>
      <w:r w:rsidRPr="00251582">
        <w:rPr>
          <w:rFonts w:ascii="Aptos" w:hAnsi="Aptos"/>
        </w:rPr>
        <w:t xml:space="preserve"> (2019).</w:t>
      </w:r>
    </w:p>
    <w:p w14:paraId="1B86BF33"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IITM-ESM</w:t>
      </w:r>
      <w:r w:rsidRPr="00251582">
        <w:rPr>
          <w:rFonts w:ascii="Aptos" w:hAnsi="Aptos"/>
        </w:rPr>
        <w:t xml:space="preserve">: </w:t>
      </w:r>
      <w:proofErr w:type="spellStart"/>
      <w:r w:rsidRPr="00251582">
        <w:rPr>
          <w:rFonts w:ascii="Aptos" w:hAnsi="Aptos"/>
        </w:rPr>
        <w:t>Panickal</w:t>
      </w:r>
      <w:proofErr w:type="spellEnd"/>
      <w:r w:rsidRPr="00251582">
        <w:rPr>
          <w:rFonts w:ascii="Aptos" w:hAnsi="Aptos"/>
        </w:rPr>
        <w:t xml:space="preserve">, S. et al. CCCR-IITM IITM-ESM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54" w:tgtFrame="_blank" w:history="1">
        <w:r w:rsidRPr="00251582">
          <w:rPr>
            <w:rStyle w:val="Hyperlink"/>
            <w:rFonts w:ascii="Aptos" w:eastAsiaTheme="majorEastAsia" w:hAnsi="Aptos"/>
          </w:rPr>
          <w:t>https://doi.org/10.22033/ESGF/CMIP6.11713</w:t>
        </w:r>
      </w:hyperlink>
      <w:r w:rsidRPr="00251582">
        <w:rPr>
          <w:rFonts w:ascii="Aptos" w:hAnsi="Aptos"/>
        </w:rPr>
        <w:t xml:space="preserve"> (2020).</w:t>
      </w:r>
    </w:p>
    <w:p w14:paraId="1B61D00F"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INM-CM4-8</w:t>
      </w:r>
      <w:r w:rsidRPr="00251582">
        <w:rPr>
          <w:rFonts w:ascii="Aptos" w:hAnsi="Aptos"/>
        </w:rPr>
        <w:t xml:space="preserve">: Volodin, E. et al. INM INM-CM4-8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55" w:tgtFrame="_blank" w:history="1">
        <w:r w:rsidRPr="00251582">
          <w:rPr>
            <w:rStyle w:val="Hyperlink"/>
            <w:rFonts w:ascii="Aptos" w:eastAsiaTheme="majorEastAsia" w:hAnsi="Aptos"/>
          </w:rPr>
          <w:t>https://doi.org/10.22033/ESGF/CMIP6.5076</w:t>
        </w:r>
      </w:hyperlink>
      <w:r w:rsidRPr="00251582">
        <w:rPr>
          <w:rFonts w:ascii="Aptos" w:hAnsi="Aptos"/>
        </w:rPr>
        <w:t xml:space="preserve"> (2019).</w:t>
      </w:r>
    </w:p>
    <w:p w14:paraId="1277A2B3"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INM-CM5-0</w:t>
      </w:r>
      <w:r w:rsidRPr="00251582">
        <w:rPr>
          <w:rFonts w:ascii="Aptos" w:hAnsi="Aptos"/>
        </w:rPr>
        <w:t xml:space="preserve">: Volodin, E. et al. INM INM-CM5-0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56" w:tgtFrame="_blank" w:history="1">
        <w:r w:rsidRPr="00251582">
          <w:rPr>
            <w:rStyle w:val="Hyperlink"/>
            <w:rFonts w:ascii="Aptos" w:eastAsiaTheme="majorEastAsia" w:hAnsi="Aptos"/>
          </w:rPr>
          <w:t>https://doi.org/10.22033/ESGF/CMIP6.5077</w:t>
        </w:r>
      </w:hyperlink>
      <w:r w:rsidRPr="00251582">
        <w:rPr>
          <w:rFonts w:ascii="Aptos" w:hAnsi="Aptos"/>
        </w:rPr>
        <w:t xml:space="preserve"> (2019).</w:t>
      </w:r>
    </w:p>
    <w:p w14:paraId="12A958F0"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IPSL-CM5A2-INCA</w:t>
      </w:r>
      <w:r w:rsidRPr="00251582">
        <w:rPr>
          <w:rFonts w:ascii="Aptos" w:hAnsi="Aptos"/>
        </w:rPr>
        <w:t xml:space="preserve">: Boucher, O. et al. IPSL IPSL-CM5A2-INCA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57" w:tgtFrame="_blank" w:history="1">
        <w:r w:rsidRPr="00251582">
          <w:rPr>
            <w:rStyle w:val="Hyperlink"/>
            <w:rFonts w:ascii="Aptos" w:eastAsiaTheme="majorEastAsia" w:hAnsi="Aptos"/>
          </w:rPr>
          <w:t>https://doi.org/10.22033/ESGF/CMIP6.13191</w:t>
        </w:r>
      </w:hyperlink>
      <w:r w:rsidRPr="00251582">
        <w:rPr>
          <w:rFonts w:ascii="Aptos" w:hAnsi="Aptos"/>
        </w:rPr>
        <w:t xml:space="preserve"> (2020).</w:t>
      </w:r>
    </w:p>
    <w:p w14:paraId="05C5B39A"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IPSL-CM6A-LR</w:t>
      </w:r>
      <w:r w:rsidRPr="00251582">
        <w:rPr>
          <w:rFonts w:ascii="Aptos" w:hAnsi="Aptos"/>
        </w:rPr>
        <w:t xml:space="preserve">: Boucher, O. et al. IPSL IPSL-CM6A-LR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58" w:tgtFrame="_blank" w:history="1">
        <w:r w:rsidRPr="00251582">
          <w:rPr>
            <w:rStyle w:val="Hyperlink"/>
            <w:rFonts w:ascii="Aptos" w:eastAsiaTheme="majorEastAsia" w:hAnsi="Aptos"/>
          </w:rPr>
          <w:t>https://doi.org/10.22033/ESGF/CMIP6.1534</w:t>
        </w:r>
      </w:hyperlink>
      <w:r w:rsidRPr="00251582">
        <w:rPr>
          <w:rFonts w:ascii="Aptos" w:hAnsi="Aptos"/>
        </w:rPr>
        <w:t xml:space="preserve"> (2019).</w:t>
      </w:r>
    </w:p>
    <w:p w14:paraId="0C87C835"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IPSL-CM6A-LR-INCA</w:t>
      </w:r>
      <w:r w:rsidRPr="00251582">
        <w:rPr>
          <w:rFonts w:ascii="Aptos" w:hAnsi="Aptos"/>
        </w:rPr>
        <w:t xml:space="preserve">: Boucher, O. et al. IPSL IPSL-CM6A-LR-INCA model output prepared for CMIP6 CMIP. </w:t>
      </w:r>
      <w:r w:rsidRPr="00251582">
        <w:rPr>
          <w:rFonts w:ascii="Aptos" w:hAnsi="Aptos"/>
          <w:i/>
          <w:iCs/>
        </w:rPr>
        <w:t>Earth System Grid Federation</w:t>
      </w:r>
      <w:r w:rsidRPr="00251582">
        <w:rPr>
          <w:rFonts w:ascii="Aptos" w:hAnsi="Aptos"/>
        </w:rPr>
        <w:t xml:space="preserve"> </w:t>
      </w:r>
      <w:hyperlink r:id="rId59" w:tgtFrame="_blank" w:history="1">
        <w:r w:rsidRPr="00251582">
          <w:rPr>
            <w:rStyle w:val="Hyperlink"/>
            <w:rFonts w:ascii="Aptos" w:eastAsiaTheme="majorEastAsia" w:hAnsi="Aptos"/>
          </w:rPr>
          <w:t>https://doi.org/10.22033/ESGF/CMIP6.13190</w:t>
        </w:r>
      </w:hyperlink>
      <w:r w:rsidRPr="00251582">
        <w:rPr>
          <w:rFonts w:ascii="Aptos" w:hAnsi="Aptos"/>
        </w:rPr>
        <w:t xml:space="preserve"> (2021).</w:t>
      </w:r>
    </w:p>
    <w:p w14:paraId="501841A4"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KACE-1-0-G</w:t>
      </w:r>
      <w:r w:rsidRPr="00251582">
        <w:rPr>
          <w:rFonts w:ascii="Aptos" w:hAnsi="Aptos"/>
        </w:rPr>
        <w:t xml:space="preserve">: Byun, Y.-H. et al. NIMS-KMA KACE-1.0-G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0" w:tgtFrame="_blank" w:history="1">
        <w:r w:rsidRPr="00251582">
          <w:rPr>
            <w:rStyle w:val="Hyperlink"/>
            <w:rFonts w:ascii="Aptos" w:eastAsiaTheme="majorEastAsia" w:hAnsi="Aptos"/>
          </w:rPr>
          <w:t>https://doi.org/10.22033/ESGF/CMIP6.8377</w:t>
        </w:r>
      </w:hyperlink>
      <w:r w:rsidRPr="00251582">
        <w:rPr>
          <w:rFonts w:ascii="Aptos" w:hAnsi="Aptos"/>
        </w:rPr>
        <w:t xml:space="preserve"> (2019).</w:t>
      </w:r>
    </w:p>
    <w:p w14:paraId="4D9B06BF"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lastRenderedPageBreak/>
        <w:t>KIOST-ESM</w:t>
      </w:r>
      <w:r w:rsidRPr="00251582">
        <w:rPr>
          <w:rFonts w:ascii="Aptos" w:hAnsi="Aptos"/>
        </w:rPr>
        <w:t xml:space="preserve">: Kim, H.-J. et al. KIOST KIOST-ESM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1" w:tgtFrame="_blank" w:history="1">
        <w:r w:rsidRPr="00251582">
          <w:rPr>
            <w:rStyle w:val="Hyperlink"/>
            <w:rFonts w:ascii="Aptos" w:eastAsiaTheme="majorEastAsia" w:hAnsi="Aptos"/>
          </w:rPr>
          <w:t>https://doi.org/10.22033/ESGF/CMIP6.8459</w:t>
        </w:r>
      </w:hyperlink>
      <w:r w:rsidRPr="00251582">
        <w:rPr>
          <w:rFonts w:ascii="Aptos" w:hAnsi="Aptos"/>
        </w:rPr>
        <w:t xml:space="preserve"> (2019).</w:t>
      </w:r>
    </w:p>
    <w:p w14:paraId="4F5EA2E1"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MCM-UA-1-0</w:t>
      </w:r>
      <w:r w:rsidRPr="00251582">
        <w:rPr>
          <w:rFonts w:ascii="Aptos" w:hAnsi="Aptos"/>
        </w:rPr>
        <w:t xml:space="preserve">: Stouffer, R. J. UA MCM-UA-1-0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2" w:tgtFrame="_blank" w:history="1">
        <w:r w:rsidRPr="00251582">
          <w:rPr>
            <w:rStyle w:val="Hyperlink"/>
            <w:rFonts w:ascii="Aptos" w:eastAsiaTheme="majorEastAsia" w:hAnsi="Aptos"/>
          </w:rPr>
          <w:t>https://doi.org/10.22033/ESGF/CMIP6.9234</w:t>
        </w:r>
      </w:hyperlink>
      <w:r w:rsidRPr="00251582">
        <w:rPr>
          <w:rFonts w:ascii="Aptos" w:hAnsi="Aptos"/>
        </w:rPr>
        <w:t xml:space="preserve"> (2019).</w:t>
      </w:r>
    </w:p>
    <w:p w14:paraId="7C9B753D"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MIROC-ES2L</w:t>
      </w:r>
      <w:r w:rsidRPr="00251582">
        <w:rPr>
          <w:rFonts w:ascii="Aptos" w:hAnsi="Aptos"/>
        </w:rPr>
        <w:t xml:space="preserve">: </w:t>
      </w:r>
      <w:proofErr w:type="spellStart"/>
      <w:r w:rsidRPr="00251582">
        <w:rPr>
          <w:rFonts w:ascii="Aptos" w:hAnsi="Aptos"/>
        </w:rPr>
        <w:t>Tachiiri</w:t>
      </w:r>
      <w:proofErr w:type="spellEnd"/>
      <w:r w:rsidRPr="00251582">
        <w:rPr>
          <w:rFonts w:ascii="Aptos" w:hAnsi="Aptos"/>
        </w:rPr>
        <w:t xml:space="preserve">, K. et al. MIROC MIROC-ES2L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3" w:tgtFrame="_blank" w:history="1">
        <w:r w:rsidRPr="00251582">
          <w:rPr>
            <w:rStyle w:val="Hyperlink"/>
            <w:rFonts w:ascii="Aptos" w:eastAsiaTheme="majorEastAsia" w:hAnsi="Aptos"/>
          </w:rPr>
          <w:t>https://doi.org/10.22033/ESGF/CMIP6.5603</w:t>
        </w:r>
      </w:hyperlink>
      <w:r w:rsidRPr="00251582">
        <w:rPr>
          <w:rFonts w:ascii="Aptos" w:hAnsi="Aptos"/>
        </w:rPr>
        <w:t xml:space="preserve"> (2019).</w:t>
      </w:r>
    </w:p>
    <w:p w14:paraId="72EDADC0"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MIROC6</w:t>
      </w:r>
      <w:r w:rsidRPr="00251582">
        <w:rPr>
          <w:rFonts w:ascii="Aptos" w:hAnsi="Aptos"/>
        </w:rPr>
        <w:t xml:space="preserve">: </w:t>
      </w:r>
      <w:proofErr w:type="spellStart"/>
      <w:r w:rsidRPr="00251582">
        <w:rPr>
          <w:rFonts w:ascii="Aptos" w:hAnsi="Aptos"/>
        </w:rPr>
        <w:t>Shiogama</w:t>
      </w:r>
      <w:proofErr w:type="spellEnd"/>
      <w:r w:rsidRPr="00251582">
        <w:rPr>
          <w:rFonts w:ascii="Aptos" w:hAnsi="Aptos"/>
        </w:rPr>
        <w:t xml:space="preserve">, H. et al. MIROC MIROC6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4" w:tgtFrame="_blank" w:history="1">
        <w:r w:rsidRPr="00251582">
          <w:rPr>
            <w:rStyle w:val="Hyperlink"/>
            <w:rFonts w:ascii="Aptos" w:eastAsiaTheme="majorEastAsia" w:hAnsi="Aptos"/>
          </w:rPr>
          <w:t>https://doi.org/10.22033/ESGF/CMIP6.5602</w:t>
        </w:r>
      </w:hyperlink>
      <w:r w:rsidRPr="00251582">
        <w:rPr>
          <w:rFonts w:ascii="Aptos" w:hAnsi="Aptos"/>
        </w:rPr>
        <w:t xml:space="preserve"> (2019).</w:t>
      </w:r>
    </w:p>
    <w:p w14:paraId="232FA40D"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MPI-ESM-1-2-HAM</w:t>
      </w:r>
      <w:r w:rsidRPr="00251582">
        <w:rPr>
          <w:rFonts w:ascii="Aptos" w:hAnsi="Aptos"/>
        </w:rPr>
        <w:t xml:space="preserve">: Tegen, I. et al. HAMMOZ-Consortium MPI-ESM1.2-HAM model output prepared for CMIP6 CMIP. </w:t>
      </w:r>
      <w:r w:rsidRPr="00251582">
        <w:rPr>
          <w:rFonts w:ascii="Aptos" w:hAnsi="Aptos"/>
          <w:i/>
          <w:iCs/>
        </w:rPr>
        <w:t>Earth System Grid Federation</w:t>
      </w:r>
      <w:r w:rsidRPr="00251582">
        <w:rPr>
          <w:rFonts w:ascii="Aptos" w:hAnsi="Aptos"/>
        </w:rPr>
        <w:t xml:space="preserve"> </w:t>
      </w:r>
      <w:hyperlink r:id="rId65" w:tgtFrame="_blank" w:history="1">
        <w:r w:rsidRPr="00251582">
          <w:rPr>
            <w:rStyle w:val="Hyperlink"/>
            <w:rFonts w:ascii="Aptos" w:eastAsiaTheme="majorEastAsia" w:hAnsi="Aptos"/>
          </w:rPr>
          <w:t>https://doi.org/10.22033/ESGF/CMIP6.496</w:t>
        </w:r>
      </w:hyperlink>
      <w:r w:rsidRPr="00251582">
        <w:rPr>
          <w:rFonts w:ascii="Aptos" w:hAnsi="Aptos"/>
        </w:rPr>
        <w:t xml:space="preserve"> (2019).</w:t>
      </w:r>
    </w:p>
    <w:p w14:paraId="75B53F97"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MPI-ESM1-2-HR</w:t>
      </w:r>
      <w:r w:rsidRPr="00251582">
        <w:rPr>
          <w:rFonts w:ascii="Aptos" w:hAnsi="Aptos"/>
        </w:rPr>
        <w:t xml:space="preserve">: </w:t>
      </w:r>
      <w:proofErr w:type="spellStart"/>
      <w:r w:rsidRPr="00251582">
        <w:rPr>
          <w:rFonts w:ascii="Aptos" w:hAnsi="Aptos"/>
        </w:rPr>
        <w:t>Schupfner</w:t>
      </w:r>
      <w:proofErr w:type="spellEnd"/>
      <w:r w:rsidRPr="00251582">
        <w:rPr>
          <w:rFonts w:ascii="Aptos" w:hAnsi="Aptos"/>
        </w:rPr>
        <w:t xml:space="preserve">, M. et al. DKRZ MPI-ESM1.2-HR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6" w:tgtFrame="_blank" w:history="1">
        <w:r w:rsidRPr="00251582">
          <w:rPr>
            <w:rStyle w:val="Hyperlink"/>
            <w:rFonts w:ascii="Aptos" w:eastAsiaTheme="majorEastAsia" w:hAnsi="Aptos"/>
          </w:rPr>
          <w:t>https://doi.org/10.22033/ESGF/CMIP6.2450</w:t>
        </w:r>
      </w:hyperlink>
      <w:r w:rsidRPr="00251582">
        <w:rPr>
          <w:rFonts w:ascii="Aptos" w:hAnsi="Aptos"/>
        </w:rPr>
        <w:t xml:space="preserve"> (2019).</w:t>
      </w:r>
    </w:p>
    <w:p w14:paraId="45557EE3"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MPI-ESM1-2-HR</w:t>
      </w:r>
      <w:r w:rsidRPr="00251582">
        <w:rPr>
          <w:rFonts w:ascii="Aptos" w:hAnsi="Aptos"/>
        </w:rPr>
        <w:t xml:space="preserve">: Steger, C. et al. DWD MPI-ESM1.2-HR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7" w:tgtFrame="_blank" w:history="1">
        <w:r w:rsidRPr="00251582">
          <w:rPr>
            <w:rStyle w:val="Hyperlink"/>
            <w:rFonts w:ascii="Aptos" w:eastAsiaTheme="majorEastAsia" w:hAnsi="Aptos"/>
          </w:rPr>
          <w:t>https://doi.org/10.22033/ESGF/CMIP6.1869</w:t>
        </w:r>
      </w:hyperlink>
      <w:r w:rsidRPr="00251582">
        <w:rPr>
          <w:rFonts w:ascii="Aptos" w:hAnsi="Aptos"/>
        </w:rPr>
        <w:t xml:space="preserve"> (2019).</w:t>
      </w:r>
    </w:p>
    <w:p w14:paraId="7BF1AE31"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MPI-ESM1-2-LR</w:t>
      </w:r>
      <w:r w:rsidRPr="00251582">
        <w:rPr>
          <w:rFonts w:ascii="Aptos" w:hAnsi="Aptos"/>
        </w:rPr>
        <w:t xml:space="preserve">: </w:t>
      </w:r>
      <w:proofErr w:type="spellStart"/>
      <w:r w:rsidRPr="00251582">
        <w:rPr>
          <w:rFonts w:ascii="Aptos" w:hAnsi="Aptos"/>
        </w:rPr>
        <w:t>Schupfner</w:t>
      </w:r>
      <w:proofErr w:type="spellEnd"/>
      <w:r w:rsidRPr="00251582">
        <w:rPr>
          <w:rFonts w:ascii="Aptos" w:hAnsi="Aptos"/>
        </w:rPr>
        <w:t xml:space="preserve">, M. et al. DKRZ MPI-ESM1.2-LR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8" w:tgtFrame="_blank" w:history="1">
        <w:r w:rsidRPr="00251582">
          <w:rPr>
            <w:rStyle w:val="Hyperlink"/>
            <w:rFonts w:ascii="Aptos" w:eastAsiaTheme="majorEastAsia" w:hAnsi="Aptos"/>
          </w:rPr>
          <w:t>https://doi.org/10.22033/ESGF/CMIP6.15349</w:t>
        </w:r>
      </w:hyperlink>
      <w:r w:rsidRPr="00251582">
        <w:rPr>
          <w:rFonts w:ascii="Aptos" w:hAnsi="Aptos"/>
        </w:rPr>
        <w:t xml:space="preserve"> (2021).</w:t>
      </w:r>
    </w:p>
    <w:p w14:paraId="01B484F1"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MPI-ESM1-2-LR</w:t>
      </w:r>
      <w:r w:rsidRPr="00251582">
        <w:rPr>
          <w:rFonts w:ascii="Aptos" w:hAnsi="Aptos"/>
        </w:rPr>
        <w:t xml:space="preserve">: Wieners, K.-H. et al. MPI-M MPI-ESM1.2-LR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69" w:tgtFrame="_blank" w:history="1">
        <w:r w:rsidRPr="00251582">
          <w:rPr>
            <w:rStyle w:val="Hyperlink"/>
            <w:rFonts w:ascii="Aptos" w:eastAsiaTheme="majorEastAsia" w:hAnsi="Aptos"/>
          </w:rPr>
          <w:t>https://doi.org/10.22033/ESGF/CMIP6.793</w:t>
        </w:r>
      </w:hyperlink>
      <w:r w:rsidRPr="00251582">
        <w:rPr>
          <w:rFonts w:ascii="Aptos" w:hAnsi="Aptos"/>
        </w:rPr>
        <w:t xml:space="preserve"> (2019).</w:t>
      </w:r>
    </w:p>
    <w:p w14:paraId="055CBDD6"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MRI-ESM2-0</w:t>
      </w:r>
      <w:r w:rsidRPr="00251582">
        <w:rPr>
          <w:rFonts w:ascii="Aptos" w:hAnsi="Aptos"/>
        </w:rPr>
        <w:t xml:space="preserve">: Yukimoto, S. et al. MRI MRI-ESM2.0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70" w:tgtFrame="_blank" w:history="1">
        <w:r w:rsidRPr="00251582">
          <w:rPr>
            <w:rStyle w:val="Hyperlink"/>
            <w:rFonts w:ascii="Aptos" w:eastAsiaTheme="majorEastAsia" w:hAnsi="Aptos"/>
          </w:rPr>
          <w:t>https://doi.org/10.22033/ESGF/CMIP6.6343</w:t>
        </w:r>
      </w:hyperlink>
      <w:r w:rsidRPr="00251582">
        <w:rPr>
          <w:rFonts w:ascii="Aptos" w:hAnsi="Aptos"/>
        </w:rPr>
        <w:t xml:space="preserve"> (2019).</w:t>
      </w:r>
    </w:p>
    <w:p w14:paraId="51EB7BA2"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NESM3</w:t>
      </w:r>
      <w:r w:rsidRPr="00251582">
        <w:rPr>
          <w:rFonts w:ascii="Aptos" w:hAnsi="Aptos"/>
        </w:rPr>
        <w:t xml:space="preserve">: Cao, J. NUIST NESM3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71" w:tgtFrame="_blank" w:history="1">
        <w:r w:rsidRPr="00251582">
          <w:rPr>
            <w:rStyle w:val="Hyperlink"/>
            <w:rFonts w:ascii="Aptos" w:eastAsiaTheme="majorEastAsia" w:hAnsi="Aptos"/>
          </w:rPr>
          <w:t>https://doi.org/10.22033/ESGF/CMIP6.2027</w:t>
        </w:r>
      </w:hyperlink>
      <w:r w:rsidRPr="00251582">
        <w:rPr>
          <w:rFonts w:ascii="Aptos" w:hAnsi="Aptos"/>
        </w:rPr>
        <w:t xml:space="preserve"> (2019).</w:t>
      </w:r>
    </w:p>
    <w:p w14:paraId="51F2CBDC"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NorCPM1</w:t>
      </w:r>
      <w:r w:rsidRPr="00251582">
        <w:rPr>
          <w:rFonts w:ascii="Aptos" w:hAnsi="Aptos"/>
        </w:rPr>
        <w:t xml:space="preserve">: Bethke, I. et al. NCC NorCPM1 model output prepared for CMIP6 CMIP. </w:t>
      </w:r>
      <w:r w:rsidRPr="00251582">
        <w:rPr>
          <w:rFonts w:ascii="Aptos" w:hAnsi="Aptos"/>
          <w:i/>
          <w:iCs/>
        </w:rPr>
        <w:t>Earth System Grid Federation</w:t>
      </w:r>
      <w:r w:rsidRPr="00251582">
        <w:rPr>
          <w:rFonts w:ascii="Aptos" w:hAnsi="Aptos"/>
        </w:rPr>
        <w:t xml:space="preserve"> </w:t>
      </w:r>
      <w:hyperlink r:id="rId72" w:tgtFrame="_blank" w:history="1">
        <w:r w:rsidRPr="00251582">
          <w:rPr>
            <w:rStyle w:val="Hyperlink"/>
            <w:rFonts w:ascii="Aptos" w:eastAsiaTheme="majorEastAsia" w:hAnsi="Aptos"/>
          </w:rPr>
          <w:t>https://doi.org/10.22033/ESGF/CMIP6.502</w:t>
        </w:r>
      </w:hyperlink>
      <w:r w:rsidRPr="00251582">
        <w:rPr>
          <w:rFonts w:ascii="Aptos" w:hAnsi="Aptos"/>
        </w:rPr>
        <w:t xml:space="preserve"> (2019).</w:t>
      </w:r>
    </w:p>
    <w:p w14:paraId="6A83958E"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NorESM2-LM</w:t>
      </w:r>
      <w:r w:rsidRPr="00251582">
        <w:rPr>
          <w:rFonts w:ascii="Aptos" w:hAnsi="Aptos"/>
        </w:rPr>
        <w:t xml:space="preserve">: Seland, Ø. et al. NCC NorESM2-LM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73" w:tgtFrame="_blank" w:history="1">
        <w:r w:rsidRPr="00251582">
          <w:rPr>
            <w:rStyle w:val="Hyperlink"/>
            <w:rFonts w:ascii="Aptos" w:eastAsiaTheme="majorEastAsia" w:hAnsi="Aptos"/>
          </w:rPr>
          <w:t>https://doi.org/10.22033/ESGF/CMIP6.604</w:t>
        </w:r>
      </w:hyperlink>
      <w:r w:rsidRPr="00251582">
        <w:rPr>
          <w:rFonts w:ascii="Aptos" w:hAnsi="Aptos"/>
        </w:rPr>
        <w:t xml:space="preserve"> (2019).</w:t>
      </w:r>
    </w:p>
    <w:p w14:paraId="550D523C"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lastRenderedPageBreak/>
        <w:t>NorESM2-MM</w:t>
      </w:r>
      <w:r w:rsidRPr="00251582">
        <w:rPr>
          <w:rFonts w:ascii="Aptos" w:hAnsi="Aptos"/>
        </w:rPr>
        <w:t xml:space="preserve">: Bentsen, M. et al. NCC NorESM2-MM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74" w:tgtFrame="_blank" w:history="1">
        <w:r w:rsidRPr="00251582">
          <w:rPr>
            <w:rStyle w:val="Hyperlink"/>
            <w:rFonts w:ascii="Aptos" w:eastAsiaTheme="majorEastAsia" w:hAnsi="Aptos"/>
          </w:rPr>
          <w:t>https://doi.org/10.22033/ESGF/CMIP6.608</w:t>
        </w:r>
      </w:hyperlink>
      <w:r w:rsidRPr="00251582">
        <w:rPr>
          <w:rFonts w:ascii="Aptos" w:hAnsi="Aptos"/>
        </w:rPr>
        <w:t xml:space="preserve"> (2019).</w:t>
      </w:r>
    </w:p>
    <w:p w14:paraId="7B18A5FA"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SAM0-UNICON</w:t>
      </w:r>
      <w:r w:rsidRPr="00251582">
        <w:rPr>
          <w:rFonts w:ascii="Aptos" w:hAnsi="Aptos"/>
        </w:rPr>
        <w:t xml:space="preserve">: Park, S. et al. SNU SAM0-UNICON model output prepared for CMIP6 CMIP. </w:t>
      </w:r>
      <w:r w:rsidRPr="00251582">
        <w:rPr>
          <w:rFonts w:ascii="Aptos" w:hAnsi="Aptos"/>
          <w:i/>
          <w:iCs/>
        </w:rPr>
        <w:t>Earth System Grid Federation</w:t>
      </w:r>
      <w:r w:rsidRPr="00251582">
        <w:rPr>
          <w:rFonts w:ascii="Aptos" w:hAnsi="Aptos"/>
        </w:rPr>
        <w:t xml:space="preserve"> </w:t>
      </w:r>
      <w:hyperlink r:id="rId75" w:tgtFrame="_blank" w:history="1">
        <w:r w:rsidRPr="00251582">
          <w:rPr>
            <w:rStyle w:val="Hyperlink"/>
            <w:rFonts w:ascii="Aptos" w:eastAsiaTheme="majorEastAsia" w:hAnsi="Aptos"/>
          </w:rPr>
          <w:t>https://doi.org/10.22033/ESGF/CMIP6.2307</w:t>
        </w:r>
      </w:hyperlink>
      <w:r w:rsidRPr="00251582">
        <w:rPr>
          <w:rFonts w:ascii="Aptos" w:hAnsi="Aptos"/>
        </w:rPr>
        <w:t xml:space="preserve"> (2019).</w:t>
      </w:r>
    </w:p>
    <w:p w14:paraId="7BA47462"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TaiESM1</w:t>
      </w:r>
      <w:r w:rsidRPr="00251582">
        <w:rPr>
          <w:rFonts w:ascii="Aptos" w:hAnsi="Aptos"/>
        </w:rPr>
        <w:t xml:space="preserve">: Lee, W.-L. &amp; Liang, H.-C. AS-RCEC TaiESM1.0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76" w:tgtFrame="_blank" w:history="1">
        <w:r w:rsidRPr="00251582">
          <w:rPr>
            <w:rStyle w:val="Hyperlink"/>
            <w:rFonts w:ascii="Aptos" w:eastAsiaTheme="majorEastAsia" w:hAnsi="Aptos"/>
          </w:rPr>
          <w:t>https://doi.org/10.22033/ESGF/CMIP6.9688</w:t>
        </w:r>
      </w:hyperlink>
      <w:r w:rsidRPr="00251582">
        <w:rPr>
          <w:rFonts w:ascii="Aptos" w:hAnsi="Aptos"/>
        </w:rPr>
        <w:t xml:space="preserve"> (2020).</w:t>
      </w:r>
    </w:p>
    <w:p w14:paraId="6F11CA83"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UKESM1-0-LL</w:t>
      </w:r>
      <w:r w:rsidRPr="00251582">
        <w:rPr>
          <w:rFonts w:ascii="Aptos" w:hAnsi="Aptos"/>
        </w:rPr>
        <w:t xml:space="preserve">: Good, P. et al. MOHC UKESM1.0-LL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77" w:tgtFrame="_blank" w:history="1">
        <w:r w:rsidRPr="00251582">
          <w:rPr>
            <w:rStyle w:val="Hyperlink"/>
            <w:rFonts w:ascii="Aptos" w:eastAsiaTheme="majorEastAsia" w:hAnsi="Aptos"/>
          </w:rPr>
          <w:t>https://doi.org/10.22033/ESGF/CMIP6.1567</w:t>
        </w:r>
      </w:hyperlink>
      <w:r w:rsidRPr="00251582">
        <w:rPr>
          <w:rFonts w:ascii="Aptos" w:hAnsi="Aptos"/>
        </w:rPr>
        <w:t xml:space="preserve"> (2019).</w:t>
      </w:r>
    </w:p>
    <w:p w14:paraId="1892E79F" w14:textId="77777777" w:rsidR="00251582" w:rsidRPr="00251582" w:rsidRDefault="00251582" w:rsidP="000F73BC">
      <w:pPr>
        <w:pStyle w:val="NormalWeb"/>
        <w:numPr>
          <w:ilvl w:val="0"/>
          <w:numId w:val="2"/>
        </w:numPr>
        <w:spacing w:line="276" w:lineRule="auto"/>
        <w:rPr>
          <w:rFonts w:ascii="Aptos" w:hAnsi="Aptos"/>
        </w:rPr>
      </w:pPr>
      <w:r w:rsidRPr="00251582">
        <w:rPr>
          <w:rFonts w:ascii="Aptos" w:hAnsi="Aptos"/>
          <w:b/>
          <w:bCs/>
        </w:rPr>
        <w:t>UKESM1-0-LL</w:t>
      </w:r>
      <w:r w:rsidRPr="00251582">
        <w:rPr>
          <w:rFonts w:ascii="Aptos" w:hAnsi="Aptos"/>
        </w:rPr>
        <w:t xml:space="preserve">: Shim, S. et al. NIMS-KMA UKESM1.0-LL model output prepared for CMIP6 </w:t>
      </w:r>
      <w:proofErr w:type="spellStart"/>
      <w:r w:rsidRPr="00251582">
        <w:rPr>
          <w:rFonts w:ascii="Aptos" w:hAnsi="Aptos"/>
        </w:rPr>
        <w:t>ScenarioMIP</w:t>
      </w:r>
      <w:proofErr w:type="spellEnd"/>
      <w:r w:rsidRPr="00251582">
        <w:rPr>
          <w:rFonts w:ascii="Aptos" w:hAnsi="Aptos"/>
        </w:rPr>
        <w:t xml:space="preserve">. </w:t>
      </w:r>
      <w:r w:rsidRPr="00251582">
        <w:rPr>
          <w:rFonts w:ascii="Aptos" w:hAnsi="Aptos"/>
          <w:i/>
          <w:iCs/>
        </w:rPr>
        <w:t>Earth System Grid Federation</w:t>
      </w:r>
      <w:r w:rsidRPr="00251582">
        <w:rPr>
          <w:rFonts w:ascii="Aptos" w:hAnsi="Aptos"/>
        </w:rPr>
        <w:t xml:space="preserve"> </w:t>
      </w:r>
      <w:hyperlink r:id="rId78" w:tgtFrame="_blank" w:history="1">
        <w:r w:rsidRPr="00251582">
          <w:rPr>
            <w:rStyle w:val="Hyperlink"/>
            <w:rFonts w:ascii="Aptos" w:eastAsiaTheme="majorEastAsia" w:hAnsi="Aptos"/>
          </w:rPr>
          <w:t>https://doi.org/10.22033/ESGF/CMIP6.2250</w:t>
        </w:r>
      </w:hyperlink>
      <w:r w:rsidRPr="00251582">
        <w:rPr>
          <w:rFonts w:ascii="Aptos" w:hAnsi="Aptos"/>
        </w:rPr>
        <w:t xml:space="preserve"> (2020).</w:t>
      </w:r>
    </w:p>
    <w:p w14:paraId="34179B7A" w14:textId="77777777" w:rsidR="00251582" w:rsidRPr="00EC37BF" w:rsidRDefault="00251582" w:rsidP="000F73BC">
      <w:pPr>
        <w:spacing w:after="160"/>
        <w:rPr>
          <w:b/>
          <w:bCs/>
        </w:rPr>
      </w:pPr>
    </w:p>
    <w:sectPr w:rsidR="00251582" w:rsidRPr="00EC37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11DA2"/>
    <w:multiLevelType w:val="multilevel"/>
    <w:tmpl w:val="FBF6A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092A02"/>
    <w:multiLevelType w:val="multilevel"/>
    <w:tmpl w:val="9F46C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7415513">
    <w:abstractNumId w:val="0"/>
  </w:num>
  <w:num w:numId="2" w16cid:durableId="352417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A8"/>
    <w:rsid w:val="000F73BC"/>
    <w:rsid w:val="0020314F"/>
    <w:rsid w:val="00251582"/>
    <w:rsid w:val="0037444E"/>
    <w:rsid w:val="00380DA8"/>
    <w:rsid w:val="00393133"/>
    <w:rsid w:val="004434AB"/>
    <w:rsid w:val="00466C6B"/>
    <w:rsid w:val="004D4854"/>
    <w:rsid w:val="005056DA"/>
    <w:rsid w:val="00536944"/>
    <w:rsid w:val="006B0FA3"/>
    <w:rsid w:val="006D3DF1"/>
    <w:rsid w:val="006E461E"/>
    <w:rsid w:val="007312C6"/>
    <w:rsid w:val="007353D0"/>
    <w:rsid w:val="007B0868"/>
    <w:rsid w:val="008A593E"/>
    <w:rsid w:val="009725C3"/>
    <w:rsid w:val="009D1FC2"/>
    <w:rsid w:val="00A15612"/>
    <w:rsid w:val="00AC5121"/>
    <w:rsid w:val="00B559AD"/>
    <w:rsid w:val="00C5417C"/>
    <w:rsid w:val="00C7578B"/>
    <w:rsid w:val="00D758A5"/>
    <w:rsid w:val="00DB04D9"/>
    <w:rsid w:val="00DB7155"/>
    <w:rsid w:val="00DE0E5A"/>
    <w:rsid w:val="00E25F6E"/>
    <w:rsid w:val="00EC37BF"/>
    <w:rsid w:val="00F1212F"/>
    <w:rsid w:val="00F475AF"/>
    <w:rsid w:val="00FC2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A4934"/>
  <w15:chartTrackingRefBased/>
  <w15:docId w15:val="{CE5B8B9E-7F48-9444-8B06-427D68F0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6DA"/>
    <w:pPr>
      <w:spacing w:after="0" w:line="276" w:lineRule="auto"/>
    </w:pPr>
  </w:style>
  <w:style w:type="paragraph" w:styleId="Heading1">
    <w:name w:val="heading 1"/>
    <w:basedOn w:val="Normal"/>
    <w:next w:val="Normal"/>
    <w:link w:val="Heading1Char"/>
    <w:uiPriority w:val="9"/>
    <w:qFormat/>
    <w:rsid w:val="004434AB"/>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4434AB"/>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380D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0D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0D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0DA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0DA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0DA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0DA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4AB"/>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4434AB"/>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semiHidden/>
    <w:rsid w:val="00380D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0D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0D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0D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0D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0D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0DA8"/>
    <w:rPr>
      <w:rFonts w:eastAsiaTheme="majorEastAsia" w:cstheme="majorBidi"/>
      <w:color w:val="272727" w:themeColor="text1" w:themeTint="D8"/>
    </w:rPr>
  </w:style>
  <w:style w:type="paragraph" w:styleId="Title">
    <w:name w:val="Title"/>
    <w:basedOn w:val="Normal"/>
    <w:next w:val="Normal"/>
    <w:link w:val="TitleChar"/>
    <w:uiPriority w:val="10"/>
    <w:qFormat/>
    <w:rsid w:val="00380D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D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0DA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0D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0DA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0DA8"/>
    <w:rPr>
      <w:i/>
      <w:iCs/>
      <w:color w:val="404040" w:themeColor="text1" w:themeTint="BF"/>
    </w:rPr>
  </w:style>
  <w:style w:type="paragraph" w:styleId="ListParagraph">
    <w:name w:val="List Paragraph"/>
    <w:basedOn w:val="Normal"/>
    <w:uiPriority w:val="34"/>
    <w:qFormat/>
    <w:rsid w:val="00380DA8"/>
    <w:pPr>
      <w:ind w:left="720"/>
      <w:contextualSpacing/>
    </w:pPr>
  </w:style>
  <w:style w:type="character" w:styleId="IntenseEmphasis">
    <w:name w:val="Intense Emphasis"/>
    <w:basedOn w:val="DefaultParagraphFont"/>
    <w:uiPriority w:val="21"/>
    <w:qFormat/>
    <w:rsid w:val="00380DA8"/>
    <w:rPr>
      <w:i/>
      <w:iCs/>
      <w:color w:val="0F4761" w:themeColor="accent1" w:themeShade="BF"/>
    </w:rPr>
  </w:style>
  <w:style w:type="paragraph" w:styleId="IntenseQuote">
    <w:name w:val="Intense Quote"/>
    <w:basedOn w:val="Normal"/>
    <w:next w:val="Normal"/>
    <w:link w:val="IntenseQuoteChar"/>
    <w:uiPriority w:val="30"/>
    <w:qFormat/>
    <w:rsid w:val="00380D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0DA8"/>
    <w:rPr>
      <w:i/>
      <w:iCs/>
      <w:color w:val="0F4761" w:themeColor="accent1" w:themeShade="BF"/>
    </w:rPr>
  </w:style>
  <w:style w:type="character" w:styleId="IntenseReference">
    <w:name w:val="Intense Reference"/>
    <w:basedOn w:val="DefaultParagraphFont"/>
    <w:uiPriority w:val="32"/>
    <w:qFormat/>
    <w:rsid w:val="00380DA8"/>
    <w:rPr>
      <w:b/>
      <w:bCs/>
      <w:smallCaps/>
      <w:color w:val="0F4761" w:themeColor="accent1" w:themeShade="BF"/>
      <w:spacing w:val="5"/>
    </w:rPr>
  </w:style>
  <w:style w:type="character" w:styleId="PlaceholderText">
    <w:name w:val="Placeholder Text"/>
    <w:basedOn w:val="DefaultParagraphFont"/>
    <w:uiPriority w:val="99"/>
    <w:semiHidden/>
    <w:rsid w:val="00393133"/>
    <w:rPr>
      <w:color w:val="666666"/>
    </w:rPr>
  </w:style>
  <w:style w:type="character" w:styleId="Hyperlink">
    <w:name w:val="Hyperlink"/>
    <w:basedOn w:val="DefaultParagraphFont"/>
    <w:uiPriority w:val="99"/>
    <w:unhideWhenUsed/>
    <w:rsid w:val="00251582"/>
    <w:rPr>
      <w:color w:val="467886" w:themeColor="hyperlink"/>
      <w:u w:val="single"/>
    </w:rPr>
  </w:style>
  <w:style w:type="character" w:styleId="UnresolvedMention">
    <w:name w:val="Unresolved Mention"/>
    <w:basedOn w:val="DefaultParagraphFont"/>
    <w:uiPriority w:val="99"/>
    <w:semiHidden/>
    <w:unhideWhenUsed/>
    <w:rsid w:val="00251582"/>
    <w:rPr>
      <w:color w:val="605E5C"/>
      <w:shd w:val="clear" w:color="auto" w:fill="E1DFDD"/>
    </w:rPr>
  </w:style>
  <w:style w:type="paragraph" w:styleId="NormalWeb">
    <w:name w:val="Normal (Web)"/>
    <w:basedOn w:val="Normal"/>
    <w:uiPriority w:val="99"/>
    <w:semiHidden/>
    <w:unhideWhenUsed/>
    <w:rsid w:val="00251582"/>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2033/ESGF/CMIP6.1359" TargetMode="External"/><Relationship Id="rId21" Type="http://schemas.openxmlformats.org/officeDocument/2006/relationships/hyperlink" Target="https://www.google.com/search?q=https://doi.org/10.22033/ESGF/CMIP6.7748" TargetMode="External"/><Relationship Id="rId42" Type="http://schemas.openxmlformats.org/officeDocument/2006/relationships/hyperlink" Target="https://www.google.com/search?q=https://doi.org/10.22033/ESGF/CMIP6.4702" TargetMode="External"/><Relationship Id="rId47" Type="http://schemas.openxmlformats.org/officeDocument/2006/relationships/hyperlink" Target="https://doi.org/10.22033/ESGF/CMIP6.1407" TargetMode="External"/><Relationship Id="rId63" Type="http://schemas.openxmlformats.org/officeDocument/2006/relationships/hyperlink" Target="https://doi.org/10.22033/ESGF/CMIP6.5603" TargetMode="External"/><Relationship Id="rId68" Type="http://schemas.openxmlformats.org/officeDocument/2006/relationships/hyperlink" Target="https://www.google.com/search?q=https://doi.org/10.22033/ESGF/CMIP6.15349" TargetMode="External"/><Relationship Id="rId16" Type="http://schemas.openxmlformats.org/officeDocument/2006/relationships/hyperlink" Target="https://www.google.com/search?q=https://doi.org/10.22033/ESGF/CMIP6.3134" TargetMode="External"/><Relationship Id="rId11" Type="http://schemas.openxmlformats.org/officeDocument/2006/relationships/image" Target="media/image4.png"/><Relationship Id="rId24" Type="http://schemas.openxmlformats.org/officeDocument/2006/relationships/hyperlink" Target="https://www.google.com/search?q=https://doi.org/10.22033/ESGF/CMIP6.10098" TargetMode="External"/><Relationship Id="rId32" Type="http://schemas.openxmlformats.org/officeDocument/2006/relationships/hyperlink" Target="https://www.google.com/search?q=https://doi.org/10.22033/ESGF/CMIP6.3615" TargetMode="External"/><Relationship Id="rId37" Type="http://schemas.openxmlformats.org/officeDocument/2006/relationships/hyperlink" Target="https://www.google.com/search?q=https://doi.org/10.22033/ESGF/CMIP6.4528" TargetMode="External"/><Relationship Id="rId40" Type="http://schemas.openxmlformats.org/officeDocument/2006/relationships/hyperlink" Target="https://doi.org/10.22033/ESGF/CMIP6.4700" TargetMode="External"/><Relationship Id="rId45" Type="http://schemas.openxmlformats.org/officeDocument/2006/relationships/hyperlink" Target="https://www.google.com/search?q=https://doi.org/10.22033/ESGF/CMIP6.9202" TargetMode="External"/><Relationship Id="rId53" Type="http://schemas.openxmlformats.org/officeDocument/2006/relationships/hyperlink" Target="https://www.google.com/search?q=https://doi.org/10.22033/ESGF/CMIP6.666" TargetMode="External"/><Relationship Id="rId58" Type="http://schemas.openxmlformats.org/officeDocument/2006/relationships/hyperlink" Target="https://doi.org/10.22033/ESGF/CMIP6.1534" TargetMode="External"/><Relationship Id="rId66" Type="http://schemas.openxmlformats.org/officeDocument/2006/relationships/hyperlink" Target="https://doi.org/10.22033/ESGF/CMIP6.2450" TargetMode="External"/><Relationship Id="rId74" Type="http://schemas.openxmlformats.org/officeDocument/2006/relationships/hyperlink" Target="https://doi.org/10.22033/ESGF/CMIP6.608"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www.google.com/search?q=https://doi.org/10.22033/ESGF/CMIP6.8459" TargetMode="External"/><Relationship Id="rId19" Type="http://schemas.openxmlformats.org/officeDocument/2006/relationships/hyperlink" Target="https://doi.org/10.22033/ESGF/CMIP6.9754" TargetMode="External"/><Relationship Id="rId14" Type="http://schemas.openxmlformats.org/officeDocument/2006/relationships/hyperlink" Target="https://doi.org/10.22033/ESGF/CMIP6.2291" TargetMode="External"/><Relationship Id="rId22" Type="http://schemas.openxmlformats.org/officeDocument/2006/relationships/hyperlink" Target="https://www.google.com/search?q=https://doi.org/10.22033/ESGF/CMIP6.14366" TargetMode="External"/><Relationship Id="rId27" Type="http://schemas.openxmlformats.org/officeDocument/2006/relationships/hyperlink" Target="https://www.google.com/search?q=https://doi.org/10.22033/ESGF/CMIP6.1360" TargetMode="External"/><Relationship Id="rId30" Type="http://schemas.openxmlformats.org/officeDocument/2006/relationships/hyperlink" Target="https://www.google.com/search?q=https://doi.org/10.22033/ESGF/CMIP6.4011" TargetMode="External"/><Relationship Id="rId35" Type="http://schemas.openxmlformats.org/officeDocument/2006/relationships/hyperlink" Target="https://www.google.com/search?q=https://doi.org/10.22033/ESGF/CMIP6.17065" TargetMode="External"/><Relationship Id="rId43" Type="http://schemas.openxmlformats.org/officeDocument/2006/relationships/hyperlink" Target="https://www.google.com/search?q=https://doi.org/10.22033/ESGF/CMIP6.3354" TargetMode="External"/><Relationship Id="rId48" Type="http://schemas.openxmlformats.org/officeDocument/2006/relationships/hyperlink" Target="https://doi.org/10.22033/ESGF/CMIP6.7127" TargetMode="External"/><Relationship Id="rId56" Type="http://schemas.openxmlformats.org/officeDocument/2006/relationships/hyperlink" Target="https://www.google.com/search?q=https://doi.org/10.22033/ESGF/CMIP6.5077" TargetMode="External"/><Relationship Id="rId64" Type="http://schemas.openxmlformats.org/officeDocument/2006/relationships/hyperlink" Target="https://doi.org/10.22033/ESGF/CMIP6.5602" TargetMode="External"/><Relationship Id="rId69" Type="http://schemas.openxmlformats.org/officeDocument/2006/relationships/hyperlink" Target="https://www.google.com/search?q=https://doi.org/10.22033/ESGF/CMIP6.793" TargetMode="External"/><Relationship Id="rId77" Type="http://schemas.openxmlformats.org/officeDocument/2006/relationships/hyperlink" Target="https://doi.org/10.22033/ESGF/CMIP6.1567" TargetMode="External"/><Relationship Id="rId8" Type="http://schemas.openxmlformats.org/officeDocument/2006/relationships/image" Target="media/image20.png"/><Relationship Id="rId51" Type="http://schemas.openxmlformats.org/officeDocument/2006/relationships/hyperlink" Target="https://doi.org/10.22033/ESGF/CMIP6.1567" TargetMode="External"/><Relationship Id="rId72" Type="http://schemas.openxmlformats.org/officeDocument/2006/relationships/hyperlink" Target="https://www.google.com/search?q=https://doi.org/10.22033/ESGF/CMIP6.502"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0.png"/><Relationship Id="rId17" Type="http://schemas.openxmlformats.org/officeDocument/2006/relationships/hyperlink" Target="https://doi.org/10.22033/ESGF/CMIP6.1732" TargetMode="External"/><Relationship Id="rId25" Type="http://schemas.openxmlformats.org/officeDocument/2006/relationships/hyperlink" Target="https://www.google.com/search?q=https://doi.org/10.22033/ESGF/CMIP6.9248" TargetMode="External"/><Relationship Id="rId33" Type="http://schemas.openxmlformats.org/officeDocument/2006/relationships/hyperlink" Target="https://www.google.com/search?q=https://doi.org/10.22033/ESGF/CMIP6.3616" TargetMode="External"/><Relationship Id="rId38" Type="http://schemas.openxmlformats.org/officeDocument/2006/relationships/hyperlink" Target="https://www.google.com/search?q=https://doi.org/10.22033/ESGF/CMIP6.724" TargetMode="External"/><Relationship Id="rId46" Type="http://schemas.openxmlformats.org/officeDocument/2006/relationships/hyperlink" Target="https://doi.org/10.22033/ESGF/CMIP6.1402" TargetMode="External"/><Relationship Id="rId59" Type="http://schemas.openxmlformats.org/officeDocument/2006/relationships/hyperlink" Target="https://www.google.com/search?q=https://doi.org/10.22033/ESGF/CMIP6.13190" TargetMode="External"/><Relationship Id="rId67" Type="http://schemas.openxmlformats.org/officeDocument/2006/relationships/hyperlink" Target="https://www.google.com/search?q=https://doi.org/10.22033/ESGF/CMIP6.1869" TargetMode="External"/><Relationship Id="rId20" Type="http://schemas.openxmlformats.org/officeDocument/2006/relationships/hyperlink" Target="https://doi.org/10.22033/ESGF/CMIP6.14365" TargetMode="External"/><Relationship Id="rId41" Type="http://schemas.openxmlformats.org/officeDocument/2006/relationships/hyperlink" Target="https://www.google.com/search?q=https://doi.org/10.22033/ESGF/CMIP6.728" TargetMode="External"/><Relationship Id="rId54" Type="http://schemas.openxmlformats.org/officeDocument/2006/relationships/hyperlink" Target="https://www.google.com/search?q=https://doi.org/10.22033/ESGF/CMIP6.11713" TargetMode="External"/><Relationship Id="rId62" Type="http://schemas.openxmlformats.org/officeDocument/2006/relationships/hyperlink" Target="https://www.google.com/search?q=https://doi.org/10.22033/ESGF/CMIP6.9234" TargetMode="External"/><Relationship Id="rId70" Type="http://schemas.openxmlformats.org/officeDocument/2006/relationships/hyperlink" Target="https://www.google.com/search?q=https://doi.org/10.22033/ESGF/CMIP6.6343" TargetMode="External"/><Relationship Id="rId75" Type="http://schemas.openxmlformats.org/officeDocument/2006/relationships/hyperlink" Target="https://www.google.com/search?q=https://doi.org/10.22033/ESGF/CMIP6.2307" TargetMode="External"/><Relationship Id="rId1" Type="http://schemas.openxmlformats.org/officeDocument/2006/relationships/numbering" Target="numbering.xml"/><Relationship Id="rId6" Type="http://schemas.openxmlformats.org/officeDocument/2006/relationships/image" Target="media/image10.png"/><Relationship Id="rId15" Type="http://schemas.openxmlformats.org/officeDocument/2006/relationships/hyperlink" Target="https://doi.org/10.22033/ESGF/CMIP6.376" TargetMode="External"/><Relationship Id="rId23" Type="http://schemas.openxmlformats.org/officeDocument/2006/relationships/hyperlink" Target="https://www.google.com/search?q=https://doi.org/10.22033/ESGF/CMIP6.10111" TargetMode="External"/><Relationship Id="rId28" Type="http://schemas.openxmlformats.org/officeDocument/2006/relationships/hyperlink" Target="https://doi.org/10.22033/ESGF/CMIP6.13195" TargetMode="External"/><Relationship Id="rId36" Type="http://schemas.openxmlformats.org/officeDocument/2006/relationships/hyperlink" Target="https://www.google.com/search?q=https://doi.org/10.22033/ESGF/CMIP6.4527" TargetMode="External"/><Relationship Id="rId49" Type="http://schemas.openxmlformats.org/officeDocument/2006/relationships/hyperlink" Target="https://doi.org/10.22033/ESGF/CMIP6.7128" TargetMode="External"/><Relationship Id="rId57" Type="http://schemas.openxmlformats.org/officeDocument/2006/relationships/hyperlink" Target="https://www.google.com/search?q=https://doi.org/10.22033/ESGF/CMIP6.13191" TargetMode="External"/><Relationship Id="rId10" Type="http://schemas.openxmlformats.org/officeDocument/2006/relationships/image" Target="media/image30.png"/><Relationship Id="rId31" Type="http://schemas.openxmlformats.org/officeDocument/2006/relationships/hyperlink" Target="https://www.google.com/search?q=https://doi.org/10.22033/ESGF/CMIP6.4172" TargetMode="External"/><Relationship Id="rId44" Type="http://schemas.openxmlformats.org/officeDocument/2006/relationships/hyperlink" Target="https://www.google.com/search?q=https://doi.org/10.22033/ESGF/CMIP6.3355" TargetMode="External"/><Relationship Id="rId52" Type="http://schemas.openxmlformats.org/officeDocument/2006/relationships/hyperlink" Target="https://doi.org/10.22033/ESGF/CMIP6.6109" TargetMode="External"/><Relationship Id="rId60" Type="http://schemas.openxmlformats.org/officeDocument/2006/relationships/hyperlink" Target="https://www.google.com/search?q=https://doi.org/10.22033/ESGF/CMIP6.8377" TargetMode="External"/><Relationship Id="rId65" Type="http://schemas.openxmlformats.org/officeDocument/2006/relationships/hyperlink" Target="https://www.google.com/search?q=https://doi.org/10.22033/ESGF/CMIP6.496" TargetMode="External"/><Relationship Id="rId73" Type="http://schemas.openxmlformats.org/officeDocument/2006/relationships/hyperlink" Target="https://www.google.com/search?q=https://doi.org/10.22033/ESGF/CMIP6.604" TargetMode="External"/><Relationship Id="rId78" Type="http://schemas.openxmlformats.org/officeDocument/2006/relationships/hyperlink" Target="https://www.google.com/search?q=https://doi.org/10.22033/ESGF/CMIP6.2250"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22033/ESGF/CMIP6.2285" TargetMode="External"/><Relationship Id="rId18" Type="http://schemas.openxmlformats.org/officeDocument/2006/relationships/hyperlink" Target="https://www.google.com/search?q=https://doi.org/10.22033/ESGF/CMIP6.1728" TargetMode="External"/><Relationship Id="rId39" Type="http://schemas.openxmlformats.org/officeDocument/2006/relationships/hyperlink" Target="https://www.google.com/search?q=https://doi.org/10.22033/ESGF/CMIP6.725" TargetMode="External"/><Relationship Id="rId34" Type="http://schemas.openxmlformats.org/officeDocument/2006/relationships/hyperlink" Target="https://www.google.com/search?q=https://doi.org/10.22033/ESGF/CMIP6.15102" TargetMode="External"/><Relationship Id="rId50" Type="http://schemas.openxmlformats.org/officeDocument/2006/relationships/hyperlink" Target="https://doi.org/10.22033/ESGF/CMIP6.10115" TargetMode="External"/><Relationship Id="rId55" Type="http://schemas.openxmlformats.org/officeDocument/2006/relationships/hyperlink" Target="https://www.google.com/search?q=https://doi.org/10.22033/ESGF/CMIP6.5076" TargetMode="External"/><Relationship Id="rId76" Type="http://schemas.openxmlformats.org/officeDocument/2006/relationships/hyperlink" Target="https://doi.org/10.22033/ESGF/CMIP6.9688" TargetMode="External"/><Relationship Id="rId7" Type="http://schemas.openxmlformats.org/officeDocument/2006/relationships/image" Target="media/image2.png"/><Relationship Id="rId71" Type="http://schemas.openxmlformats.org/officeDocument/2006/relationships/hyperlink" Target="https://www.google.com/search?q=https://doi.org/10.22033/ESGF/CMIP6.2027" TargetMode="External"/><Relationship Id="rId2" Type="http://schemas.openxmlformats.org/officeDocument/2006/relationships/styles" Target="styles.xml"/><Relationship Id="rId29" Type="http://schemas.openxmlformats.org/officeDocument/2006/relationships/hyperlink" Target="https://www.google.com/search?q=https://doi.org/10.22033/ESGF/CMIP6.6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8431</Words>
  <Characters>47894</Characters>
  <Application>Microsoft Office Word</Application>
  <DocSecurity>0</DocSecurity>
  <Lines>725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Vimont</dc:creator>
  <cp:keywords/>
  <dc:description/>
  <cp:lastModifiedBy>Daniel Vimont</cp:lastModifiedBy>
  <cp:revision>2</cp:revision>
  <dcterms:created xsi:type="dcterms:W3CDTF">2026-04-29T22:46:00Z</dcterms:created>
  <dcterms:modified xsi:type="dcterms:W3CDTF">2026-04-29T22:46:00Z</dcterms:modified>
</cp:coreProperties>
</file>