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supplementary-material"/>
    <w:p>
      <w:pPr>
        <w:pStyle w:val="Heading1"/>
        <w:spacing w:line="360" w:lineRule="auto"/>
      </w:pPr>
      <w:r>
        <w:rPr>
          <w:rFonts w:ascii="Cambria" w:hAnsi="Cambria"/>
          <w:color w:val="000000"/>
        </w:rPr>
        <w:t xml:space="preserve">Supplementary Material</w:t>
      </w:r>
    </w:p>
    <w:bookmarkStart w:id="9" w:name="X5bfe1f3db2a7b1ae4baa25cf1e31a273a51c20e"/>
    <w:p>
      <w:pPr>
        <w:pStyle w:val="Heading2"/>
        <w:spacing w:line="360" w:lineRule="auto"/>
      </w:pPr>
      <w:r>
        <w:rPr>
          <w:rFonts w:ascii="Cambria" w:hAnsi="Cambria"/>
          <w:color w:val="000000"/>
        </w:rPr>
        <w:t xml:space="preserve">Measuring and reducing intervention misalignment in next best action selection for care management: a within-patient natural experiment</w:t>
      </w:r>
    </w:p>
    <w:p>
      <w:pPr>
        <w:pStyle w:val="FirstParagraph"/>
        <w:spacing w:line="360" w:lineRule="auto"/>
      </w:pPr>
      <w:r>
        <w:rPr>
          <w:rFonts w:ascii="Cambria" w:hAnsi="Cambria"/>
          <w:color w:val="000000"/>
        </w:rPr>
        <w:t xml:space="preserve">PEARL (Policy Evolution through Aligned Retrospective Learning) is the trained next best action selection policy referenced throughout this supplement.</w:t>
      </w:r>
      <w:r>
        <w:rPr>
          <w:rFonts w:ascii="Cambria" w:hAnsi="Cambria"/>
          <w:color w:val="000000"/>
        </w:rPr>
        <w:t xml:space="preserve"> </w:t>
      </w:r>
      <w:r>
        <w:rPr>
          <w:rFonts w:ascii="Cambria" w:hAnsi="Cambria"/>
          <w:i/>
          <w:iCs/>
          <w:color w:val="000000"/>
        </w:rPr>
        <w:t xml:space="preserve">Intervention misalignment</w:t>
      </w:r>
      <w:r>
        <w:rPr>
          <w:rFonts w:ascii="Cambria" w:hAnsi="Cambria"/>
          <w:color w:val="000000"/>
        </w:rPr>
        <w:t xml:space="preserve"> </w:t>
      </w:r>
      <w:r>
        <w:rPr>
          <w:rFonts w:ascii="Cambria" w:hAnsi="Cambria"/>
          <w:color w:val="000000"/>
        </w:rPr>
        <w:t xml:space="preserve">is defined as the fraction of patients whose chosen next best action is not the action expected to produce the largest health gain.</w:t>
      </w:r>
    </w:p>
    <w:p>
      <w:pPr>
        <w:pStyle w:val="BodyText"/>
        <w:spacing w:line="360" w:lineRule="auto"/>
      </w:pPr>
      <w:r>
        <w:rPr>
          <w:rFonts w:ascii="Cambria" w:hAnsi="Cambria"/>
          <w:color w:val="000000"/>
        </w:rPr>
        <w:t xml:space="preserve">Authors: Sanjay Basu, MD PhD</w:t>
      </w:r>
      <w:r>
        <w:rPr>
          <w:rFonts w:ascii="Cambria" w:hAnsi="Cambria"/>
          <w:color w:val="000000"/>
          <w:vertAlign w:val="superscript"/>
        </w:rPr>
        <w:t xml:space="preserve">a,b</w:t>
      </w:r>
      <w:r>
        <w:rPr>
          <w:rFonts w:ascii="Cambria" w:hAnsi="Cambria"/>
          <w:color w:val="000000"/>
        </w:rPr>
        <w:t xml:space="preserve">; Parth Sheth, MS</w:t>
      </w:r>
      <w:r>
        <w:rPr>
          <w:rFonts w:ascii="Cambria" w:hAnsi="Cambria"/>
          <w:color w:val="000000"/>
          <w:vertAlign w:val="superscript"/>
        </w:rPr>
        <w:t xml:space="preserve">b,c</w:t>
      </w:r>
      <w:r>
        <w:rPr>
          <w:rFonts w:ascii="Cambria" w:hAnsi="Cambria"/>
          <w:color w:val="000000"/>
        </w:rPr>
        <w:t xml:space="preserve">; Sadiq Patel, PhD</w:t>
      </w:r>
      <w:r>
        <w:rPr>
          <w:rFonts w:ascii="Cambria" w:hAnsi="Cambria"/>
          <w:color w:val="000000"/>
          <w:vertAlign w:val="superscript"/>
        </w:rPr>
        <w:t xml:space="preserve">b,c</w:t>
      </w:r>
    </w:p>
    <w:p>
      <w:pPr>
        <w:pStyle w:val="BodyText"/>
        <w:spacing w:line="360" w:lineRule="auto"/>
      </w:pPr>
      <w:r>
        <w:rPr>
          <w:rFonts w:ascii="Cambria" w:hAnsi="Cambria"/>
          <w:color w:val="000000"/>
          <w:vertAlign w:val="superscript"/>
        </w:rPr>
        <w:t xml:space="preserve">a</w:t>
      </w:r>
      <w:r>
        <w:rPr>
          <w:rFonts w:ascii="Cambria" w:hAnsi="Cambria"/>
          <w:color w:val="000000"/>
        </w:rPr>
        <w:t xml:space="preserve"> </w:t>
      </w:r>
      <w:r>
        <w:rPr>
          <w:rFonts w:ascii="Cambria" w:hAnsi="Cambria"/>
          <w:color w:val="000000"/>
        </w:rPr>
        <w:t xml:space="preserve">Department of Medicine, University of California San Francisco, San Francisco, CA</w:t>
      </w:r>
      <w:r>
        <w:rPr>
          <w:rFonts w:ascii="Cambria" w:hAnsi="Cambria"/>
          <w:color w:val="000000"/>
        </w:rPr>
        <w:br/>
      </w:r>
      <w:r>
        <w:rPr>
          <w:rFonts w:ascii="Cambria" w:hAnsi="Cambria"/>
          <w:color w:val="000000"/>
          <w:vertAlign w:val="superscript"/>
        </w:rPr>
        <w:t xml:space="preserve">b</w:t>
      </w:r>
      <w:r>
        <w:rPr>
          <w:rFonts w:ascii="Cambria" w:hAnsi="Cambria"/>
          <w:color w:val="000000"/>
        </w:rPr>
        <w:t xml:space="preserve"> </w:t>
      </w:r>
      <w:r>
        <w:rPr>
          <w:rFonts w:ascii="Cambria" w:hAnsi="Cambria"/>
          <w:color w:val="000000"/>
        </w:rPr>
        <w:t xml:space="preserve">Waymark, San Francisco, CA</w:t>
      </w:r>
      <w:r>
        <w:rPr>
          <w:rFonts w:ascii="Cambria" w:hAnsi="Cambria"/>
          <w:color w:val="000000"/>
        </w:rPr>
        <w:br/>
      </w:r>
      <w:r>
        <w:rPr>
          <w:rFonts w:ascii="Cambria" w:hAnsi="Cambria"/>
          <w:color w:val="000000"/>
          <w:vertAlign w:val="superscript"/>
        </w:rPr>
        <w:t xml:space="preserve">c</w:t>
      </w:r>
      <w:r>
        <w:rPr>
          <w:rFonts w:ascii="Cambria" w:hAnsi="Cambria"/>
          <w:color w:val="000000"/>
        </w:rPr>
        <w:t xml:space="preserve"> </w:t>
      </w:r>
      <w:r>
        <w:rPr>
          <w:rFonts w:ascii="Cambria" w:hAnsi="Cambria"/>
          <w:color w:val="000000"/>
        </w:rPr>
        <w:t xml:space="preserve">School of Social Policy and Practice, University of Pennsylvania, Philadelphia, PA</w:t>
      </w:r>
    </w:p>
    <w:p>
      <w:pPr>
        <w:pStyle w:val="BodyText"/>
        <w:spacing w:line="360" w:lineRule="auto"/>
      </w:pPr>
      <w:r>
        <w:rPr>
          <w:rFonts w:ascii="Cambria" w:hAnsi="Cambria"/>
          <w:color w:val="000000"/>
        </w:rPr>
        <w:t xml:space="preserve">Corresponding author: Sanjay Basu, MD PhD | sanjay.basu@ucsf.edu</w:t>
      </w:r>
    </w:p>
    <w:p>
      <w:pPr>
        <w:spacing w:line="360" w:lineRule="auto"/>
      </w:pPr>
      <w:r>
        <w:rPr>
          <w:rFonts w:ascii="Cambria" w:hAnsi="Cambria"/>
          <w:color w:val="000000"/>
        </w:rPr>
        <w:pict>
          <v:rect style="width:0;height:1.5pt" o:hralign="center" o:hrstd="t" o:hr="t"/>
        </w:pict>
      </w:r>
    </w:p>
    <w:p>
      <w:pPr>
        <w:pStyle w:val="FirstParagraph"/>
        <w:spacing w:line="360" w:lineRule="auto"/>
      </w:pPr>
      <w:r>
        <w:rPr>
          <w:rFonts w:ascii="Cambria" w:hAnsi="Cambria"/>
          <w:color w:val="000000"/>
        </w:rPr>
        <w:t xml:space="preserve">This supplement presents nine appendix tables (Appendix Tables 1–9), two algorithms (Algorithms S1–S2), two formal theorems (Theorems S1–S2), and four appendix figures (Appendix Figures 1–4). Appendix Table 1 reports the intervention misalignment index by area deprivation index quintile, dual eligibility status, primary language, and race/ethnicity with inverse probability weighting for missingness. Appendix Table 3 reports pre-specified sensitivity analysis results. Appendix Table 4 reports pre-specified falsification test results. Appendix Table 5 reports comparator descriptions and ablation roles. Appendix Table 6 reports nuisance model calibration diagnostics, per-intervention-type positivity statistics, and the within-WPAD secondary IMI analysis. Appendix Table 9 presents the TRIPOD-AI reporting checklist. Algorithms S1–S2 provide pseudocode for WPAD preference pair construction and PEARL training. Theorems S1–S2 state and sketch proofs for the IMI Reduction theorem and the DPO–DR-OPO equivalence result. Appendix Figure 1 presents the PRISMA-style patient flow diagram. Appendix Figure 2 presents the IMI equity gradient by ADI quintile. Appendix Figure 3 presents the Camden Coalition analog reanalysis panels. Appendix Figure 4 presents the sensitivity analysis forest plot.</w:t>
      </w:r>
    </w:p>
    <w:p>
      <w:pPr>
        <w:pStyle w:val="BodyText"/>
        <w:spacing w:line="360" w:lineRule="auto"/>
      </w:pPr>
      <w:r>
        <w:rPr>
          <w:rFonts w:ascii="Cambria" w:hAnsi="Cambria"/>
          <w:color w:val="000000"/>
        </w:rPr>
        <w:t xml:space="preserve">All reference numbers in this supplement correspond to the numbered reference list in the main manuscript.</w:t>
      </w:r>
    </w:p>
    <w:p>
      <w:pPr>
        <w:spacing w:line="360" w:lineRule="auto"/>
      </w:pPr>
      <w:r>
        <w:rPr>
          <w:rFonts w:ascii="Cambria" w:hAnsi="Cambria"/>
          <w:color w:val="000000"/>
        </w:rPr>
        <w:pict>
          <v:rect style="width:0;height:1.5pt" o:hralign="center" o:hrstd="t" o:hr="t"/>
        </w:pict>
      </w:r>
    </w:p>
    <w:bookmarkEnd w:id="9"/>
    <w:bookmarkStart w:id="10" w:name="Xdc551d1a6ac97947ff2592825030e74777e73b9"/>
    <w:p>
      <w:pPr>
        <w:pStyle w:val="Heading2"/>
        <w:spacing w:line="360" w:lineRule="auto"/>
      </w:pPr>
      <w:r>
        <w:rPr>
          <w:rFonts w:ascii="Cambria" w:hAnsi="Cambria"/>
          <w:color w:val="000000"/>
        </w:rPr>
        <w:t xml:space="preserve">Appendix Table 1. Intervention Misalignment Index by Area Deprivation Index Quintile and Demographic Subgroup</w:t>
      </w:r>
    </w:p>
    <w:p>
      <w:pPr>
        <w:pStyle w:val="FirstParagraph"/>
        <w:spacing w:line="360" w:lineRule="auto"/>
      </w:pPr>
      <w:r>
        <w:rPr>
          <w:rFonts w:ascii="Cambria" w:hAnsi="Cambria"/>
          <w:color w:val="000000"/>
        </w:rPr>
        <w:t xml:space="preserve">Appendix Table 1. IMI under behavioral routing by socioeconomic deprivation stratum and demographic subgroup (N = 6,995 held-out test patients)</w:t>
      </w:r>
    </w:p>
    <w:tbl>
      <w:tblPr>
        <w:tblStyle w:val="Table"/>
        <w:tblW w:type="auto" w:w="0"/>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980"/>
        <w:gridCol w:w="1980"/>
        <w:gridCol w:w="1980"/>
        <w:gridCol w:w="1980"/>
      </w:tblGrid>
      <w:tr>
        <w:trPr>
          <w:tblHeader w:val="on"/>
        </w:trPr>
        <w:tc>
          <w:tcPr/>
          <w:p>
            <w:pPr>
              <w:pStyle w:val="Compact"/>
              <w:spacing w:line="360" w:lineRule="auto"/>
            </w:pPr>
            <w:r>
              <w:rPr>
                <w:rFonts w:ascii="Cambria" w:hAnsi="Cambria"/>
                <w:color w:val="000000"/>
              </w:rPr>
              <w:t xml:space="preserve">Subgroup</w:t>
            </w:r>
          </w:p>
        </w:tc>
        <w:tc>
          <w:tcPr/>
          <w:p>
            <w:pPr>
              <w:pStyle w:val="Compact"/>
              <w:spacing w:line="360" w:lineRule="auto"/>
            </w:pPr>
            <w:r>
              <w:rPr>
                <w:rFonts w:ascii="Cambria" w:hAnsi="Cambria"/>
                <w:color w:val="000000"/>
              </w:rPr>
              <w:t xml:space="preserve">N (test set)</w:t>
            </w:r>
          </w:p>
        </w:tc>
        <w:tc>
          <w:tcPr/>
          <w:p>
            <w:pPr>
              <w:pStyle w:val="Compact"/>
              <w:spacing w:line="360" w:lineRule="auto"/>
            </w:pPr>
            <w:r>
              <w:rPr>
                <w:rFonts w:ascii="Cambria" w:hAnsi="Cambria"/>
                <w:color w:val="000000"/>
              </w:rPr>
              <w:t xml:space="preserve">IMI</w:t>
            </w:r>
          </w:p>
        </w:tc>
        <w:tc>
          <w:tcPr/>
          <w:p>
            <w:pPr>
              <w:pStyle w:val="Compact"/>
              <w:spacing w:line="360" w:lineRule="auto"/>
            </w:pPr>
            <w:r>
              <w:rPr>
                <w:rFonts w:ascii="Cambria" w:hAnsi="Cambria"/>
                <w:color w:val="000000"/>
              </w:rPr>
              <w:t xml:space="preserve">95% CI</w:t>
            </w:r>
          </w:p>
        </w:tc>
      </w:tr>
      <w:tr>
        <w:tc>
          <w:tcPr/>
          <w:p>
            <w:pPr>
              <w:pStyle w:val="Compact"/>
              <w:spacing w:line="360" w:lineRule="auto"/>
            </w:pPr>
            <w:r>
              <w:rPr>
                <w:rFonts w:ascii="Cambria" w:hAnsi="Cambria"/>
                <w:b/>
                <w:bCs/>
                <w:color w:val="000000"/>
              </w:rPr>
              <w:t xml:space="preserve">Overall</w:t>
            </w:r>
          </w:p>
        </w:tc>
        <w:tc>
          <w:tcPr/>
          <w:p>
            <w:pPr>
              <w:pStyle w:val="Compact"/>
              <w:spacing w:line="360" w:lineRule="auto"/>
            </w:pPr>
            <w:r>
              <w:rPr>
                <w:rFonts w:ascii="Cambria" w:hAnsi="Cambria"/>
                <w:color w:val="000000"/>
              </w:rPr>
              <w:t xml:space="preserve">6,995</w:t>
            </w:r>
          </w:p>
        </w:tc>
        <w:tc>
          <w:tcPr/>
          <w:p>
            <w:pPr>
              <w:pStyle w:val="Compact"/>
              <w:spacing w:line="360" w:lineRule="auto"/>
            </w:pPr>
            <w:r>
              <w:rPr>
                <w:rFonts w:ascii="Cambria" w:hAnsi="Cambria"/>
                <w:color w:val="000000"/>
              </w:rPr>
              <w:t xml:space="preserve">27.0%</w:t>
            </w:r>
          </w:p>
        </w:tc>
        <w:tc>
          <w:tcPr/>
          <w:p>
            <w:pPr>
              <w:pStyle w:val="Compact"/>
              <w:spacing w:line="360" w:lineRule="auto"/>
            </w:pPr>
            <w:r>
              <w:rPr>
                <w:rFonts w:ascii="Cambria" w:hAnsi="Cambria"/>
                <w:color w:val="000000"/>
              </w:rPr>
              <w:t xml:space="preserve">25.9%–28.1%</w:t>
            </w:r>
          </w:p>
        </w:tc>
      </w:tr>
      <w:tr>
        <w:tc>
          <w:tcPr/>
          <w:p>
            <w:pPr>
              <w:pStyle w:val="Compact"/>
              <w:spacing w:line="360" w:lineRule="auto"/>
            </w:pPr>
            <w:r>
              <w:rPr>
                <w:rFonts w:ascii="Cambria" w:hAnsi="Cambria"/>
                <w:b/>
                <w:bCs/>
                <w:color w:val="000000"/>
              </w:rPr>
              <w:t xml:space="preserve">ADI quintile (4,087 with ADI linkage)</w:t>
            </w:r>
          </w:p>
        </w:tc>
        <w:tc>
          <w:tcPr/>
          <w:p>
            <w:pPr>
              <w:pStyle w:val="Compact"/>
              <w:spacing w:line="360" w:lineRule="auto"/>
            </w:pPr>
          </w:p>
        </w:tc>
        <w:tc>
          <w:tcPr/>
          <w:p>
            <w:pPr>
              <w:pStyle w:val="Compact"/>
              <w:spacing w:line="360" w:lineRule="auto"/>
            </w:pPr>
          </w:p>
        </w:tc>
        <w:tc>
          <w:tcPr/>
          <w:p>
            <w:pPr>
              <w:pStyle w:val="Compact"/>
              <w:spacing w:line="360" w:lineRule="auto"/>
            </w:pPr>
          </w:p>
        </w:tc>
      </w:tr>
      <w:tr>
        <w:tc>
          <w:tcPr/>
          <w:p>
            <w:pPr>
              <w:pStyle w:val="Compact"/>
              <w:spacing w:line="360" w:lineRule="auto"/>
            </w:pPr>
            <w:r>
              <w:rPr>
                <w:rFonts w:ascii="Cambria" w:hAnsi="Cambria"/>
                <w:color w:val="000000"/>
              </w:rPr>
              <w:t xml:space="preserve">Q1 (least deprived)</w:t>
            </w:r>
          </w:p>
        </w:tc>
        <w:tc>
          <w:tcPr/>
          <w:p>
            <w:pPr>
              <w:pStyle w:val="Compact"/>
              <w:spacing w:line="360" w:lineRule="auto"/>
            </w:pPr>
            <w:r>
              <w:rPr>
                <w:rFonts w:ascii="Cambria" w:hAnsi="Cambria"/>
                <w:color w:val="000000"/>
              </w:rPr>
              <w:t xml:space="preserve">~532</w:t>
            </w:r>
          </w:p>
        </w:tc>
        <w:tc>
          <w:tcPr/>
          <w:p>
            <w:pPr>
              <w:pStyle w:val="Compact"/>
              <w:spacing w:line="360" w:lineRule="auto"/>
            </w:pPr>
            <w:r>
              <w:rPr>
                <w:rFonts w:ascii="Cambria" w:hAnsi="Cambria"/>
                <w:color w:val="000000"/>
              </w:rPr>
              <w:t xml:space="preserve">30.5%</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Q2</w:t>
            </w:r>
          </w:p>
        </w:tc>
        <w:tc>
          <w:tcPr/>
          <w:p>
            <w:pPr>
              <w:pStyle w:val="Compact"/>
              <w:spacing w:line="360" w:lineRule="auto"/>
            </w:pPr>
            <w:r>
              <w:rPr>
                <w:rFonts w:ascii="Cambria" w:hAnsi="Cambria"/>
                <w:color w:val="000000"/>
              </w:rPr>
              <w:t xml:space="preserve">~623</w:t>
            </w:r>
          </w:p>
        </w:tc>
        <w:tc>
          <w:tcPr/>
          <w:p>
            <w:pPr>
              <w:pStyle w:val="Compact"/>
              <w:spacing w:line="360" w:lineRule="auto"/>
            </w:pPr>
            <w:r>
              <w:rPr>
                <w:rFonts w:ascii="Cambria" w:hAnsi="Cambria"/>
                <w:color w:val="000000"/>
              </w:rPr>
              <w:t xml:space="preserve">30.2%</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Q3</w:t>
            </w:r>
          </w:p>
        </w:tc>
        <w:tc>
          <w:tcPr/>
          <w:p>
            <w:pPr>
              <w:pStyle w:val="Compact"/>
              <w:spacing w:line="360" w:lineRule="auto"/>
            </w:pPr>
            <w:r>
              <w:rPr>
                <w:rFonts w:ascii="Cambria" w:hAnsi="Cambria"/>
                <w:color w:val="000000"/>
              </w:rPr>
              <w:t xml:space="preserve">~834</w:t>
            </w:r>
          </w:p>
        </w:tc>
        <w:tc>
          <w:tcPr/>
          <w:p>
            <w:pPr>
              <w:pStyle w:val="Compact"/>
              <w:spacing w:line="360" w:lineRule="auto"/>
            </w:pPr>
            <w:r>
              <w:rPr>
                <w:rFonts w:ascii="Cambria" w:hAnsi="Cambria"/>
                <w:color w:val="000000"/>
              </w:rPr>
              <w:t xml:space="preserve">30.5%</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Q4</w:t>
            </w:r>
          </w:p>
        </w:tc>
        <w:tc>
          <w:tcPr/>
          <w:p>
            <w:pPr>
              <w:pStyle w:val="Compact"/>
              <w:spacing w:line="360" w:lineRule="auto"/>
            </w:pPr>
            <w:r>
              <w:rPr>
                <w:rFonts w:ascii="Cambria" w:hAnsi="Cambria"/>
                <w:color w:val="000000"/>
              </w:rPr>
              <w:t xml:space="preserve">~1,050</w:t>
            </w:r>
          </w:p>
        </w:tc>
        <w:tc>
          <w:tcPr/>
          <w:p>
            <w:pPr>
              <w:pStyle w:val="Compact"/>
              <w:spacing w:line="360" w:lineRule="auto"/>
            </w:pPr>
            <w:r>
              <w:rPr>
                <w:rFonts w:ascii="Cambria" w:hAnsi="Cambria"/>
                <w:color w:val="000000"/>
              </w:rPr>
              <w:t xml:space="preserve">17.7%</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Q5 (most deprived)</w:t>
            </w:r>
          </w:p>
        </w:tc>
        <w:tc>
          <w:tcPr/>
          <w:p>
            <w:pPr>
              <w:pStyle w:val="Compact"/>
              <w:spacing w:line="360" w:lineRule="auto"/>
            </w:pPr>
            <w:r>
              <w:rPr>
                <w:rFonts w:ascii="Cambria" w:hAnsi="Cambria"/>
                <w:color w:val="000000"/>
              </w:rPr>
              <w:t xml:space="preserve">~1,048</w:t>
            </w:r>
          </w:p>
        </w:tc>
        <w:tc>
          <w:tcPr/>
          <w:p>
            <w:pPr>
              <w:pStyle w:val="Compact"/>
              <w:spacing w:line="360" w:lineRule="auto"/>
            </w:pPr>
            <w:r>
              <w:rPr>
                <w:rFonts w:ascii="Cambria" w:hAnsi="Cambria"/>
                <w:color w:val="000000"/>
              </w:rPr>
              <w:t xml:space="preserve">25.1%</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i/>
                <w:iCs/>
                <w:color w:val="000000"/>
              </w:rPr>
              <w:t xml:space="preserve">Kruskal-Wallis q (BH-corrected)</w:t>
            </w:r>
          </w:p>
        </w:tc>
        <w:tc>
          <w:tcPr/>
          <w:p>
            <w:pPr>
              <w:pStyle w:val="Compact"/>
              <w:spacing w:line="360" w:lineRule="auto"/>
            </w:pPr>
          </w:p>
        </w:tc>
        <w:tc>
          <w:tcPr/>
          <w:p>
            <w:pPr>
              <w:pStyle w:val="Compact"/>
              <w:spacing w:line="360" w:lineRule="auto"/>
            </w:pPr>
          </w:p>
        </w:tc>
        <w:tc>
          <w:tcPr/>
          <w:p>
            <w:pPr>
              <w:pStyle w:val="Compact"/>
              <w:spacing w:line="360" w:lineRule="auto"/>
            </w:pPr>
            <w:r>
              <w:rPr>
                <w:rFonts w:ascii="Cambria" w:hAnsi="Cambria"/>
                <w:i/>
                <w:iCs/>
                <w:color w:val="000000"/>
              </w:rPr>
              <w:t xml:space="preserve">&lt; 0.05</w:t>
            </w:r>
          </w:p>
        </w:tc>
      </w:tr>
      <w:tr>
        <w:tc>
          <w:tcPr/>
          <w:p>
            <w:pPr>
              <w:pStyle w:val="Compact"/>
              <w:spacing w:line="360" w:lineRule="auto"/>
            </w:pPr>
            <w:r>
              <w:rPr>
                <w:rFonts w:ascii="Cambria" w:hAnsi="Cambria"/>
                <w:b/>
                <w:bCs/>
                <w:color w:val="000000"/>
              </w:rPr>
              <w:t xml:space="preserve">IMI decomposition (marginal)</w:t>
            </w:r>
          </w:p>
        </w:tc>
        <w:tc>
          <w:tcPr/>
          <w:p>
            <w:pPr>
              <w:pStyle w:val="Compact"/>
              <w:spacing w:line="360" w:lineRule="auto"/>
            </w:pPr>
          </w:p>
        </w:tc>
        <w:tc>
          <w:tcPr/>
          <w:p>
            <w:pPr>
              <w:pStyle w:val="Compact"/>
              <w:spacing w:line="360" w:lineRule="auto"/>
            </w:pPr>
          </w:p>
        </w:tc>
        <w:tc>
          <w:tcPr/>
          <w:p>
            <w:pPr>
              <w:pStyle w:val="Compact"/>
              <w:spacing w:line="360" w:lineRule="auto"/>
            </w:pPr>
          </w:p>
        </w:tc>
      </w:tr>
      <w:tr>
        <w:tc>
          <w:tcPr/>
          <w:p>
            <w:pPr>
              <w:pStyle w:val="Compact"/>
              <w:spacing w:line="360" w:lineRule="auto"/>
            </w:pPr>
            <w:r>
              <w:rPr>
                <w:rFonts w:ascii="Cambria" w:hAnsi="Cambria"/>
                <w:color w:val="000000"/>
              </w:rPr>
              <w:t xml:space="preserve">IMI</w:t>
            </w:r>
            <w:r>
              <w:rPr>
                <w:rFonts w:ascii="Cambria" w:hAnsi="Cambria"/>
                <w:color w:val="000000"/>
                <w:vertAlign w:val="subscript"/>
              </w:rPr>
              <w:t xml:space="preserve">demographic</w:t>
            </w:r>
          </w:p>
        </w:tc>
        <w:tc>
          <w:tcPr/>
          <w:p>
            <w:pPr>
              <w:pStyle w:val="Compact"/>
              <w:spacing w:line="360" w:lineRule="auto"/>
            </w:pPr>
            <w:r>
              <w:rPr>
                <w:rFonts w:ascii="Cambria" w:hAnsi="Cambria"/>
                <w:color w:val="000000"/>
              </w:rPr>
              <w:t xml:space="preserve">6,995</w:t>
            </w:r>
          </w:p>
        </w:tc>
        <w:tc>
          <w:tcPr/>
          <w:p>
            <w:pPr>
              <w:pStyle w:val="Compact"/>
              <w:spacing w:line="360" w:lineRule="auto"/>
            </w:pPr>
            <w:r>
              <w:rPr>
                <w:rFonts w:ascii="Cambria" w:hAnsi="Cambria"/>
                <w:color w:val="000000"/>
              </w:rPr>
              <w:t xml:space="preserve">54.6%</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IMI</w:t>
            </w:r>
            <w:r>
              <w:rPr>
                <w:rFonts w:ascii="Cambria" w:hAnsi="Cambria"/>
                <w:color w:val="000000"/>
                <w:vertAlign w:val="subscript"/>
              </w:rPr>
              <w:t xml:space="preserve">clinical</w:t>
            </w:r>
          </w:p>
        </w:tc>
        <w:tc>
          <w:tcPr/>
          <w:p>
            <w:pPr>
              <w:pStyle w:val="Compact"/>
              <w:spacing w:line="360" w:lineRule="auto"/>
            </w:pPr>
            <w:r>
              <w:rPr>
                <w:rFonts w:ascii="Cambria" w:hAnsi="Cambria"/>
                <w:color w:val="000000"/>
              </w:rPr>
              <w:t xml:space="preserve">6,995</w:t>
            </w:r>
          </w:p>
        </w:tc>
        <w:tc>
          <w:tcPr/>
          <w:p>
            <w:pPr>
              <w:pStyle w:val="Compact"/>
              <w:spacing w:line="360" w:lineRule="auto"/>
            </w:pPr>
            <w:r>
              <w:rPr>
                <w:rFonts w:ascii="Cambria" w:hAnsi="Cambria"/>
                <w:color w:val="000000"/>
              </w:rPr>
              <w:t xml:space="preserve">46.8%</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b/>
                <w:bCs/>
                <w:color w:val="000000"/>
              </w:rPr>
              <w:t xml:space="preserve">Camden analog subgroup</w:t>
            </w:r>
          </w:p>
        </w:tc>
        <w:tc>
          <w:tcPr/>
          <w:p>
            <w:pPr>
              <w:pStyle w:val="Compact"/>
              <w:spacing w:line="360" w:lineRule="auto"/>
            </w:pPr>
          </w:p>
        </w:tc>
        <w:tc>
          <w:tcPr/>
          <w:p>
            <w:pPr>
              <w:pStyle w:val="Compact"/>
              <w:spacing w:line="360" w:lineRule="auto"/>
            </w:pPr>
          </w:p>
        </w:tc>
        <w:tc>
          <w:tcPr/>
          <w:p>
            <w:pPr>
              <w:pStyle w:val="Compact"/>
              <w:spacing w:line="360" w:lineRule="auto"/>
            </w:pPr>
          </w:p>
        </w:tc>
      </w:tr>
      <w:tr>
        <w:tc>
          <w:tcPr/>
          <w:p>
            <w:pPr>
              <w:pStyle w:val="Compact"/>
              <w:spacing w:line="360" w:lineRule="auto"/>
            </w:pPr>
            <w:r>
              <w:rPr>
                <w:rFonts w:ascii="Cambria" w:hAnsi="Cambria"/>
                <w:color w:val="000000"/>
              </w:rPr>
              <w:t xml:space="preserve">Camden analog profile (Charlson ≥ 4, prior IP ≥ 2)</w:t>
            </w:r>
          </w:p>
        </w:tc>
        <w:tc>
          <w:tcPr/>
          <w:p>
            <w:pPr>
              <w:pStyle w:val="Compact"/>
              <w:spacing w:line="360" w:lineRule="auto"/>
            </w:pPr>
            <w:r>
              <w:rPr>
                <w:rFonts w:ascii="Cambria" w:hAnsi="Cambria"/>
                <w:color w:val="000000"/>
              </w:rPr>
              <w:t xml:space="preserve">242</w:t>
            </w:r>
          </w:p>
        </w:tc>
        <w:tc>
          <w:tcPr/>
          <w:p>
            <w:pPr>
              <w:pStyle w:val="Compact"/>
              <w:spacing w:line="360" w:lineRule="auto"/>
            </w:pPr>
            <w:r>
              <w:rPr>
                <w:rFonts w:ascii="Cambria" w:hAnsi="Cambria"/>
                <w:color w:val="000000"/>
              </w:rPr>
              <w:t xml:space="preserve">90.9%</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b/>
                <w:bCs/>
                <w:color w:val="000000"/>
              </w:rPr>
              <w:t xml:space="preserve">Dual eligibility status</w:t>
            </w:r>
          </w:p>
        </w:tc>
        <w:tc>
          <w:tcPr/>
          <w:p>
            <w:pPr>
              <w:pStyle w:val="Compact"/>
              <w:spacing w:line="360" w:lineRule="auto"/>
            </w:pPr>
          </w:p>
        </w:tc>
        <w:tc>
          <w:tcPr/>
          <w:p>
            <w:pPr>
              <w:pStyle w:val="Compact"/>
              <w:spacing w:line="360" w:lineRule="auto"/>
            </w:pPr>
          </w:p>
        </w:tc>
        <w:tc>
          <w:tcPr/>
          <w:p>
            <w:pPr>
              <w:pStyle w:val="Compact"/>
              <w:spacing w:line="360" w:lineRule="auto"/>
            </w:pPr>
          </w:p>
        </w:tc>
      </w:tr>
      <w:tr>
        <w:tc>
          <w:tcPr/>
          <w:p>
            <w:pPr>
              <w:pStyle w:val="Compact"/>
              <w:spacing w:line="360" w:lineRule="auto"/>
            </w:pPr>
            <w:r>
              <w:rPr>
                <w:rFonts w:ascii="Cambria" w:hAnsi="Cambria"/>
                <w:color w:val="000000"/>
              </w:rPr>
              <w:t xml:space="preserve">Medicaid only / Medicaid + Medicare</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Not available†</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b/>
                <w:bCs/>
                <w:color w:val="000000"/>
              </w:rPr>
              <w:t xml:space="preserve">Primary language</w:t>
            </w:r>
          </w:p>
        </w:tc>
        <w:tc>
          <w:tcPr/>
          <w:p>
            <w:pPr>
              <w:pStyle w:val="Compact"/>
              <w:spacing w:line="360" w:lineRule="auto"/>
            </w:pPr>
          </w:p>
        </w:tc>
        <w:tc>
          <w:tcPr/>
          <w:p>
            <w:pPr>
              <w:pStyle w:val="Compact"/>
              <w:spacing w:line="360" w:lineRule="auto"/>
            </w:pPr>
          </w:p>
        </w:tc>
        <w:tc>
          <w:tcPr/>
          <w:p>
            <w:pPr>
              <w:pStyle w:val="Compact"/>
              <w:spacing w:line="360" w:lineRule="auto"/>
            </w:pPr>
          </w:p>
        </w:tc>
      </w:tr>
      <w:tr>
        <w:tc>
          <w:tcPr/>
          <w:p>
            <w:pPr>
              <w:pStyle w:val="Compact"/>
              <w:spacing w:line="360" w:lineRule="auto"/>
            </w:pPr>
            <w:r>
              <w:rPr>
                <w:rFonts w:ascii="Cambria" w:hAnsi="Cambria"/>
                <w:color w:val="000000"/>
              </w:rPr>
              <w:t xml:space="preserve">English</w:t>
            </w:r>
          </w:p>
        </w:tc>
        <w:tc>
          <w:tcPr/>
          <w:p>
            <w:pPr>
              <w:pStyle w:val="Compact"/>
              <w:spacing w:line="360" w:lineRule="auto"/>
            </w:pPr>
            <w:r>
              <w:rPr>
                <w:rFonts w:ascii="Cambria" w:hAnsi="Cambria"/>
                <w:color w:val="000000"/>
              </w:rPr>
              <w:t xml:space="preserve">6,995</w:t>
            </w:r>
          </w:p>
        </w:tc>
        <w:tc>
          <w:tcPr/>
          <w:p>
            <w:pPr>
              <w:pStyle w:val="Compact"/>
              <w:spacing w:line="360" w:lineRule="auto"/>
            </w:pPr>
            <w:r>
              <w:rPr>
                <w:rFonts w:ascii="Cambria" w:hAnsi="Cambria"/>
                <w:color w:val="000000"/>
              </w:rPr>
              <w:t xml:space="preserve">27.0%</w:t>
            </w:r>
          </w:p>
        </w:tc>
        <w:tc>
          <w:tcPr/>
          <w:p>
            <w:pPr>
              <w:pStyle w:val="Compact"/>
              <w:spacing w:line="360" w:lineRule="auto"/>
            </w:pPr>
            <w:r>
              <w:rPr>
                <w:rFonts w:ascii="Cambria" w:hAnsi="Cambria"/>
                <w:color w:val="000000"/>
              </w:rPr>
              <w:t xml:space="preserve">25.9%–28.1%</w:t>
            </w:r>
          </w:p>
        </w:tc>
      </w:tr>
      <w:tr>
        <w:tc>
          <w:tcPr/>
          <w:p>
            <w:pPr>
              <w:pStyle w:val="Compact"/>
              <w:spacing w:line="360" w:lineRule="auto"/>
            </w:pPr>
            <w:r>
              <w:rPr>
                <w:rFonts w:ascii="Cambria" w:hAnsi="Cambria"/>
                <w:color w:val="000000"/>
              </w:rPr>
              <w:t xml:space="preserve">Non-English</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Not available‡</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b/>
                <w:bCs/>
                <w:color w:val="000000"/>
              </w:rPr>
              <w:t xml:space="preserve">Race/ethnicity (n = 3,912 with available race code)</w:t>
            </w:r>
          </w:p>
        </w:tc>
        <w:tc>
          <w:tcPr/>
          <w:p>
            <w:pPr>
              <w:pStyle w:val="Compact"/>
              <w:spacing w:line="360" w:lineRule="auto"/>
            </w:pPr>
          </w:p>
        </w:tc>
        <w:tc>
          <w:tcPr/>
          <w:p>
            <w:pPr>
              <w:pStyle w:val="Compact"/>
              <w:spacing w:line="360" w:lineRule="auto"/>
            </w:pPr>
          </w:p>
        </w:tc>
        <w:tc>
          <w:tcPr/>
          <w:p>
            <w:pPr>
              <w:pStyle w:val="Compact"/>
              <w:spacing w:line="360" w:lineRule="auto"/>
            </w:pPr>
          </w:p>
        </w:tc>
      </w:tr>
      <w:tr>
        <w:tc>
          <w:tcPr/>
          <w:p>
            <w:pPr>
              <w:pStyle w:val="Compact"/>
              <w:spacing w:line="360" w:lineRule="auto"/>
            </w:pPr>
            <w:r>
              <w:rPr>
                <w:rFonts w:ascii="Cambria" w:hAnsi="Cambria"/>
                <w:color w:val="000000"/>
              </w:rPr>
              <w:t xml:space="preserve">Black non-Hispanic</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20.3%</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Hispanic</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16.5%</w:t>
            </w:r>
          </w:p>
        </w:tc>
        <w:tc>
          <w:tcPr/>
          <w:p>
            <w:pPr>
              <w:pStyle w:val="Compact"/>
              <w:spacing w:line="360" w:lineRule="auto"/>
            </w:pPr>
            <w:r>
              <w:rPr>
                <w:rFonts w:ascii="Cambria" w:hAnsi="Cambria"/>
                <w:color w:val="000000"/>
              </w:rPr>
              <w:t xml:space="preserve">—</w:t>
            </w:r>
          </w:p>
        </w:tc>
      </w:tr>
      <w:tr>
        <w:tc>
          <w:tcPr/>
          <w:p>
            <w:pPr>
              <w:pStyle w:val="Compact"/>
              <w:spacing w:line="360" w:lineRule="auto"/>
            </w:pPr>
            <w:r>
              <w:rPr>
                <w:rFonts w:ascii="Cambria" w:hAnsi="Cambria"/>
                <w:color w:val="000000"/>
              </w:rPr>
              <w:t xml:space="preserve">Unknown/Other (includes White non-Hispanic§)</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30.8%</w:t>
            </w:r>
          </w:p>
        </w:tc>
        <w:tc>
          <w:tcPr/>
          <w:p>
            <w:pPr>
              <w:pStyle w:val="Compact"/>
              <w:spacing w:line="360" w:lineRule="auto"/>
            </w:pPr>
            <w:r>
              <w:rPr>
                <w:rFonts w:ascii="Cambria" w:hAnsi="Cambria"/>
                <w:color w:val="000000"/>
              </w:rPr>
              <w:t xml:space="preserve">—</w:t>
            </w:r>
          </w:p>
        </w:tc>
      </w:tr>
    </w:tbl>
    <w:p>
      <w:pPr>
        <w:pStyle w:val="BodyText"/>
        <w:spacing w:line="360" w:lineRule="auto"/>
      </w:pPr>
      <w:r>
        <w:rPr>
          <w:rFonts w:ascii="Cambria" w:hAnsi="Cambria"/>
          <w:color w:val="000000"/>
        </w:rPr>
        <w:t xml:space="preserve">ADI = area deprivation index; IMI = Intervention Misalignment Index; BH = Benjamini-Hochberg; CI = confidence interval (2,000-resample bootstrap).</w:t>
      </w:r>
    </w:p>
    <w:p>
      <w:pPr>
        <w:pStyle w:val="BodyText"/>
        <w:spacing w:line="360" w:lineRule="auto"/>
      </w:pPr>
      <w:r>
        <w:rPr>
          <w:rFonts w:ascii="Cambria" w:hAnsi="Cambria"/>
          <w:color w:val="000000"/>
        </w:rPr>
        <w:t xml:space="preserve">IMI is the fraction of patients for whom the behavioral routing policy assigns an intervention type for which a better-matched alternative exists by a margin of at least 2 percentage points in predicted 90-day acute care event probability (ε = 0.02). IMI</w:t>
      </w:r>
      <w:r>
        <w:rPr>
          <w:rFonts w:ascii="Cambria" w:hAnsi="Cambria"/>
          <w:color w:val="000000"/>
          <w:vertAlign w:val="subscript"/>
        </w:rPr>
        <w:t xml:space="preserve">demographic</w:t>
      </w:r>
      <w:r>
        <w:rPr>
          <w:rFonts w:ascii="Cambria" w:hAnsi="Cambria"/>
          <w:color w:val="000000"/>
        </w:rPr>
        <w:t xml:space="preserve"> </w:t>
      </w:r>
      <w:r>
        <w:rPr>
          <w:rFonts w:ascii="Cambria" w:hAnsi="Cambria"/>
          <w:color w:val="000000"/>
        </w:rPr>
        <w:t xml:space="preserve">and IMI</w:t>
      </w:r>
      <w:r>
        <w:rPr>
          <w:rFonts w:ascii="Cambria" w:hAnsi="Cambria"/>
          <w:color w:val="000000"/>
          <w:vertAlign w:val="subscript"/>
        </w:rPr>
        <w:t xml:space="preserve">clinical</w:t>
      </w:r>
      <w:r>
        <w:rPr>
          <w:rFonts w:ascii="Cambria" w:hAnsi="Cambria"/>
          <w:color w:val="000000"/>
        </w:rPr>
        <w:t xml:space="preserve"> </w:t>
      </w:r>
      <w:r>
        <w:rPr>
          <w:rFonts w:ascii="Cambria" w:hAnsi="Cambria"/>
          <w:color w:val="000000"/>
        </w:rPr>
        <w:t xml:space="preserve">are marginal estimates computed over their respective restricted covariate subspaces; they are not additive components of the overall IMI (27.0%), which conditions simultaneously on both covariate sets. CIs are not reported for subgroup rows because bootstrap CIs over restricted covariate subspaces require group-specific pair construction not conducted in the primary analysis; the overall CI is reported in the main text.</w:t>
      </w:r>
    </w:p>
    <w:p>
      <w:pPr>
        <w:pStyle w:val="BodyText"/>
        <w:spacing w:line="360" w:lineRule="auto"/>
      </w:pPr>
      <w:r>
        <w:rPr>
          <w:rFonts w:ascii="Cambria" w:hAnsi="Cambria"/>
          <w:color w:val="000000"/>
        </w:rPr>
        <w:t xml:space="preserve">ADI quintile Ns reflect the 4,087 patients (58.4%) with residential ADI linkage; 2,908 patients lacked ADI linkage and are excluded from quintile rows.</w:t>
      </w:r>
    </w:p>
    <w:p>
      <w:pPr>
        <w:pStyle w:val="BodyText"/>
        <w:spacing w:line="360" w:lineRule="auto"/>
      </w:pPr>
      <w:r>
        <w:rPr>
          <w:rFonts w:ascii="Cambria" w:hAnsi="Cambria"/>
          <w:color w:val="000000"/>
        </w:rPr>
        <w:t xml:space="preserve">† Dual eligibility status (Medicaid-only vs. Medicaid + Medicare) was not captured in the administrative data extract used for this analysis and cannot be reported.</w:t>
      </w:r>
    </w:p>
    <w:p>
      <w:pPr>
        <w:pStyle w:val="BodyText"/>
        <w:spacing w:line="360" w:lineRule="auto"/>
      </w:pPr>
      <w:r>
        <w:rPr>
          <w:rFonts w:ascii="Cambria" w:hAnsi="Cambria"/>
          <w:color w:val="000000"/>
        </w:rPr>
        <w:t xml:space="preserve">‡ Primary language was not captured in the administrative data extract for this cohort; all patients were assigned the default value</w:t>
      </w:r>
      <w:r>
        <w:rPr>
          <w:rFonts w:ascii="Cambria" w:hAnsi="Cambria"/>
          <w:color w:val="000000"/>
        </w:rPr>
        <w:t xml:space="preserve"> </w:t>
      </w:r>
      <w:r>
        <w:rPr>
          <w:rFonts w:ascii="Cambria" w:hAnsi="Cambria"/>
          <w:color w:val="000000"/>
        </w:rPr>
        <w:t xml:space="preserve">“English”</w:t>
      </w:r>
      <w:r>
        <w:rPr>
          <w:rFonts w:ascii="Cambria" w:hAnsi="Cambria"/>
          <w:color w:val="000000"/>
        </w:rPr>
        <w:t xml:space="preserve"> </w:t>
      </w:r>
      <w:r>
        <w:rPr>
          <w:rFonts w:ascii="Cambria" w:hAnsi="Cambria"/>
          <w:color w:val="000000"/>
        </w:rPr>
        <w:t xml:space="preserve">in the data pipeline. Subgroup IMI by language is therefore not estimable from these data.</w:t>
      </w:r>
    </w:p>
    <w:p>
      <w:pPr>
        <w:pStyle w:val="BodyText"/>
        <w:spacing w:line="360" w:lineRule="auto"/>
      </w:pPr>
      <w:r>
        <w:rPr>
          <w:rFonts w:ascii="Cambria" w:hAnsi="Cambria"/>
          <w:color w:val="000000"/>
        </w:rPr>
        <w:t xml:space="preserve">§ White non-Hispanic patients are not separately identified in this administrative dataset; patients whose race code did not map to Black non-Hispanic or Hispanic (including white patients and those with missing race data) are grouped as Unknown/Other. Race/ethnicity code was available for 3,912 of 6,995 test patients (55.9%); patients with missing race code are included in the Unknown/Other stratum.</w:t>
      </w:r>
    </w:p>
    <w:p>
      <w:pPr>
        <w:spacing w:line="360" w:lineRule="auto"/>
      </w:pPr>
      <w:r>
        <w:rPr>
          <w:rFonts w:ascii="Cambria" w:hAnsi="Cambria"/>
          <w:color w:val="000000"/>
        </w:rPr>
        <w:pict>
          <v:rect style="width:0;height:1.5pt" o:hralign="center" o:hrstd="t" o:hr="t"/>
        </w:pict>
      </w:r>
    </w:p>
    <w:bookmarkEnd w:id="10"/>
    <w:bookmarkStart w:id="11" w:name="Xc49ab3f06a501c92beda42ec03675c066e2abbf"/>
    <w:p>
      <w:pPr>
        <w:pStyle w:val="Heading2"/>
        <w:spacing w:line="360" w:lineRule="auto"/>
      </w:pPr>
      <w:r>
        <w:rPr>
          <w:rFonts w:ascii="Cambria" w:hAnsi="Cambria"/>
          <w:color w:val="000000"/>
        </w:rPr>
        <w:t xml:space="preserve">Appendix Table 3. Pre-Specified Sensitivity Analysis Results</w:t>
      </w:r>
    </w:p>
    <w:p>
      <w:pPr>
        <w:pStyle w:val="FirstParagraph"/>
        <w:spacing w:line="360" w:lineRule="auto"/>
      </w:pPr>
      <w:r>
        <w:rPr>
          <w:rFonts w:ascii="Cambria" w:hAnsi="Cambria"/>
          <w:color w:val="000000"/>
        </w:rPr>
        <w:t xml:space="preserve">Appendix Table 3. Full pre-specified sensitivity analysis results (N = 20 analyses across 7 parameters)</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990"/>
        <w:gridCol w:w="990"/>
        <w:gridCol w:w="990"/>
        <w:gridCol w:w="990"/>
        <w:gridCol w:w="990"/>
        <w:gridCol w:w="990"/>
        <w:gridCol w:w="990"/>
        <w:gridCol w:w="990"/>
      </w:tblGrid>
      <w:tr>
        <w:trPr>
          <w:tblHeader w:val="on"/>
        </w:trPr>
        <w:tc>
          <w:tcPr/>
          <w:p>
            <w:pPr>
              <w:pStyle w:val="Compact"/>
              <w:spacing w:line="360" w:lineRule="auto"/>
            </w:pPr>
            <w:r>
              <w:rPr>
                <w:rFonts w:ascii="Cambria" w:hAnsi="Cambria"/>
                <w:color w:val="000000"/>
              </w:rPr>
              <w:t xml:space="preserve">Parameter varied</w:t>
            </w:r>
          </w:p>
        </w:tc>
        <w:tc>
          <w:tcPr/>
          <w:p>
            <w:pPr>
              <w:pStyle w:val="Compact"/>
              <w:spacing w:line="360" w:lineRule="auto"/>
            </w:pPr>
            <w:r>
              <w:rPr>
                <w:rFonts w:ascii="Cambria" w:hAnsi="Cambria"/>
                <w:color w:val="000000"/>
              </w:rPr>
              <w:t xml:space="preserve">Primary value</w:t>
            </w:r>
          </w:p>
        </w:tc>
        <w:tc>
          <w:tcPr/>
          <w:p>
            <w:pPr>
              <w:pStyle w:val="Compact"/>
              <w:spacing w:line="360" w:lineRule="auto"/>
            </w:pPr>
            <w:r>
              <w:rPr>
                <w:rFonts w:ascii="Cambria" w:hAnsi="Cambria"/>
                <w:color w:val="000000"/>
              </w:rPr>
              <w:t xml:space="preserve">Alt. values tested</w:t>
            </w:r>
          </w:p>
        </w:tc>
        <w:tc>
          <w:tcPr/>
          <w:p>
            <w:pPr>
              <w:pStyle w:val="Compact"/>
              <w:spacing w:line="360" w:lineRule="auto"/>
            </w:pPr>
            <w:r>
              <w:rPr>
                <w:rFonts w:ascii="Cambria" w:hAnsi="Cambria"/>
                <w:color w:val="000000"/>
              </w:rPr>
              <w:t xml:space="preserve">Requires retraining</w:t>
            </w:r>
          </w:p>
        </w:tc>
        <w:tc>
          <w:tcPr/>
          <w:p>
            <w:pPr>
              <w:pStyle w:val="Compact"/>
              <w:spacing w:line="360" w:lineRule="auto"/>
            </w:pPr>
            <w:r>
              <w:rPr>
                <w:rFonts w:ascii="Cambria" w:hAnsi="Cambria"/>
                <w:color w:val="000000"/>
              </w:rPr>
              <w:t xml:space="preserve">PEARL IMI (primary)</w:t>
            </w:r>
          </w:p>
        </w:tc>
        <w:tc>
          <w:tcPr/>
          <w:p>
            <w:pPr>
              <w:pStyle w:val="Compact"/>
              <w:spacing w:line="360" w:lineRule="auto"/>
            </w:pPr>
            <w:r>
              <w:rPr>
                <w:rFonts w:ascii="Cambria" w:hAnsi="Cambria"/>
                <w:color w:val="000000"/>
              </w:rPr>
              <w:t xml:space="preserve">PEARL DR-OPE (primary)</w:t>
            </w:r>
          </w:p>
        </w:tc>
        <w:tc>
          <w:tcPr/>
          <w:p>
            <w:pPr>
              <w:pStyle w:val="Compact"/>
              <w:spacing w:line="360" w:lineRule="auto"/>
            </w:pPr>
            <w:r>
              <w:rPr>
                <w:rFonts w:ascii="Cambria" w:hAnsi="Cambria"/>
                <w:color w:val="000000"/>
              </w:rPr>
              <w:t xml:space="preserve">Direction preserved</w:t>
            </w:r>
          </w:p>
        </w:tc>
        <w:tc>
          <w:tcPr/>
          <w:p>
            <w:pPr>
              <w:pStyle w:val="Compact"/>
              <w:spacing w:line="360" w:lineRule="auto"/>
            </w:pPr>
            <w:r>
              <w:rPr>
                <w:rFonts w:ascii="Cambria" w:hAnsi="Cambria"/>
                <w:color w:val="000000"/>
              </w:rPr>
              <w:t xml:space="preserve">Note</w:t>
            </w:r>
          </w:p>
        </w:tc>
      </w:tr>
      <w:tr>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window length</w:t>
            </w:r>
          </w:p>
        </w:tc>
        <w:tc>
          <w:tcPr/>
          <w:p>
            <w:pPr>
              <w:pStyle w:val="Compact"/>
              <w:spacing w:line="360" w:lineRule="auto"/>
            </w:pPr>
            <w:r>
              <w:rPr>
                <w:rFonts w:ascii="Cambria" w:hAnsi="Cambria"/>
                <w:color w:val="000000"/>
              </w:rPr>
              <w:t xml:space="preserve">60 days</w:t>
            </w:r>
          </w:p>
        </w:tc>
        <w:tc>
          <w:tcPr/>
          <w:p>
            <w:pPr>
              <w:pStyle w:val="Compact"/>
              <w:spacing w:line="360" w:lineRule="auto"/>
            </w:pPr>
            <w:r>
              <w:rPr>
                <w:rFonts w:ascii="Cambria" w:hAnsi="Cambria"/>
                <w:color w:val="000000"/>
              </w:rPr>
              <w:t xml:space="preserve">30, 90 days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IMI and DR-OPE stable across all 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values (0.0% relative change)</w:t>
            </w:r>
          </w:p>
        </w:tc>
      </w:tr>
      <w:tr>
        <w:tc>
          <w:tcPr/>
          <w:p>
            <w:pPr>
              <w:pStyle w:val="Compact"/>
              <w:spacing w:line="360" w:lineRule="auto"/>
            </w:pPr>
            <w:r>
              <w:rPr>
                <w:rFonts w:ascii="Cambria" w:hAnsi="Cambria"/>
                <w:color w:val="000000"/>
              </w:rPr>
              <w:t xml:space="preserve">IPTW clip threshold</w:t>
            </w:r>
          </w:p>
        </w:tc>
        <w:tc>
          <w:tcPr/>
          <w:p>
            <w:pPr>
              <w:pStyle w:val="Compact"/>
              <w:spacing w:line="360" w:lineRule="auto"/>
            </w:pPr>
            <w:r>
              <w:rPr>
                <w:rFonts w:ascii="Cambria" w:hAnsi="Cambria"/>
                <w:color w:val="000000"/>
              </w:rPr>
              <w:t xml:space="preserve">10</w:t>
            </w:r>
          </w:p>
        </w:tc>
        <w:tc>
          <w:tcPr/>
          <w:p>
            <w:pPr>
              <w:pStyle w:val="Compact"/>
              <w:spacing w:line="360" w:lineRule="auto"/>
            </w:pPr>
            <w:r>
              <w:rPr>
                <w:rFonts w:ascii="Cambria" w:hAnsi="Cambria"/>
                <w:color w:val="000000"/>
              </w:rPr>
              <w:t xml:space="preserve">5, 20</w:t>
            </w:r>
          </w:p>
        </w:tc>
        <w:tc>
          <w:tcPr/>
          <w:p>
            <w:pPr>
              <w:pStyle w:val="Compact"/>
              <w:spacing w:line="360" w:lineRule="auto"/>
            </w:pPr>
            <w:r>
              <w:rPr>
                <w:rFonts w:ascii="Cambria" w:hAnsi="Cambria"/>
                <w:color w:val="000000"/>
              </w:rPr>
              <w:t xml:space="preserve">No (eval only)</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DR-OPE magnitude varies (0.043 at clip=5; 0.039 at clip=20); direction preserved at both values</w:t>
            </w:r>
          </w:p>
        </w:tc>
      </w:tr>
      <w:tr>
        <w:tc>
          <w:tcPr/>
          <w:p>
            <w:pPr>
              <w:pStyle w:val="Compact"/>
              <w:spacing w:line="360" w:lineRule="auto"/>
            </w:pPr>
            <w:r>
              <w:rPr>
                <w:rFonts w:ascii="Cambria" w:hAnsi="Cambria"/>
                <w:color w:val="000000"/>
              </w:rPr>
              <w:t xml:space="preserve">DPO β (KL regularization)</w:t>
            </w:r>
          </w:p>
        </w:tc>
        <w:tc>
          <w:tcPr/>
          <w:p>
            <w:pPr>
              <w:pStyle w:val="Compact"/>
              <w:spacing w:line="360" w:lineRule="auto"/>
            </w:pPr>
            <w:r>
              <w:rPr>
                <w:rFonts w:ascii="Cambria" w:hAnsi="Cambria"/>
                <w:color w:val="000000"/>
              </w:rPr>
              <w:t xml:space="preserve">0.10</w:t>
            </w:r>
          </w:p>
        </w:tc>
        <w:tc>
          <w:tcPr/>
          <w:p>
            <w:pPr>
              <w:pStyle w:val="Compact"/>
              <w:spacing w:line="360" w:lineRule="auto"/>
            </w:pPr>
            <w:r>
              <w:rPr>
                <w:rFonts w:ascii="Cambria" w:hAnsi="Cambria"/>
                <w:color w:val="000000"/>
              </w:rPr>
              <w:t xml:space="preserve">0.05, 0.20</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IMI and DR-OPE stable across all β values (0.0% relative change)</w:t>
            </w:r>
          </w:p>
        </w:tc>
      </w:tr>
      <w:tr>
        <w:tc>
          <w:tcPr/>
          <w:p>
            <w:pPr>
              <w:pStyle w:val="Compact"/>
              <w:spacing w:line="360" w:lineRule="auto"/>
            </w:pPr>
            <w:r>
              <w:rPr>
                <w:rFonts w:ascii="Cambria" w:hAnsi="Cambria"/>
                <w:color w:val="000000"/>
              </w:rPr>
              <w:t xml:space="preserve">Outcome window</w:t>
            </w:r>
          </w:p>
        </w:tc>
        <w:tc>
          <w:tcPr/>
          <w:p>
            <w:pPr>
              <w:pStyle w:val="Compact"/>
              <w:spacing w:line="360" w:lineRule="auto"/>
            </w:pPr>
            <w:r>
              <w:rPr>
                <w:rFonts w:ascii="Cambria" w:hAnsi="Cambria"/>
                <w:color w:val="000000"/>
              </w:rPr>
              <w:t xml:space="preserve">90 days</w:t>
            </w:r>
          </w:p>
        </w:tc>
        <w:tc>
          <w:tcPr/>
          <w:p>
            <w:pPr>
              <w:pStyle w:val="Compact"/>
              <w:spacing w:line="360" w:lineRule="auto"/>
            </w:pPr>
            <w:r>
              <w:rPr>
                <w:rFonts w:ascii="Cambria" w:hAnsi="Cambria"/>
                <w:color w:val="000000"/>
              </w:rPr>
              <w:t xml:space="preserve">30, 60 days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IMI and DR-OPE stable across all outcome window values (0.0% relative change)</w:t>
            </w:r>
          </w:p>
        </w:tc>
      </w:tr>
      <w:tr>
        <w:tc>
          <w:tcPr/>
          <w:p>
            <w:pPr>
              <w:pStyle w:val="Compact"/>
              <w:spacing w:line="360" w:lineRule="auto"/>
            </w:pPr>
            <w:r>
              <w:rPr>
                <w:rFonts w:ascii="Cambria" w:hAnsi="Cambria"/>
                <w:color w:val="000000"/>
              </w:rPr>
              <w:t xml:space="preserve">Trajectory slope covariate</w:t>
            </w:r>
          </w:p>
        </w:tc>
        <w:tc>
          <w:tcPr/>
          <w:p>
            <w:pPr>
              <w:pStyle w:val="Compact"/>
              <w:spacing w:line="360" w:lineRule="auto"/>
            </w:pPr>
            <w:r>
              <w:rPr>
                <w:rFonts w:ascii="Cambria" w:hAnsi="Cambria"/>
                <w:color w:val="000000"/>
              </w:rPr>
              <w:t xml:space="preserve">Included</w:t>
            </w:r>
          </w:p>
        </w:tc>
        <w:tc>
          <w:tcPr/>
          <w:p>
            <w:pPr>
              <w:pStyle w:val="Compact"/>
              <w:spacing w:line="360" w:lineRule="auto"/>
            </w:pPr>
            <w:r>
              <w:rPr>
                <w:rFonts w:ascii="Cambria" w:hAnsi="Cambria"/>
                <w:color w:val="000000"/>
              </w:rPr>
              <w:t xml:space="preserve">Excluded</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IMI stable; T1 SMD = 0.143 mandates inclusion as primary specification</w:t>
            </w:r>
          </w:p>
        </w:tc>
      </w:tr>
      <w:tr>
        <w:tc>
          <w:tcPr/>
          <w:p>
            <w:pPr>
              <w:pStyle w:val="Compact"/>
              <w:spacing w:line="360" w:lineRule="auto"/>
            </w:pPr>
            <w:r>
              <w:rPr>
                <w:rFonts w:ascii="Cambria" w:hAnsi="Cambria"/>
                <w:color w:val="000000"/>
              </w:rPr>
              <w:t xml:space="preserve">WPAD type restriction</w:t>
            </w:r>
          </w:p>
        </w:tc>
        <w:tc>
          <w:tcPr/>
          <w:p>
            <w:pPr>
              <w:pStyle w:val="Compact"/>
              <w:spacing w:line="360" w:lineRule="auto"/>
            </w:pPr>
            <w:r>
              <w:rPr>
                <w:rFonts w:ascii="Cambria" w:hAnsi="Cambria"/>
                <w:color w:val="000000"/>
              </w:rPr>
              <w:t xml:space="preserve">All types</w:t>
            </w:r>
          </w:p>
        </w:tc>
        <w:tc>
          <w:tcPr/>
          <w:p>
            <w:pPr>
              <w:pStyle w:val="Compact"/>
              <w:spacing w:line="360" w:lineRule="auto"/>
            </w:pPr>
            <w:r>
              <w:rPr>
                <w:rFonts w:ascii="Cambria" w:hAnsi="Cambria"/>
                <w:color w:val="000000"/>
              </w:rPr>
              <w:t xml:space="preserve">Type 1 only, Type 3 only</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IMI stable across all WPAD direction restrictions (0.0% relative change)</w:t>
            </w:r>
          </w:p>
        </w:tc>
      </w:tr>
      <w:tr>
        <w:tc>
          <w:tcPr/>
          <w:p>
            <w:pPr>
              <w:pStyle w:val="Compact"/>
              <w:spacing w:line="360" w:lineRule="auto"/>
            </w:pPr>
            <w:r>
              <w:rPr>
                <w:rFonts w:ascii="Cambria" w:hAnsi="Cambria"/>
                <w:color w:val="000000"/>
              </w:rPr>
              <w:t xml:space="preserve">IMI threshold ε</w:t>
            </w:r>
          </w:p>
        </w:tc>
        <w:tc>
          <w:tcPr/>
          <w:p>
            <w:pPr>
              <w:pStyle w:val="Compact"/>
              <w:spacing w:line="360" w:lineRule="auto"/>
            </w:pPr>
            <w:r>
              <w:rPr>
                <w:rFonts w:ascii="Cambria" w:hAnsi="Cambria"/>
                <w:color w:val="000000"/>
              </w:rPr>
              <w:t xml:space="preserve">0.02</w:t>
            </w:r>
          </w:p>
        </w:tc>
        <w:tc>
          <w:tcPr/>
          <w:p>
            <w:pPr>
              <w:pStyle w:val="Compact"/>
              <w:spacing w:line="360" w:lineRule="auto"/>
            </w:pPr>
            <w:r>
              <w:rPr>
                <w:rFonts w:ascii="Cambria" w:hAnsi="Cambria"/>
                <w:color w:val="000000"/>
              </w:rPr>
              <w:t xml:space="preserve">0.01, 0.05</w:t>
            </w:r>
          </w:p>
        </w:tc>
        <w:tc>
          <w:tcPr/>
          <w:p>
            <w:pPr>
              <w:pStyle w:val="Compact"/>
              <w:spacing w:line="360" w:lineRule="auto"/>
            </w:pPr>
            <w:r>
              <w:rPr>
                <w:rFonts w:ascii="Cambria" w:hAnsi="Cambria"/>
                <w:color w:val="000000"/>
              </w:rPr>
              <w:t xml:space="preserve">No (eval only)</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b/>
                <w:bCs/>
                <w:color w:val="000000"/>
              </w:rPr>
              <w:t xml:space="preserve">No at ε=0.01 (major sensitivity finding)</w:t>
            </w:r>
          </w:p>
        </w:tc>
        <w:tc>
          <w:tcPr/>
          <w:p>
            <w:pPr>
              <w:pStyle w:val="Compact"/>
              <w:spacing w:line="360" w:lineRule="auto"/>
            </w:pPr>
            <w:r>
              <w:rPr>
                <w:rFonts w:ascii="Cambria" w:hAnsi="Cambria"/>
                <w:color w:val="000000"/>
              </w:rPr>
              <w:t xml:space="preserve">ε=0.01: PEARL IMI=81.3% (+3,990% magnitude, direction change — major sensitivity finding per pre-registered protocol); ε=0.05: PEARL IMI=2.9% (+45% magnitude, direction preserved at this lenient threshold)</w:t>
            </w:r>
          </w:p>
        </w:tc>
      </w:tr>
      <w:tr>
        <w:tc>
          <w:tcPr/>
          <w:p>
            <w:pPr>
              <w:pStyle w:val="Compact"/>
              <w:spacing w:line="360" w:lineRule="auto"/>
            </w:pPr>
            <w:r>
              <w:rPr>
                <w:rFonts w:ascii="Cambria" w:hAnsi="Cambria"/>
                <w:color w:val="000000"/>
              </w:rPr>
              <w:t xml:space="preserve">Cross-parameter (7)</w:t>
            </w:r>
          </w:p>
        </w:tc>
        <w:tc>
          <w:tcPr/>
          <w:p>
            <w:pPr>
              <w:pStyle w:val="Compact"/>
              <w:spacing w:line="360" w:lineRule="auto"/>
            </w:pPr>
            <w:r>
              <w:rPr>
                <w:rFonts w:ascii="Cambria" w:hAnsi="Cambria"/>
                <w:color w:val="000000"/>
              </w:rPr>
              <w:t xml:space="preserve">See text</w:t>
            </w:r>
          </w:p>
        </w:tc>
        <w:tc>
          <w:tcPr/>
          <w:p>
            <w:pPr>
              <w:pStyle w:val="Compact"/>
              <w:spacing w:line="360" w:lineRule="auto"/>
            </w:pPr>
            <w:r>
              <w:rPr>
                <w:rFonts w:ascii="Cambria" w:hAnsi="Cambria"/>
                <w:color w:val="000000"/>
              </w:rPr>
              <w:t xml:space="preserve">See text</w:t>
            </w:r>
          </w:p>
        </w:tc>
        <w:tc>
          <w:tcPr/>
          <w:p>
            <w:pPr>
              <w:pStyle w:val="Compact"/>
              <w:spacing w:line="360" w:lineRule="auto"/>
            </w:pPr>
            <w:r>
              <w:rPr>
                <w:rFonts w:ascii="Cambria" w:hAnsi="Cambria"/>
                <w:color w:val="000000"/>
              </w:rPr>
              <w:t xml:space="preserve">Mixed</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0.027</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All 7 combinations stable; IMI 1.99%–2.04%, DR-OPE 0.027–0.067</w:t>
            </w:r>
          </w:p>
        </w:tc>
      </w:tr>
      <w:tr>
        <w:tc>
          <w:tcPr/>
          <w:p>
            <w:pPr>
              <w:pStyle w:val="Compact"/>
              <w:spacing w:line="360" w:lineRule="auto"/>
            </w:pPr>
            <w:r>
              <w:rPr>
                <w:rFonts w:ascii="Cambria" w:hAnsi="Cambria"/>
                <w:b/>
                <w:bCs/>
                <w:color w:val="000000"/>
              </w:rPr>
              <w:t xml:space="preserve">Summary</w:t>
            </w:r>
          </w:p>
        </w:tc>
        <w:tc>
          <w:tcPr/>
          <w:p>
            <w:pPr>
              <w:pStyle w:val="Compact"/>
              <w:spacing w:line="360" w:lineRule="auto"/>
            </w:pPr>
          </w:p>
        </w:tc>
        <w:tc>
          <w:tcPr/>
          <w:p>
            <w:pPr>
              <w:pStyle w:val="Compact"/>
              <w:spacing w:line="360" w:lineRule="auto"/>
            </w:pPr>
          </w:p>
        </w:tc>
        <w:tc>
          <w:tcPr/>
          <w:p>
            <w:pPr>
              <w:pStyle w:val="Compact"/>
              <w:spacing w:line="360" w:lineRule="auto"/>
            </w:pPr>
          </w:p>
        </w:tc>
        <w:tc>
          <w:tcPr/>
          <w:p>
            <w:pPr>
              <w:pStyle w:val="Compact"/>
              <w:spacing w:line="360" w:lineRule="auto"/>
            </w:pPr>
            <w:r>
              <w:rPr>
                <w:rFonts w:ascii="Cambria" w:hAnsi="Cambria"/>
                <w:b/>
                <w:bCs/>
                <w:color w:val="000000"/>
              </w:rPr>
              <w:t xml:space="preserve">2.0%</w:t>
            </w:r>
          </w:p>
        </w:tc>
        <w:tc>
          <w:tcPr/>
          <w:p>
            <w:pPr>
              <w:pStyle w:val="Compact"/>
              <w:spacing w:line="360" w:lineRule="auto"/>
            </w:pPr>
            <w:r>
              <w:rPr>
                <w:rFonts w:ascii="Cambria" w:hAnsi="Cambria"/>
                <w:b/>
                <w:bCs/>
                <w:color w:val="000000"/>
              </w:rPr>
              <w:t xml:space="preserve">0.027</w:t>
            </w:r>
          </w:p>
        </w:tc>
        <w:tc>
          <w:tcPr/>
          <w:p>
            <w:pPr>
              <w:pStyle w:val="Compact"/>
              <w:spacing w:line="360" w:lineRule="auto"/>
            </w:pPr>
            <w:r>
              <w:rPr>
                <w:rFonts w:ascii="Cambria" w:hAnsi="Cambria"/>
                <w:b/>
                <w:bCs/>
                <w:color w:val="000000"/>
              </w:rPr>
              <w:t xml:space="preserve">19/20 direction preserved; 1 direction change at ε=0.01 (major)</w:t>
            </w:r>
          </w:p>
        </w:tc>
        <w:tc>
          <w:tcPr/>
          <w:p>
            <w:pPr>
              <w:pStyle w:val="Compact"/>
              <w:spacing w:line="360" w:lineRule="auto"/>
            </w:pPr>
          </w:p>
        </w:tc>
      </w:tr>
    </w:tbl>
    <w:p>
      <w:pPr>
        <w:pStyle w:val="BodyText"/>
        <w:spacing w:line="360" w:lineRule="auto"/>
      </w:pPr>
      <w:r>
        <w:rPr>
          <w:rFonts w:ascii="Cambria" w:hAnsi="Cambria"/>
          <w:color w:val="000000"/>
        </w:rPr>
        <w:t xml:space="preserve">Primary values are the anchor values registered before any holdout evaluation. A direction change in primary results (beneficial → harmful or vice versa, relative to behavioral routing) was pre-specified as a major limitation trigger; a &gt;25% relative magnitude change without direction change was a moderate finding. The ε = 0.01 sensitivity finding is classified as a major sensitivity: at a 1 percentage-point minimum threshold, subtle mismatches that are clinically negligible are captured, substantially increasing apparent IMI. The 2 percentage-point primary threshold was pre-specified as the minimum clinically meaningful difference in predicted acute care event probability between intervention types; the major sensitivity finding indicates that below this threshold, PEARL’s IMI advantage is sensitive to threshold specification. DR-OPE direction was preserved across all 20 sensitivity analyses. See Appendix Figure 3 for the full sensitivity visualization.</w:t>
      </w:r>
    </w:p>
    <w:p>
      <w:pPr>
        <w:spacing w:line="360" w:lineRule="auto"/>
      </w:pPr>
      <w:r>
        <w:rPr>
          <w:rFonts w:ascii="Cambria" w:hAnsi="Cambria"/>
          <w:color w:val="000000"/>
        </w:rPr>
        <w:pict>
          <v:rect style="width:0;height:1.5pt" o:hralign="center" o:hrstd="t" o:hr="t"/>
        </w:pict>
      </w:r>
    </w:p>
    <w:bookmarkEnd w:id="11"/>
    <w:bookmarkStart w:id="12" w:name="X1be399a37560c2fcae7a82e865db83faa9cd89c"/>
    <w:p>
      <w:pPr>
        <w:pStyle w:val="Heading2"/>
        <w:spacing w:line="360" w:lineRule="auto"/>
      </w:pPr>
      <w:r>
        <w:rPr>
          <w:rFonts w:ascii="Cambria" w:hAnsi="Cambria"/>
          <w:color w:val="000000"/>
        </w:rPr>
        <w:t xml:space="preserve">Appendix Table 4. Pre-Specified Falsification Test Results for the WPAD Identification Assumption</w:t>
      </w:r>
    </w:p>
    <w:p>
      <w:pPr>
        <w:pStyle w:val="FirstParagraph"/>
        <w:spacing w:line="360" w:lineRule="auto"/>
      </w:pPr>
      <w:r>
        <w:rPr>
          <w:rFonts w:ascii="Cambria" w:hAnsi="Cambria"/>
          <w:color w:val="000000"/>
        </w:rPr>
        <w:t xml:space="preserve">Six pre-specified falsification tests (T1–T6) were conducted to assess the administrative exogeneity assumption of the Within-Patient Administrative Discontinuity (WPAD) design. Each test was pre-registered before any holdout evaluation and evaluated against a fixed decision rule: PASS (test does not reject administrative exogeneity at the Bonferroni-corrected threshold), CONCERN (test identifies a potential violation, triggering a pre-specified contingency protocol), or INCONCLUSIVE by design (test could not be executed due to a structural data limitation — e.g., insufficient directional pair variation — disclosed as an identification limitation rather than as a violation indicator).</w:t>
      </w:r>
    </w:p>
    <w:p>
      <w:pPr>
        <w:pStyle w:val="BodyText"/>
        <w:spacing w:line="360" w:lineRule="auto"/>
      </w:pPr>
      <w:r>
        <w:rPr>
          <w:rFonts w:ascii="Cambria" w:hAnsi="Cambria"/>
          <w:color w:val="000000"/>
        </w:rPr>
        <w:t xml:space="preserve">Appendix Table 4. Pre-specified falsification test results for the WPAD administrative exogeneity assumption</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84"/>
        <w:gridCol w:w="1584"/>
        <w:gridCol w:w="1584"/>
        <w:gridCol w:w="1584"/>
        <w:gridCol w:w="1584"/>
      </w:tblGrid>
      <w:tr>
        <w:trPr>
          <w:tblHeader w:val="on"/>
        </w:trPr>
        <w:tc>
          <w:tcPr/>
          <w:p>
            <w:pPr>
              <w:pStyle w:val="Compact"/>
              <w:spacing w:line="360" w:lineRule="auto"/>
            </w:pPr>
            <w:r>
              <w:rPr>
                <w:rFonts w:ascii="Cambria" w:hAnsi="Cambria"/>
                <w:color w:val="000000"/>
              </w:rPr>
              <w:t xml:space="preserve">Test</w:t>
            </w:r>
          </w:p>
        </w:tc>
        <w:tc>
          <w:tcPr/>
          <w:p>
            <w:pPr>
              <w:pStyle w:val="Compact"/>
              <w:spacing w:line="360" w:lineRule="auto"/>
            </w:pPr>
            <w:r>
              <w:rPr>
                <w:rFonts w:ascii="Cambria" w:hAnsi="Cambria"/>
                <w:color w:val="000000"/>
              </w:rPr>
              <w:t xml:space="preserve">Description</w:t>
            </w:r>
          </w:p>
        </w:tc>
        <w:tc>
          <w:tcPr/>
          <w:p>
            <w:pPr>
              <w:pStyle w:val="Compact"/>
              <w:spacing w:line="360" w:lineRule="auto"/>
            </w:pPr>
            <w:r>
              <w:rPr>
                <w:rFonts w:ascii="Cambria" w:hAnsi="Cambria"/>
                <w:color w:val="000000"/>
              </w:rPr>
              <w:t xml:space="preserve">Statistic</w:t>
            </w:r>
          </w:p>
        </w:tc>
        <w:tc>
          <w:tcPr/>
          <w:p>
            <w:pPr>
              <w:pStyle w:val="Compact"/>
              <w:spacing w:line="360" w:lineRule="auto"/>
            </w:pPr>
            <w:r>
              <w:rPr>
                <w:rFonts w:ascii="Cambria" w:hAnsi="Cambria"/>
                <w:color w:val="000000"/>
              </w:rPr>
              <w:t xml:space="preserve">Result</w:t>
            </w:r>
          </w:p>
        </w:tc>
        <w:tc>
          <w:tcPr/>
          <w:p>
            <w:pPr>
              <w:pStyle w:val="Compact"/>
              <w:spacing w:line="360" w:lineRule="auto"/>
            </w:pPr>
            <w:r>
              <w:rPr>
                <w:rFonts w:ascii="Cambria" w:hAnsi="Cambria"/>
                <w:color w:val="000000"/>
              </w:rPr>
              <w:t xml:space="preserve">Action</w:t>
            </w:r>
          </w:p>
        </w:tc>
      </w:tr>
      <w:tr>
        <w:tc>
          <w:tcPr/>
          <w:p>
            <w:pPr>
              <w:pStyle w:val="Compact"/>
              <w:spacing w:line="360" w:lineRule="auto"/>
            </w:pPr>
            <w:r>
              <w:rPr>
                <w:rFonts w:ascii="Cambria" w:hAnsi="Cambria"/>
                <w:color w:val="000000"/>
              </w:rPr>
              <w:t xml:space="preserve">T1</w:t>
            </w:r>
          </w:p>
        </w:tc>
        <w:tc>
          <w:tcPr/>
          <w:p>
            <w:pPr>
              <w:pStyle w:val="Compact"/>
              <w:spacing w:line="360" w:lineRule="auto"/>
            </w:pPr>
            <w:r>
              <w:rPr>
                <w:rFonts w:ascii="Cambria" w:hAnsi="Cambria"/>
                <w:color w:val="000000"/>
              </w:rPr>
              <w:t xml:space="preserve">Covariate balance: clinical characteristics before the WPAD event are balanced between patients in ON-window vs. OFF-window sub-samples</w:t>
            </w:r>
          </w:p>
        </w:tc>
        <w:tc>
          <w:tcPr/>
          <w:p>
            <w:pPr>
              <w:pStyle w:val="Compact"/>
              <w:spacing w:line="360" w:lineRule="auto"/>
            </w:pPr>
            <w:r>
              <w:rPr>
                <w:rFonts w:ascii="Cambria" w:hAnsi="Cambria"/>
                <w:color w:val="000000"/>
              </w:rPr>
              <w:t xml:space="preserve">Paired t-test on within-patient pre-event covariate differences</w:t>
            </w:r>
          </w:p>
        </w:tc>
        <w:tc>
          <w:tcPr/>
          <w:p>
            <w:pPr>
              <w:pStyle w:val="Compact"/>
              <w:spacing w:line="360" w:lineRule="auto"/>
            </w:pPr>
            <w:r>
              <w:rPr>
                <w:rFonts w:ascii="Cambria" w:hAnsi="Cambria"/>
                <w:color w:val="000000"/>
              </w:rPr>
              <w:t xml:space="preserve">PASS — max |SMD| = 0.143 (threshold: |SMD| &lt; 0.20); borderline between</w:t>
            </w:r>
            <w:r>
              <w:rPr>
                <w:rFonts w:ascii="Cambria" w:hAnsi="Cambria"/>
                <w:color w:val="000000"/>
              </w:rPr>
              <w:t xml:space="preserve"> </w:t>
            </w:r>
            <w:r>
              <w:rPr>
                <w:rFonts w:ascii="Cambria" w:hAnsi="Cambria"/>
                <w:color w:val="000000"/>
              </w:rPr>
              <w:t xml:space="preserve">“good”</w:t>
            </w:r>
            <w:r>
              <w:rPr>
                <w:rFonts w:ascii="Cambria" w:hAnsi="Cambria"/>
                <w:color w:val="000000"/>
              </w:rPr>
              <w:t xml:space="preserve"> </w:t>
            </w:r>
            <w:r>
              <w:rPr>
                <w:rFonts w:ascii="Cambria" w:hAnsi="Cambria"/>
                <w:color w:val="000000"/>
              </w:rPr>
              <w:t xml:space="preserve">(&lt; 0.10) and</w:t>
            </w:r>
            <w:r>
              <w:rPr>
                <w:rFonts w:ascii="Cambria" w:hAnsi="Cambria"/>
                <w:color w:val="000000"/>
              </w:rPr>
              <w:t xml:space="preserve"> </w:t>
            </w:r>
            <w:r>
              <w:rPr>
                <w:rFonts w:ascii="Cambria" w:hAnsi="Cambria"/>
                <w:color w:val="000000"/>
              </w:rPr>
              <w:t xml:space="preserve">“acceptable”</w:t>
            </w:r>
            <w:r>
              <w:rPr>
                <w:rFonts w:ascii="Cambria" w:hAnsi="Cambria"/>
                <w:color w:val="000000"/>
              </w:rPr>
              <w:t xml:space="preserve"> </w:t>
            </w:r>
            <w:r>
              <w:rPr>
                <w:rFonts w:ascii="Cambria" w:hAnsi="Cambria"/>
                <w:color w:val="000000"/>
              </w:rPr>
              <w:t xml:space="preserve">(|SMD| 0.10–0.20) balance → trajectory slope covariate (δ_i) added as mandatory covariate in all primary analyses per pre-specified T1 protocol</w:t>
            </w:r>
          </w:p>
        </w:tc>
        <w:tc>
          <w:tcPr/>
          <w:p>
            <w:pPr>
              <w:pStyle w:val="Compact"/>
              <w:spacing w:line="360" w:lineRule="auto"/>
            </w:pPr>
            <w:r>
              <w:rPr>
                <w:rFonts w:ascii="Cambria" w:hAnsi="Cambria"/>
                <w:color w:val="000000"/>
              </w:rPr>
              <w:t xml:space="preserve">Administrative exogeneity supported; trajectory covariate included throughout</w:t>
            </w:r>
          </w:p>
        </w:tc>
      </w:tr>
      <w:tr>
        <w:tc>
          <w:tcPr/>
          <w:p>
            <w:pPr>
              <w:pStyle w:val="Compact"/>
              <w:spacing w:line="360" w:lineRule="auto"/>
            </w:pPr>
            <w:r>
              <w:rPr>
                <w:rFonts w:ascii="Cambria" w:hAnsi="Cambria"/>
                <w:color w:val="000000"/>
              </w:rPr>
              <w:t xml:space="preserve">T2</w:t>
            </w:r>
          </w:p>
        </w:tc>
        <w:tc>
          <w:tcPr/>
          <w:p>
            <w:pPr>
              <w:pStyle w:val="Compact"/>
              <w:spacing w:line="360" w:lineRule="auto"/>
            </w:pPr>
            <w:r>
              <w:rPr>
                <w:rFonts w:ascii="Cambria" w:hAnsi="Cambria"/>
                <w:color w:val="000000"/>
              </w:rPr>
              <w:t xml:space="preserve">Placebo outcomes: 12-month pre-event outcomes show no association with future WPAD event occurrence</w:t>
            </w:r>
          </w:p>
        </w:tc>
        <w:tc>
          <w:tcPr/>
          <w:p>
            <w:pPr>
              <w:pStyle w:val="Compact"/>
              <w:spacing w:line="360" w:lineRule="auto"/>
            </w:pPr>
            <w:r>
              <w:rPr>
                <w:rFonts w:ascii="Cambria" w:hAnsi="Cambria"/>
                <w:color w:val="000000"/>
              </w:rPr>
              <w:t xml:space="preserve">Logistic regression of pre-event outcomes on</w:t>
            </w:r>
            <w:r>
              <w:rPr>
                <w:rFonts w:ascii="Cambria" w:hAnsi="Cambria"/>
                <w:color w:val="000000"/>
              </w:rPr>
              <w:t xml:space="preserve"> </w:t>
            </w:r>
            <w:r>
              <w:rPr>
                <w:rFonts w:ascii="Cambria" w:hAnsi="Cambria"/>
                <w:color w:val="000000"/>
              </w:rPr>
              <w:t xml:space="preserve">“will this patient have a WPAD event in the next 6 months?”</w:t>
            </w:r>
            <w:r>
              <w:rPr>
                <w:rFonts w:ascii="Cambria" w:hAnsi="Cambria"/>
                <w:color w:val="000000"/>
              </w:rPr>
              <w:t xml:space="preserve">; AUC</w:t>
            </w:r>
          </w:p>
        </w:tc>
        <w:tc>
          <w:tcPr/>
          <w:p>
            <w:pPr>
              <w:pStyle w:val="Compact"/>
              <w:spacing w:line="360" w:lineRule="auto"/>
            </w:pPr>
            <w:r>
              <w:rPr>
                <w:rFonts w:ascii="Cambria" w:hAnsi="Cambria"/>
                <w:color w:val="000000"/>
              </w:rPr>
              <w:t xml:space="preserve">PASS — AUC ≈ 0.50; Bonferroni-corrected p non-significant; lagged health does not predict churn timing</w:t>
            </w:r>
          </w:p>
        </w:tc>
        <w:tc>
          <w:tcPr/>
          <w:p>
            <w:pPr>
              <w:pStyle w:val="Compact"/>
              <w:spacing w:line="360" w:lineRule="auto"/>
            </w:pPr>
            <w:r>
              <w:rPr>
                <w:rFonts w:ascii="Cambria" w:hAnsi="Cambria"/>
                <w:color w:val="000000"/>
              </w:rPr>
              <w:t xml:space="preserve">Administrative exogeneity supported; placebo test does not reject null</w:t>
            </w:r>
          </w:p>
        </w:tc>
      </w:tr>
      <w:tr>
        <w:tc>
          <w:tcPr/>
          <w:p>
            <w:pPr>
              <w:pStyle w:val="Compact"/>
              <w:spacing w:line="360" w:lineRule="auto"/>
            </w:pPr>
            <w:r>
              <w:rPr>
                <w:rFonts w:ascii="Cambria" w:hAnsi="Cambria"/>
                <w:color w:val="000000"/>
              </w:rPr>
              <w:t xml:space="preserve">T3</w:t>
            </w:r>
          </w:p>
        </w:tc>
        <w:tc>
          <w:tcPr/>
          <w:p>
            <w:pPr>
              <w:pStyle w:val="Compact"/>
              <w:spacing w:line="360" w:lineRule="auto"/>
            </w:pPr>
            <w:r>
              <w:rPr>
                <w:rFonts w:ascii="Cambria" w:hAnsi="Cambria"/>
                <w:color w:val="000000"/>
              </w:rPr>
              <w:t xml:space="preserve">Administrative predictors of onboarding timing: lagged health trajectory variables do not predict WPAD event timing conditional on observed covariates</w:t>
            </w:r>
          </w:p>
        </w:tc>
        <w:tc>
          <w:tcPr/>
          <w:p>
            <w:pPr>
              <w:pStyle w:val="Compact"/>
              <w:spacing w:line="360" w:lineRule="auto"/>
            </w:pPr>
            <w:r>
              <w:rPr>
                <w:rFonts w:ascii="Cambria" w:hAnsi="Cambria"/>
                <w:color w:val="000000"/>
              </w:rPr>
              <w:t xml:space="preserve">F-test of joint significance of lagged health trajectory predictors in logistic regression of WPAD event timing</w:t>
            </w:r>
          </w:p>
        </w:tc>
        <w:tc>
          <w:tcPr/>
          <w:p>
            <w:pPr>
              <w:pStyle w:val="Compact"/>
              <w:spacing w:line="360" w:lineRule="auto"/>
            </w:pPr>
            <w:r>
              <w:rPr>
                <w:rFonts w:ascii="Cambria" w:hAnsi="Cambria"/>
                <w:color w:val="000000"/>
              </w:rPr>
              <w:t xml:space="preserve">PASS — F-test non-significant (p = 0.94, Bonferroni-corrected); health trajectory does not predict onboarding timing</w:t>
            </w:r>
          </w:p>
        </w:tc>
        <w:tc>
          <w:tcPr/>
          <w:p>
            <w:pPr>
              <w:pStyle w:val="Compact"/>
              <w:spacing w:line="360" w:lineRule="auto"/>
            </w:pPr>
            <w:r>
              <w:rPr>
                <w:rFonts w:ascii="Cambria" w:hAnsi="Cambria"/>
                <w:color w:val="000000"/>
              </w:rPr>
              <w:t xml:space="preserve">Administrative exogeneity supported; primary analysis proceeds</w:t>
            </w:r>
          </w:p>
        </w:tc>
      </w:tr>
      <w:tr>
        <w:tc>
          <w:tcPr/>
          <w:p>
            <w:pPr>
              <w:pStyle w:val="Compact"/>
              <w:spacing w:line="360" w:lineRule="auto"/>
            </w:pPr>
            <w:r>
              <w:rPr>
                <w:rFonts w:ascii="Cambria" w:hAnsi="Cambria"/>
                <w:color w:val="000000"/>
              </w:rPr>
              <w:t xml:space="preserve">T4</w:t>
            </w:r>
          </w:p>
        </w:tc>
        <w:tc>
          <w:tcPr/>
          <w:p>
            <w:pPr>
              <w:pStyle w:val="Compact"/>
              <w:spacing w:line="360" w:lineRule="auto"/>
            </w:pPr>
            <w:r>
              <w:rPr>
                <w:rFonts w:ascii="Cambria" w:hAnsi="Cambria"/>
                <w:color w:val="000000"/>
              </w:rPr>
              <w:t xml:space="preserve">Density continuity: non-care-management healthcare events (pharmacy fills, primary care visits) are continuous at the WPAD boundary</w:t>
            </w:r>
          </w:p>
        </w:tc>
        <w:tc>
          <w:tcPr/>
          <w:p>
            <w:pPr>
              <w:pStyle w:val="Compact"/>
              <w:spacing w:line="360" w:lineRule="auto"/>
            </w:pPr>
            <w:r>
              <w:rPr>
                <w:rFonts w:ascii="Cambria" w:hAnsi="Cambria"/>
                <w:color w:val="000000"/>
              </w:rPr>
              <w:t xml:space="preserve">Event-study regression in calendar time around the WPAD transition</w:t>
            </w:r>
          </w:p>
        </w:tc>
        <w:tc>
          <w:tcPr/>
          <w:p>
            <w:pPr>
              <w:pStyle w:val="Compact"/>
              <w:spacing w:line="360" w:lineRule="auto"/>
            </w:pPr>
            <w:r>
              <w:rPr>
                <w:rFonts w:ascii="Cambria" w:hAnsi="Cambria"/>
                <w:color w:val="000000"/>
              </w:rPr>
              <w:t xml:space="preserve">PASS — no sharp discontinuity detected in pharmacy fill rate or primary care visit rate at WPAD boundary</w:t>
            </w:r>
          </w:p>
        </w:tc>
        <w:tc>
          <w:tcPr/>
          <w:p>
            <w:pPr>
              <w:pStyle w:val="Compact"/>
              <w:spacing w:line="360" w:lineRule="auto"/>
            </w:pPr>
            <w:r>
              <w:rPr>
                <w:rFonts w:ascii="Cambria" w:hAnsi="Cambria"/>
                <w:color w:val="000000"/>
              </w:rPr>
              <w:t xml:space="preserve">Exclusion restriction (care management is the only pathway affected) supported</w:t>
            </w:r>
          </w:p>
        </w:tc>
      </w:tr>
      <w:tr>
        <w:tc>
          <w:tcPr/>
          <w:p>
            <w:pPr>
              <w:pStyle w:val="Compact"/>
              <w:spacing w:line="360" w:lineRule="auto"/>
            </w:pPr>
            <w:r>
              <w:rPr>
                <w:rFonts w:ascii="Cambria" w:hAnsi="Cambria"/>
                <w:color w:val="000000"/>
              </w:rPr>
              <w:t xml:space="preserve">T5</w:t>
            </w:r>
          </w:p>
        </w:tc>
        <w:tc>
          <w:tcPr/>
          <w:p>
            <w:pPr>
              <w:pStyle w:val="Compact"/>
              <w:spacing w:line="360" w:lineRule="auto"/>
            </w:pPr>
            <w:r>
              <w:rPr>
                <w:rFonts w:ascii="Cambria" w:hAnsi="Cambria"/>
                <w:color w:val="000000"/>
              </w:rPr>
              <w:t xml:space="preserve">Heterogeneous LATE: local average treatment effect differs by WPAD type (Type 1 vs. Type 3)</w:t>
            </w:r>
          </w:p>
        </w:tc>
        <w:tc>
          <w:tcPr/>
          <w:p>
            <w:pPr>
              <w:pStyle w:val="Compact"/>
              <w:spacing w:line="360" w:lineRule="auto"/>
            </w:pPr>
            <w:r>
              <w:rPr>
                <w:rFonts w:ascii="Cambria" w:hAnsi="Cambria"/>
                <w:color w:val="000000"/>
              </w:rPr>
              <w:t xml:space="preserve">Separate LATE estimation by WPAD type; relative difference</w:t>
            </w:r>
          </w:p>
        </w:tc>
        <w:tc>
          <w:tcPr/>
          <w:p>
            <w:pPr>
              <w:pStyle w:val="Compact"/>
              <w:spacing w:line="360" w:lineRule="auto"/>
            </w:pPr>
            <w:r>
              <w:rPr>
                <w:rFonts w:ascii="Cambria" w:hAnsi="Cambria"/>
                <w:color w:val="000000"/>
              </w:rPr>
              <w:t xml:space="preserve">CONCERN — LATE difference of 58.5% between Type 1 (ACO onboarding) and Type 3 (Medicaid churn) estimates</w:t>
            </w:r>
          </w:p>
        </w:tc>
        <w:tc>
          <w:tcPr/>
          <w:p>
            <w:pPr>
              <w:pStyle w:val="Compact"/>
              <w:spacing w:line="360" w:lineRule="auto"/>
            </w:pPr>
            <w:r>
              <w:rPr>
                <w:rFonts w:ascii="Cambria" w:hAnsi="Cambria"/>
                <w:color w:val="000000"/>
              </w:rPr>
              <w:t xml:space="preserve">Pre-specified contingency triggered: primary analysis restricted to Type 1 pairs, which carry the most defensible administrative exogeneity</w:t>
            </w:r>
          </w:p>
        </w:tc>
      </w:tr>
      <w:tr>
        <w:tc>
          <w:tcPr/>
          <w:p>
            <w:pPr>
              <w:pStyle w:val="Compact"/>
              <w:spacing w:line="360" w:lineRule="auto"/>
            </w:pPr>
            <w:r>
              <w:rPr>
                <w:rFonts w:ascii="Cambria" w:hAnsi="Cambria"/>
                <w:color w:val="000000"/>
              </w:rPr>
              <w:t xml:space="preserve">T6</w:t>
            </w:r>
          </w:p>
        </w:tc>
        <w:tc>
          <w:tcPr/>
          <w:p>
            <w:pPr>
              <w:pStyle w:val="Compact"/>
              <w:spacing w:line="360" w:lineRule="auto"/>
            </w:pPr>
            <w:r>
              <w:rPr>
                <w:rFonts w:ascii="Cambria" w:hAnsi="Cambria"/>
                <w:color w:val="000000"/>
              </w:rPr>
              <w:t xml:space="preserve">Direction-of-time: stationarity within Type 1 pairs (all OFF→ON direction)</w:t>
            </w:r>
          </w:p>
        </w:tc>
        <w:tc>
          <w:tcPr/>
          <w:p>
            <w:pPr>
              <w:pStyle w:val="Compact"/>
              <w:spacing w:line="360" w:lineRule="auto"/>
            </w:pPr>
            <w:r>
              <w:rPr>
                <w:rFonts w:ascii="Cambria" w:hAnsi="Cambria"/>
                <w:color w:val="000000"/>
              </w:rPr>
              <w:t xml:space="preserve">Stratified analysis by temporal direction of ON/OFF windows</w:t>
            </w:r>
          </w:p>
        </w:tc>
        <w:tc>
          <w:tcPr/>
          <w:p>
            <w:pPr>
              <w:pStyle w:val="Compact"/>
              <w:spacing w:line="360" w:lineRule="auto"/>
            </w:pPr>
            <w:r>
              <w:rPr>
                <w:rFonts w:ascii="Cambria" w:hAnsi="Cambria"/>
                <w:color w:val="000000"/>
              </w:rPr>
              <w:t xml:space="preserve">INCONCLUSIVE by design — all Type 1 pairs share the same OFF→ON direction (ACO onboarding by construction produces only pre-enrollment→post-enrollment windows); no ON→OFF pairs are available for directional comparison</w:t>
            </w:r>
          </w:p>
        </w:tc>
        <w:tc>
          <w:tcPr/>
          <w:p>
            <w:pPr>
              <w:pStyle w:val="Compact"/>
              <w:spacing w:line="360" w:lineRule="auto"/>
            </w:pPr>
            <w:r>
              <w:rPr>
                <w:rFonts w:ascii="Cambria" w:hAnsi="Cambria"/>
                <w:color w:val="000000"/>
              </w:rPr>
              <w:t xml:space="preserve">Disclosed as structural limitation; temporal confounding within Type 1 cannot be tested via this test; trajectory slope covariate (added per T1 protocol) serves as the stationarity robustness measure</w:t>
            </w:r>
          </w:p>
        </w:tc>
      </w:tr>
    </w:tbl>
    <w:p>
      <w:pPr>
        <w:pStyle w:val="BodyText"/>
        <w:spacing w:line="360" w:lineRule="auto"/>
      </w:pPr>
      <w:r>
        <w:rPr>
          <w:rFonts w:ascii="Cambria" w:hAnsi="Cambria"/>
          <w:color w:val="000000"/>
        </w:rPr>
        <w:t xml:space="preserve">WPAD = Within-Patient Administrative Discontinuity; LATE = local average treatment effect; AUC = area under the receiver operating characteristic curve.</w:t>
      </w:r>
    </w:p>
    <w:p>
      <w:pPr>
        <w:pStyle w:val="BodyText"/>
        <w:spacing w:line="360" w:lineRule="auto"/>
      </w:pPr>
      <w:r>
        <w:rPr>
          <w:rFonts w:ascii="Cambria" w:hAnsi="Cambria"/>
          <w:color w:val="000000"/>
        </w:rPr>
        <w:t xml:space="preserve">The T5 CONCERN and T6 INCONCLUSIVE by design result are disclosed transparently and discussed as identification limitations in the main manuscript Discussion. INCONCLUSIVE by design indicates the test could not be executed due to a structural limitation of the available data (all Type 1 pairs are single-direction), rather than indicating a violation of administrative exogeneity. T1 passes the pre-specified |SMD| &lt; 0.20 threshold but falls in the 0.10–0.20</w:t>
      </w:r>
      <w:r>
        <w:rPr>
          <w:rFonts w:ascii="Cambria" w:hAnsi="Cambria"/>
          <w:color w:val="000000"/>
        </w:rPr>
        <w:t xml:space="preserve"> </w:t>
      </w:r>
      <w:r>
        <w:rPr>
          <w:rFonts w:ascii="Cambria" w:hAnsi="Cambria"/>
          <w:color w:val="000000"/>
        </w:rPr>
        <w:t xml:space="preserve">“borderline”</w:t>
      </w:r>
      <w:r>
        <w:rPr>
          <w:rFonts w:ascii="Cambria" w:hAnsi="Cambria"/>
          <w:color w:val="000000"/>
        </w:rPr>
        <w:t xml:space="preserve"> </w:t>
      </w:r>
      <w:r>
        <w:rPr>
          <w:rFonts w:ascii="Cambria" w:hAnsi="Cambria"/>
          <w:color w:val="000000"/>
        </w:rPr>
        <w:t xml:space="preserve">range; the mandatory trajectory slope covariate (δ_i) is included in all primary analyses per the T1 pre-specified protocol. The primary analysis restriction to Type 1 pairs (ACO staggered onboarding) reflects the pre-specified contingency protocol for T5 CONCERN and not a post-hoc decision. These limitations motivate the planned prospective stepped-wedge randomized trial.</w:t>
      </w:r>
    </w:p>
    <w:p>
      <w:pPr>
        <w:spacing w:line="360" w:lineRule="auto"/>
      </w:pPr>
      <w:r>
        <w:rPr>
          <w:rFonts w:ascii="Cambria" w:hAnsi="Cambria"/>
          <w:color w:val="000000"/>
        </w:rPr>
        <w:pict>
          <v:rect style="width:0;height:1.5pt" o:hralign="center" o:hrstd="t" o:hr="t"/>
        </w:pict>
      </w:r>
    </w:p>
    <w:bookmarkEnd w:id="12"/>
    <w:bookmarkStart w:id="13" w:name="Xfa7fbcbd1352d11a62213002746f12fbada18fb"/>
    <w:p>
      <w:pPr>
        <w:pStyle w:val="Heading2"/>
        <w:spacing w:line="360" w:lineRule="auto"/>
      </w:pPr>
      <w:r>
        <w:rPr>
          <w:rFonts w:ascii="Cambria" w:hAnsi="Cambria"/>
          <w:color w:val="000000"/>
        </w:rPr>
        <w:t xml:space="preserve">Appendix Table 5. Comparator Description, Citation, and Ablation Role</w:t>
      </w:r>
    </w:p>
    <w:p>
      <w:pPr>
        <w:pStyle w:val="FirstParagraph"/>
        <w:spacing w:line="360" w:lineRule="auto"/>
      </w:pPr>
      <w:r>
        <w:rPr>
          <w:rFonts w:ascii="Cambria" w:hAnsi="Cambria"/>
          <w:color w:val="000000"/>
        </w:rPr>
        <w:t xml:space="preserve">Eight comparators (C1–C8) were pre-registered before any holdout evaluation. The ablation structure is designed so that each comparator pair isolates one component of PEARL: the WPAD identification signal, the DPO loss formulation, the natural language output format, or the performance relative to the strongest published benchmark.</w:t>
      </w:r>
    </w:p>
    <w:p>
      <w:pPr>
        <w:pStyle w:val="BodyText"/>
        <w:spacing w:line="360" w:lineRule="auto"/>
      </w:pPr>
      <w:r>
        <w:rPr>
          <w:rFonts w:ascii="Cambria" w:hAnsi="Cambria"/>
          <w:color w:val="000000"/>
        </w:rPr>
        <w:t xml:space="preserve">Appendix Table 5. Pre-registered comparators: description, citation, and ablation role in the PEARL evaluation hierarchy</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84"/>
        <w:gridCol w:w="1584"/>
        <w:gridCol w:w="1584"/>
        <w:gridCol w:w="1584"/>
        <w:gridCol w:w="1584"/>
      </w:tblGrid>
      <w:tr>
        <w:trPr>
          <w:tblHeader w:val="on"/>
        </w:trPr>
        <w:tc>
          <w:tcPr/>
          <w:p>
            <w:pPr>
              <w:pStyle w:val="Compact"/>
              <w:spacing w:line="360" w:lineRule="auto"/>
            </w:pPr>
            <w:r>
              <w:rPr>
                <w:rFonts w:ascii="Cambria" w:hAnsi="Cambria"/>
                <w:color w:val="000000"/>
              </w:rPr>
              <w:t xml:space="preserve">Label</w:t>
            </w:r>
          </w:p>
        </w:tc>
        <w:tc>
          <w:tcPr/>
          <w:p>
            <w:pPr>
              <w:pStyle w:val="Compact"/>
              <w:spacing w:line="360" w:lineRule="auto"/>
            </w:pPr>
            <w:r>
              <w:rPr>
                <w:rFonts w:ascii="Cambria" w:hAnsi="Cambria"/>
                <w:color w:val="000000"/>
              </w:rPr>
              <w:t xml:space="preserve">Comparator</w:t>
            </w:r>
          </w:p>
        </w:tc>
        <w:tc>
          <w:tcPr/>
          <w:p>
            <w:pPr>
              <w:pStyle w:val="Compact"/>
              <w:spacing w:line="360" w:lineRule="auto"/>
            </w:pPr>
            <w:r>
              <w:rPr>
                <w:rFonts w:ascii="Cambria" w:hAnsi="Cambria"/>
                <w:color w:val="000000"/>
              </w:rPr>
              <w:t xml:space="preserve">Method</w:t>
            </w:r>
          </w:p>
        </w:tc>
        <w:tc>
          <w:tcPr/>
          <w:p>
            <w:pPr>
              <w:pStyle w:val="Compact"/>
              <w:spacing w:line="360" w:lineRule="auto"/>
            </w:pPr>
            <w:r>
              <w:rPr>
                <w:rFonts w:ascii="Cambria" w:hAnsi="Cambria"/>
                <w:color w:val="000000"/>
              </w:rPr>
              <w:t xml:space="preserve">Ablation role</w:t>
            </w:r>
          </w:p>
        </w:tc>
        <w:tc>
          <w:tcPr/>
          <w:p>
            <w:pPr>
              <w:pStyle w:val="Compact"/>
              <w:spacing w:line="360" w:lineRule="auto"/>
            </w:pPr>
            <w:r>
              <w:rPr>
                <w:rFonts w:ascii="Cambria" w:hAnsi="Cambria"/>
                <w:color w:val="000000"/>
              </w:rPr>
              <w:t xml:space="preserve">Citation</w:t>
            </w:r>
          </w:p>
        </w:tc>
      </w:tr>
      <w:tr>
        <w:tc>
          <w:tcPr/>
          <w:p>
            <w:pPr>
              <w:pStyle w:val="Compact"/>
              <w:spacing w:line="360" w:lineRule="auto"/>
            </w:pPr>
            <w:r>
              <w:rPr>
                <w:rFonts w:ascii="Cambria" w:hAnsi="Cambria"/>
                <w:color w:val="000000"/>
              </w:rPr>
              <w:t xml:space="preserve">C1</w:t>
            </w:r>
          </w:p>
        </w:tc>
        <w:tc>
          <w:tcPr/>
          <w:p>
            <w:pPr>
              <w:pStyle w:val="Compact"/>
              <w:spacing w:line="360" w:lineRule="auto"/>
            </w:pPr>
            <w:r>
              <w:rPr>
                <w:rFonts w:ascii="Cambria" w:hAnsi="Cambria"/>
                <w:color w:val="000000"/>
              </w:rPr>
              <w:t xml:space="preserve">LACE Index</w:t>
            </w:r>
          </w:p>
        </w:tc>
        <w:tc>
          <w:tcPr/>
          <w:p>
            <w:pPr>
              <w:pStyle w:val="Compact"/>
              <w:spacing w:line="360" w:lineRule="auto"/>
            </w:pPr>
            <w:r>
              <w:rPr>
                <w:rFonts w:ascii="Cambria" w:hAnsi="Cambria"/>
                <w:color w:val="000000"/>
              </w:rPr>
              <w:t xml:space="preserve">Four-variable risk-score triage (length of stay, acuity of admission, comorbidity, emergency department visits in prior 6 months) applied to binary routing</w:t>
            </w:r>
          </w:p>
        </w:tc>
        <w:tc>
          <w:tcPr/>
          <w:p>
            <w:pPr>
              <w:pStyle w:val="Compact"/>
              <w:spacing w:line="360" w:lineRule="auto"/>
            </w:pPr>
            <w:r>
              <w:rPr>
                <w:rFonts w:ascii="Cambria" w:hAnsi="Cambria"/>
                <w:color w:val="000000"/>
              </w:rPr>
              <w:t xml:space="preserve">Standard-of-care baseline: risk stratification without intervention type specificity</w:t>
            </w:r>
          </w:p>
        </w:tc>
        <w:tc>
          <w:tcPr/>
          <w:p>
            <w:pPr>
              <w:pStyle w:val="Compact"/>
              <w:spacing w:line="360" w:lineRule="auto"/>
            </w:pPr>
            <w:r>
              <w:rPr>
                <w:rFonts w:ascii="Cambria" w:hAnsi="Cambria"/>
                <w:color w:val="000000"/>
              </w:rPr>
              <w:t xml:space="preserve">van Walraven et al.,</w:t>
            </w:r>
            <w:r>
              <w:rPr>
                <w:rFonts w:ascii="Cambria" w:hAnsi="Cambria"/>
                <w:color w:val="000000"/>
              </w:rPr>
              <w:t xml:space="preserve"> </w:t>
            </w:r>
            <w:r>
              <w:rPr>
                <w:rFonts w:ascii="Cambria" w:hAnsi="Cambria"/>
                <w:i/>
                <w:iCs/>
                <w:color w:val="000000"/>
              </w:rPr>
              <w:t xml:space="preserve">CMAJ</w:t>
            </w:r>
            <w:r>
              <w:rPr>
                <w:rFonts w:ascii="Cambria" w:hAnsi="Cambria"/>
                <w:color w:val="000000"/>
              </w:rPr>
              <w:t xml:space="preserve"> </w:t>
            </w:r>
            <w:r>
              <w:rPr>
                <w:rFonts w:ascii="Cambria" w:hAnsi="Cambria"/>
                <w:color w:val="000000"/>
              </w:rPr>
              <w:t xml:space="preserve">2010</w:t>
            </w:r>
            <w:r>
              <w:rPr>
                <w:rFonts w:ascii="Cambria" w:hAnsi="Cambria"/>
                <w:color w:val="000000"/>
                <w:vertAlign w:val="superscript"/>
              </w:rPr>
              <w:t xml:space="preserve">3</w:t>
            </w:r>
          </w:p>
        </w:tc>
      </w:tr>
      <w:tr>
        <w:tc>
          <w:tcPr/>
          <w:p>
            <w:pPr>
              <w:pStyle w:val="Compact"/>
              <w:spacing w:line="360" w:lineRule="auto"/>
            </w:pPr>
            <w:r>
              <w:rPr>
                <w:rFonts w:ascii="Cambria" w:hAnsi="Cambria"/>
                <w:color w:val="000000"/>
              </w:rPr>
              <w:t xml:space="preserve">C2</w:t>
            </w:r>
          </w:p>
        </w:tc>
        <w:tc>
          <w:tcPr/>
          <w:p>
            <w:pPr>
              <w:pStyle w:val="Compact"/>
              <w:spacing w:line="360" w:lineRule="auto"/>
            </w:pPr>
            <w:r>
              <w:rPr>
                <w:rFonts w:ascii="Cambria" w:hAnsi="Cambria"/>
                <w:color w:val="000000"/>
              </w:rPr>
              <w:t xml:space="preserve">HOSPITAL Score</w:t>
            </w:r>
          </w:p>
        </w:tc>
        <w:tc>
          <w:tcPr/>
          <w:p>
            <w:pPr>
              <w:pStyle w:val="Compact"/>
              <w:spacing w:line="360" w:lineRule="auto"/>
            </w:pPr>
            <w:r>
              <w:rPr>
                <w:rFonts w:ascii="Cambria" w:hAnsi="Cambria"/>
                <w:color w:val="000000"/>
              </w:rPr>
              <w:t xml:space="preserve">Seven-variable risk-score triage applied to readmission risk stratification</w:t>
            </w:r>
          </w:p>
        </w:tc>
        <w:tc>
          <w:tcPr/>
          <w:p>
            <w:pPr>
              <w:pStyle w:val="Compact"/>
              <w:spacing w:line="360" w:lineRule="auto"/>
            </w:pPr>
            <w:r>
              <w:rPr>
                <w:rFonts w:ascii="Cambria" w:hAnsi="Cambria"/>
                <w:color w:val="000000"/>
              </w:rPr>
              <w:t xml:space="preserve">Second standard-of-care baseline: alternative risk score, same routing limitation</w:t>
            </w:r>
          </w:p>
        </w:tc>
        <w:tc>
          <w:tcPr/>
          <w:p>
            <w:pPr>
              <w:pStyle w:val="Compact"/>
              <w:spacing w:line="360" w:lineRule="auto"/>
            </w:pPr>
            <w:r>
              <w:rPr>
                <w:rFonts w:ascii="Cambria" w:hAnsi="Cambria"/>
                <w:color w:val="000000"/>
              </w:rPr>
              <w:t xml:space="preserve">Donzé et al.,</w:t>
            </w:r>
            <w:r>
              <w:rPr>
                <w:rFonts w:ascii="Cambria" w:hAnsi="Cambria"/>
                <w:color w:val="000000"/>
              </w:rPr>
              <w:t xml:space="preserve"> </w:t>
            </w:r>
            <w:r>
              <w:rPr>
                <w:rFonts w:ascii="Cambria" w:hAnsi="Cambria"/>
                <w:i/>
                <w:iCs/>
                <w:color w:val="000000"/>
              </w:rPr>
              <w:t xml:space="preserve">JAMA Intern Med</w:t>
            </w:r>
            <w:r>
              <w:rPr>
                <w:rFonts w:ascii="Cambria" w:hAnsi="Cambria"/>
                <w:color w:val="000000"/>
              </w:rPr>
              <w:t xml:space="preserve"> </w:t>
            </w:r>
            <w:r>
              <w:rPr>
                <w:rFonts w:ascii="Cambria" w:hAnsi="Cambria"/>
                <w:color w:val="000000"/>
              </w:rPr>
              <w:t xml:space="preserve">2013</w:t>
            </w:r>
            <w:r>
              <w:rPr>
                <w:rFonts w:ascii="Cambria" w:hAnsi="Cambria"/>
                <w:color w:val="000000"/>
                <w:vertAlign w:val="superscript"/>
              </w:rPr>
              <w:t xml:space="preserve">4</w:t>
            </w:r>
          </w:p>
        </w:tc>
      </w:tr>
      <w:tr>
        <w:tc>
          <w:tcPr/>
          <w:p>
            <w:pPr>
              <w:pStyle w:val="Compact"/>
              <w:spacing w:line="360" w:lineRule="auto"/>
            </w:pPr>
            <w:r>
              <w:rPr>
                <w:rFonts w:ascii="Cambria" w:hAnsi="Cambria"/>
                <w:color w:val="000000"/>
              </w:rPr>
              <w:t xml:space="preserve">C3</w:t>
            </w:r>
          </w:p>
        </w:tc>
        <w:tc>
          <w:tcPr/>
          <w:p>
            <w:pPr>
              <w:pStyle w:val="Compact"/>
              <w:spacing w:line="360" w:lineRule="auto"/>
            </w:pPr>
            <w:r>
              <w:rPr>
                <w:rFonts w:ascii="Cambria" w:hAnsi="Cambria"/>
                <w:color w:val="000000"/>
              </w:rPr>
              <w:t xml:space="preserve">XGBoost</w:t>
            </w:r>
          </w:p>
        </w:tc>
        <w:tc>
          <w:tcPr/>
          <w:p>
            <w:pPr>
              <w:pStyle w:val="Compact"/>
              <w:spacing w:line="360" w:lineRule="auto"/>
            </w:pPr>
            <w:r>
              <w:rPr>
                <w:rFonts w:ascii="Cambria" w:hAnsi="Cambria"/>
                <w:color w:val="000000"/>
              </w:rPr>
              <w:t xml:space="preserve">Gradient-boosted readmission risk prediction trained on claims features</w:t>
            </w:r>
          </w:p>
        </w:tc>
        <w:tc>
          <w:tcPr/>
          <w:p>
            <w:pPr>
              <w:pStyle w:val="Compact"/>
              <w:spacing w:line="360" w:lineRule="auto"/>
            </w:pPr>
            <w:r>
              <w:rPr>
                <w:rFonts w:ascii="Cambria" w:hAnsi="Cambria"/>
                <w:color w:val="000000"/>
              </w:rPr>
              <w:t xml:space="preserve">Best ML readmission prediction: demonstrates that PEARL adds value beyond prediction accuracy</w:t>
            </w:r>
          </w:p>
        </w:tc>
        <w:tc>
          <w:tcPr/>
          <w:p>
            <w:pPr>
              <w:pStyle w:val="Compact"/>
              <w:spacing w:line="360" w:lineRule="auto"/>
            </w:pPr>
            <w:r>
              <w:rPr>
                <w:rFonts w:ascii="Cambria" w:hAnsi="Cambria"/>
                <w:color w:val="000000"/>
              </w:rPr>
              <w:t xml:space="preserve">Multiple published benchmarks</w:t>
            </w:r>
          </w:p>
        </w:tc>
      </w:tr>
      <w:tr>
        <w:tc>
          <w:tcPr/>
          <w:p>
            <w:pPr>
              <w:pStyle w:val="Compact"/>
              <w:spacing w:line="360" w:lineRule="auto"/>
            </w:pPr>
            <w:r>
              <w:rPr>
                <w:rFonts w:ascii="Cambria" w:hAnsi="Cambria"/>
                <w:color w:val="000000"/>
              </w:rPr>
              <w:t xml:space="preserve">C4</w:t>
            </w:r>
          </w:p>
        </w:tc>
        <w:tc>
          <w:tcPr/>
          <w:p>
            <w:pPr>
              <w:pStyle w:val="Compact"/>
              <w:spacing w:line="360" w:lineRule="auto"/>
            </w:pPr>
            <w:r>
              <w:rPr>
                <w:rFonts w:ascii="Cambria" w:hAnsi="Cambria"/>
                <w:color w:val="000000"/>
              </w:rPr>
              <w:t xml:space="preserve">BehavioralCloning SFT</w:t>
            </w:r>
          </w:p>
        </w:tc>
        <w:tc>
          <w:tcPr/>
          <w:p>
            <w:pPr>
              <w:pStyle w:val="Compact"/>
              <w:spacing w:line="360" w:lineRule="auto"/>
            </w:pPr>
            <w:r>
              <w:rPr>
                <w:rFonts w:ascii="Cambria" w:hAnsi="Cambria"/>
                <w:color w:val="000000"/>
              </w:rPr>
              <w:t xml:space="preserve">Supervised fine-tuning on WPAD-preferred interventions without contrastive DPO loss</w:t>
            </w:r>
          </w:p>
        </w:tc>
        <w:tc>
          <w:tcPr/>
          <w:p>
            <w:pPr>
              <w:pStyle w:val="Compact"/>
              <w:spacing w:line="360" w:lineRule="auto"/>
            </w:pPr>
            <w:r>
              <w:rPr>
                <w:rFonts w:ascii="Cambria" w:hAnsi="Cambria"/>
                <w:color w:val="000000"/>
              </w:rPr>
              <w:t xml:space="preserve">DPO loss ablation: isolates the contribution of the DPO contrastive formulation from the WPAD causal identification signal; if C4 ≈ PEARL, the WPAD signal — not DPO — drives improvement</w:t>
            </w:r>
          </w:p>
        </w:tc>
        <w:tc>
          <w:tcPr/>
          <w:p>
            <w:pPr>
              <w:pStyle w:val="Compact"/>
              <w:spacing w:line="360" w:lineRule="auto"/>
            </w:pPr>
          </w:p>
        </w:tc>
      </w:tr>
      <w:tr>
        <w:tc>
          <w:tcPr/>
          <w:p>
            <w:pPr>
              <w:pStyle w:val="Compact"/>
              <w:spacing w:line="360" w:lineRule="auto"/>
            </w:pPr>
            <w:r>
              <w:rPr>
                <w:rFonts w:ascii="Cambria" w:hAnsi="Cambria"/>
                <w:color w:val="000000"/>
              </w:rPr>
              <w:t xml:space="preserve">C5</w:t>
            </w:r>
          </w:p>
        </w:tc>
        <w:tc>
          <w:tcPr/>
          <w:p>
            <w:pPr>
              <w:pStyle w:val="Compact"/>
              <w:spacing w:line="360" w:lineRule="auto"/>
            </w:pPr>
            <w:r>
              <w:rPr>
                <w:rFonts w:ascii="Cambria" w:hAnsi="Cambria"/>
                <w:color w:val="000000"/>
              </w:rPr>
              <w:t xml:space="preserve">Observational DPO</w:t>
            </w:r>
          </w:p>
        </w:tc>
        <w:tc>
          <w:tcPr/>
          <w:p>
            <w:pPr>
              <w:pStyle w:val="Compact"/>
              <w:spacing w:line="360" w:lineRule="auto"/>
            </w:pPr>
            <w:r>
              <w:rPr>
                <w:rFonts w:ascii="Cambria" w:hAnsi="Cambria"/>
                <w:color w:val="000000"/>
              </w:rPr>
              <w:t xml:space="preserve">DPO trained on non-WPAD observational preference pairs without causal filtering</w:t>
            </w:r>
          </w:p>
        </w:tc>
        <w:tc>
          <w:tcPr/>
          <w:p>
            <w:pPr>
              <w:pStyle w:val="Compact"/>
              <w:spacing w:line="360" w:lineRule="auto"/>
            </w:pPr>
            <w:r>
              <w:rPr>
                <w:rFonts w:ascii="Cambria" w:hAnsi="Cambria"/>
                <w:color w:val="000000"/>
              </w:rPr>
              <w:t xml:space="preserve">WPAD identification ablation: isolates the contribution of within-patient causal identification from the DPO architecture; if C5 ≈ behavioral, DPO alone is insufficient</w:t>
            </w:r>
          </w:p>
        </w:tc>
        <w:tc>
          <w:tcPr/>
          <w:p>
            <w:pPr>
              <w:pStyle w:val="Compact"/>
              <w:spacing w:line="360" w:lineRule="auto"/>
            </w:pPr>
            <w:r>
              <w:rPr>
                <w:rFonts w:ascii="Cambria" w:hAnsi="Cambria"/>
                <w:color w:val="000000"/>
              </w:rPr>
              <w:t xml:space="preserve">Rafailov et al.,</w:t>
            </w:r>
            <w:r>
              <w:rPr>
                <w:rFonts w:ascii="Cambria" w:hAnsi="Cambria"/>
                <w:color w:val="000000"/>
              </w:rPr>
              <w:t xml:space="preserve"> </w:t>
            </w:r>
            <w:r>
              <w:rPr>
                <w:rFonts w:ascii="Cambria" w:hAnsi="Cambria"/>
                <w:i/>
                <w:iCs/>
                <w:color w:val="000000"/>
              </w:rPr>
              <w:t xml:space="preserve">NeurIPS</w:t>
            </w:r>
            <w:r>
              <w:rPr>
                <w:rFonts w:ascii="Cambria" w:hAnsi="Cambria"/>
                <w:color w:val="000000"/>
              </w:rPr>
              <w:t xml:space="preserve"> </w:t>
            </w:r>
            <w:r>
              <w:rPr>
                <w:rFonts w:ascii="Cambria" w:hAnsi="Cambria"/>
                <w:color w:val="000000"/>
              </w:rPr>
              <w:t xml:space="preserve">2023</w:t>
            </w:r>
            <w:r>
              <w:rPr>
                <w:rFonts w:ascii="Cambria" w:hAnsi="Cambria"/>
                <w:color w:val="000000"/>
                <w:vertAlign w:val="superscript"/>
              </w:rPr>
              <w:t xml:space="preserve">19</w:t>
            </w:r>
          </w:p>
        </w:tc>
      </w:tr>
      <w:tr>
        <w:tc>
          <w:tcPr/>
          <w:p>
            <w:pPr>
              <w:pStyle w:val="Compact"/>
              <w:spacing w:line="360" w:lineRule="auto"/>
            </w:pPr>
            <w:r>
              <w:rPr>
                <w:rFonts w:ascii="Cambria" w:hAnsi="Cambria"/>
                <w:color w:val="000000"/>
              </w:rPr>
              <w:t xml:space="preserve">C6</w:t>
            </w:r>
          </w:p>
        </w:tc>
        <w:tc>
          <w:tcPr/>
          <w:p>
            <w:pPr>
              <w:pStyle w:val="Compact"/>
              <w:spacing w:line="360" w:lineRule="auto"/>
            </w:pPr>
            <w:r>
              <w:rPr>
                <w:rFonts w:ascii="Cambria" w:hAnsi="Cambria"/>
                <w:color w:val="000000"/>
              </w:rPr>
              <w:t xml:space="preserve">Causal forest CATE</w:t>
            </w:r>
          </w:p>
        </w:tc>
        <w:tc>
          <w:tcPr/>
          <w:p>
            <w:pPr>
              <w:pStyle w:val="Compact"/>
              <w:spacing w:line="360" w:lineRule="auto"/>
            </w:pPr>
            <w:r>
              <w:rPr>
                <w:rFonts w:ascii="Cambria" w:hAnsi="Cambria"/>
                <w:color w:val="000000"/>
              </w:rPr>
              <w:t xml:space="preserve">Multi-arm heterogeneous treatment effect estimation using honest random forests</w:t>
            </w:r>
          </w:p>
        </w:tc>
        <w:tc>
          <w:tcPr/>
          <w:p>
            <w:pPr>
              <w:pStyle w:val="Compact"/>
              <w:spacing w:line="360" w:lineRule="auto"/>
            </w:pPr>
            <w:r>
              <w:rPr>
                <w:rFonts w:ascii="Cambria" w:hAnsi="Cambria"/>
                <w:color w:val="000000"/>
              </w:rPr>
              <w:t xml:space="preserve">Best HTE comparator: tests whether population-level unconfoundedness methods can match PEARL’s within-patient identification</w:t>
            </w:r>
          </w:p>
        </w:tc>
        <w:tc>
          <w:tcPr/>
          <w:p>
            <w:pPr>
              <w:pStyle w:val="Compact"/>
              <w:spacing w:line="360" w:lineRule="auto"/>
            </w:pPr>
            <w:r>
              <w:rPr>
                <w:rFonts w:ascii="Cambria" w:hAnsi="Cambria"/>
                <w:color w:val="000000"/>
              </w:rPr>
              <w:t xml:space="preserve">Wager and Athey,</w:t>
            </w:r>
            <w:r>
              <w:rPr>
                <w:rFonts w:ascii="Cambria" w:hAnsi="Cambria"/>
                <w:color w:val="000000"/>
              </w:rPr>
              <w:t xml:space="preserve"> </w:t>
            </w:r>
            <w:r>
              <w:rPr>
                <w:rFonts w:ascii="Cambria" w:hAnsi="Cambria"/>
                <w:i/>
                <w:iCs/>
                <w:color w:val="000000"/>
              </w:rPr>
              <w:t xml:space="preserve">J Am Stat Assoc</w:t>
            </w:r>
            <w:r>
              <w:rPr>
                <w:rFonts w:ascii="Cambria" w:hAnsi="Cambria"/>
                <w:color w:val="000000"/>
              </w:rPr>
              <w:t xml:space="preserve"> </w:t>
            </w:r>
            <w:r>
              <w:rPr>
                <w:rFonts w:ascii="Cambria" w:hAnsi="Cambria"/>
                <w:color w:val="000000"/>
              </w:rPr>
              <w:t xml:space="preserve">2018</w:t>
            </w:r>
            <w:r>
              <w:rPr>
                <w:rFonts w:ascii="Cambria" w:hAnsi="Cambria"/>
                <w:color w:val="000000"/>
                <w:vertAlign w:val="superscript"/>
              </w:rPr>
              <w:t xml:space="preserve">7</w:t>
            </w:r>
          </w:p>
        </w:tc>
      </w:tr>
      <w:tr>
        <w:tc>
          <w:tcPr/>
          <w:p>
            <w:pPr>
              <w:pStyle w:val="Compact"/>
              <w:spacing w:line="360" w:lineRule="auto"/>
            </w:pPr>
            <w:r>
              <w:rPr>
                <w:rFonts w:ascii="Cambria" w:hAnsi="Cambria"/>
                <w:color w:val="000000"/>
              </w:rPr>
              <w:t xml:space="preserve">C7</w:t>
            </w:r>
          </w:p>
        </w:tc>
        <w:tc>
          <w:tcPr/>
          <w:p>
            <w:pPr>
              <w:pStyle w:val="Compact"/>
              <w:spacing w:line="360" w:lineRule="auto"/>
            </w:pPr>
            <w:r>
              <w:rPr>
                <w:rFonts w:ascii="Cambria" w:hAnsi="Cambria"/>
                <w:color w:val="000000"/>
              </w:rPr>
              <w:t xml:space="preserve">Decision Transformer</w:t>
            </w:r>
          </w:p>
        </w:tc>
        <w:tc>
          <w:tcPr/>
          <w:p>
            <w:pPr>
              <w:pStyle w:val="Compact"/>
              <w:spacing w:line="360" w:lineRule="auto"/>
            </w:pPr>
            <w:r>
              <w:rPr>
                <w:rFonts w:ascii="Cambria" w:hAnsi="Cambria"/>
                <w:color w:val="000000"/>
              </w:rPr>
              <w:t xml:space="preserve">Offline reinforcement learning via sequence modeling on WPAD trajectory data</w:t>
            </w:r>
          </w:p>
        </w:tc>
        <w:tc>
          <w:tcPr/>
          <w:p>
            <w:pPr>
              <w:pStyle w:val="Compact"/>
              <w:spacing w:line="360" w:lineRule="auto"/>
            </w:pPr>
            <w:r>
              <w:rPr>
                <w:rFonts w:ascii="Cambria" w:hAnsi="Cambria"/>
                <w:color w:val="000000"/>
              </w:rPr>
              <w:t xml:space="preserve">Best offline RL comparator: tests whether PEARL’s performance advantage reflects the output format (tabular vs. RL action probabilities) or the identification signal</w:t>
            </w:r>
          </w:p>
        </w:tc>
        <w:tc>
          <w:tcPr/>
          <w:p>
            <w:pPr>
              <w:pStyle w:val="Compact"/>
              <w:spacing w:line="360" w:lineRule="auto"/>
            </w:pPr>
            <w:r>
              <w:rPr>
                <w:rFonts w:ascii="Cambria" w:hAnsi="Cambria"/>
                <w:color w:val="000000"/>
              </w:rPr>
              <w:t xml:space="preserve">Chen et al.,</w:t>
            </w:r>
            <w:r>
              <w:rPr>
                <w:rFonts w:ascii="Cambria" w:hAnsi="Cambria"/>
                <w:color w:val="000000"/>
              </w:rPr>
              <w:t xml:space="preserve"> </w:t>
            </w:r>
            <w:r>
              <w:rPr>
                <w:rFonts w:ascii="Cambria" w:hAnsi="Cambria"/>
                <w:i/>
                <w:iCs/>
                <w:color w:val="000000"/>
              </w:rPr>
              <w:t xml:space="preserve">NeurIPS</w:t>
            </w:r>
            <w:r>
              <w:rPr>
                <w:rFonts w:ascii="Cambria" w:hAnsi="Cambria"/>
                <w:color w:val="000000"/>
              </w:rPr>
              <w:t xml:space="preserve"> </w:t>
            </w:r>
            <w:r>
              <w:rPr>
                <w:rFonts w:ascii="Cambria" w:hAnsi="Cambria"/>
                <w:color w:val="000000"/>
              </w:rPr>
              <w:t xml:space="preserve">2021</w:t>
            </w:r>
            <w:r>
              <w:rPr>
                <w:rFonts w:ascii="Cambria" w:hAnsi="Cambria"/>
                <w:color w:val="000000"/>
                <w:vertAlign w:val="superscript"/>
              </w:rPr>
              <w:t xml:space="preserve">22</w:t>
            </w:r>
          </w:p>
        </w:tc>
      </w:tr>
      <w:tr>
        <w:tc>
          <w:tcPr/>
          <w:p>
            <w:pPr>
              <w:pStyle w:val="Compact"/>
              <w:spacing w:line="360" w:lineRule="auto"/>
            </w:pPr>
            <w:r>
              <w:rPr>
                <w:rFonts w:ascii="Cambria" w:hAnsi="Cambria"/>
                <w:color w:val="000000"/>
              </w:rPr>
              <w:t xml:space="preserve">C8</w:t>
            </w:r>
          </w:p>
        </w:tc>
        <w:tc>
          <w:tcPr/>
          <w:p>
            <w:pPr>
              <w:pStyle w:val="Compact"/>
              <w:spacing w:line="360" w:lineRule="auto"/>
            </w:pPr>
            <w:r>
              <w:rPr>
                <w:rFonts w:ascii="Cambria" w:hAnsi="Cambria"/>
                <w:color w:val="000000"/>
              </w:rPr>
              <w:t xml:space="preserve">Conservative Q-Learning (CQL)</w:t>
            </w:r>
          </w:p>
        </w:tc>
        <w:tc>
          <w:tcPr/>
          <w:p>
            <w:pPr>
              <w:pStyle w:val="Compact"/>
              <w:spacing w:line="360" w:lineRule="auto"/>
            </w:pPr>
            <w:r>
              <w:rPr>
                <w:rFonts w:ascii="Cambria" w:hAnsi="Cambria"/>
                <w:color w:val="000000"/>
              </w:rPr>
              <w:t xml:space="preserve">Offline RL with conservatism penalty that prevents out-of-distribution action overestimation; state-of-the-art offline RL method</w:t>
            </w:r>
          </w:p>
        </w:tc>
        <w:tc>
          <w:tcPr/>
          <w:p>
            <w:pPr>
              <w:pStyle w:val="Compact"/>
              <w:spacing w:line="360" w:lineRule="auto"/>
            </w:pPr>
            <w:r>
              <w:rPr>
                <w:rFonts w:ascii="Cambria" w:hAnsi="Cambria"/>
                <w:color w:val="000000"/>
              </w:rPr>
              <w:t xml:space="preserve">Strongest published offline RL comparator: tests whether PEARL’s advantage persists against the top-cited offline RL algorithm applied to the same WPAD preference pairs</w:t>
            </w:r>
          </w:p>
        </w:tc>
        <w:tc>
          <w:tcPr/>
          <w:p>
            <w:pPr>
              <w:pStyle w:val="Compact"/>
              <w:spacing w:line="360" w:lineRule="auto"/>
            </w:pPr>
            <w:r>
              <w:rPr>
                <w:rFonts w:ascii="Cambria" w:hAnsi="Cambria"/>
                <w:color w:val="000000"/>
              </w:rPr>
              <w:t xml:space="preserve">Kumar et al.,</w:t>
            </w:r>
            <w:r>
              <w:rPr>
                <w:rFonts w:ascii="Cambria" w:hAnsi="Cambria"/>
                <w:color w:val="000000"/>
              </w:rPr>
              <w:t xml:space="preserve"> </w:t>
            </w:r>
            <w:r>
              <w:rPr>
                <w:rFonts w:ascii="Cambria" w:hAnsi="Cambria"/>
                <w:i/>
                <w:iCs/>
                <w:color w:val="000000"/>
              </w:rPr>
              <w:t xml:space="preserve">NeurIPS</w:t>
            </w:r>
            <w:r>
              <w:rPr>
                <w:rFonts w:ascii="Cambria" w:hAnsi="Cambria"/>
                <w:color w:val="000000"/>
              </w:rPr>
              <w:t xml:space="preserve"> </w:t>
            </w:r>
            <w:r>
              <w:rPr>
                <w:rFonts w:ascii="Cambria" w:hAnsi="Cambria"/>
                <w:color w:val="000000"/>
              </w:rPr>
              <w:t xml:space="preserve">2020</w:t>
            </w:r>
            <w:r>
              <w:rPr>
                <w:rFonts w:ascii="Cambria" w:hAnsi="Cambria"/>
                <w:color w:val="000000"/>
                <w:vertAlign w:val="superscript"/>
              </w:rPr>
              <w:t xml:space="preserve">23</w:t>
            </w:r>
          </w:p>
        </w:tc>
      </w:tr>
    </w:tbl>
    <w:p>
      <w:pPr>
        <w:pStyle w:val="BodyText"/>
        <w:spacing w:line="360" w:lineRule="auto"/>
      </w:pPr>
      <w:r>
        <w:rPr>
          <w:rFonts w:ascii="Cambria" w:hAnsi="Cambria"/>
          <w:color w:val="000000"/>
        </w:rPr>
        <w:t xml:space="preserve">WPAD = Within-Patient Administrative Discontinuity; DPO = Direct Preference Optimization; CATE = conditional average treatment effect; RL = reinforcement learning; HTE = heterogeneous treatment effect; SFT = supervised fine-tuning.</w:t>
      </w:r>
    </w:p>
    <w:p>
      <w:pPr>
        <w:pStyle w:val="BodyText"/>
        <w:spacing w:line="360" w:lineRule="auto"/>
      </w:pPr>
      <w:r>
        <w:rPr>
          <w:rFonts w:ascii="Cambria" w:hAnsi="Cambria"/>
          <w:color w:val="000000"/>
        </w:rPr>
        <w:t xml:space="preserve">The ablation interpretation follows directly from the DR-OPE and IMI comparisons in Table 3. PEARL (MoE Router) is the best deployable policy among the twelve evaluated against the theoretical oracle (DR-OPE = 0.027; IMI = 2.0%; coverage = 1.00 relative to the historical action distribution). The IMI reduction from 27.0% to 2.0% (Δ = 25.0 pp; p &lt; 0.0001) is the primary scientific finding. C4 (BehavioralCloning SFT; rank 3; DR-OPE = 0.030; IMI = 4.4%) achieves substantial improvement using only supervised imitation of WPAD-preferred interventions, indicating that the within-patient causal identification signal alone is sufficient to produce most of the improvement; the additional 2.4 pp IMI reduction achieved by PEARL (MoE Router) reflects the value added by contrastive preference optimization combined with fairness constraints. C5 (Observational DPO; rank 12; DR-OPE = 0.044; IMI = 20.4%) performs worse than behavioral routing on DR-OPE and only modestly better on IMI, indicating DPO without WPAD causal identification is insufficient; PEARL (base; rank 9; IMI = 42.4%) and PEARL (MoE Full; rank 5; IMI = 38.7%) both have IMI above behavioral routing (27.0%), indicating contrastive preference optimization without group-stratified fairness actively degrades intervention matching. C8 (CQL; rank 4; DR-OPE = 0.034; IMI = 32.0%) achieves good aggregate DR-OPE through offline RL conservatism but does not improve intervention-type matching, while C6 (CausalForest; rank 13; DR-OPE = 0.144) performs catastrophically due to extrapolation to unobserved actions. The Oracle policy (rank 1; DR-OPE = 0.026; IMI = 0.0%) defines the theoretical upper bound; PEARL (MoE Router) achieves 92.6% of the Oracle’s IMI reduction and C4 alone achieves 83.7%.</w:t>
      </w:r>
    </w:p>
    <w:p>
      <w:pPr>
        <w:spacing w:line="360" w:lineRule="auto"/>
      </w:pPr>
      <w:r>
        <w:rPr>
          <w:rFonts w:ascii="Cambria" w:hAnsi="Cambria"/>
          <w:color w:val="000000"/>
        </w:rPr>
        <w:pict>
          <v:rect style="width:0;height:1.5pt" o:hralign="center" o:hrstd="t" o:hr="t"/>
        </w:pict>
      </w:r>
    </w:p>
    <w:bookmarkEnd w:id="13"/>
    <w:bookmarkStart w:id="14" w:name="X68e2ca71003e93bbc729606b355a2c176da8568"/>
    <w:p>
      <w:pPr>
        <w:pStyle w:val="Heading2"/>
        <w:spacing w:line="360" w:lineRule="auto"/>
      </w:pPr>
      <w:r>
        <w:rPr>
          <w:rFonts w:ascii="Cambria" w:hAnsi="Cambria"/>
          <w:color w:val="000000"/>
        </w:rPr>
        <w:t xml:space="preserve">Appendix Table 2. Pre-Specified Sensitivity Analysis — Individual Analysis Specifications</w:t>
      </w:r>
    </w:p>
    <w:p>
      <w:pPr>
        <w:pStyle w:val="FirstParagraph"/>
        <w:spacing w:line="360" w:lineRule="auto"/>
      </w:pPr>
      <w:r>
        <w:rPr>
          <w:rFonts w:ascii="Cambria" w:hAnsi="Cambria"/>
          <w:color w:val="000000"/>
        </w:rPr>
        <w:t xml:space="preserve">Twenty sensitivity analyses were pre-registered before any holdout evaluation by varying seven parameters at two or three alternative values each, including five analyses that varied two parameters simultaneously. The pre-specified major-limitation trigger was any direction change (a beneficial-to-harmful or harmful-to-beneficial reversal relative to behavioral routing in DR-OPE comparison or IMI direction). The pre-specified moderate-sensitivity trigger was a relative magnitude change exceeding 25% without direction change.</w:t>
      </w:r>
    </w:p>
    <w:p>
      <w:pPr>
        <w:pStyle w:val="BodyText"/>
        <w:spacing w:line="360" w:lineRule="auto"/>
      </w:pPr>
      <w:r>
        <w:rPr>
          <w:rFonts w:ascii="Cambria" w:hAnsi="Cambria"/>
          <w:color w:val="000000"/>
        </w:rPr>
        <w:t xml:space="preserve">Appendix Table 2. Pre-specified sensitivity analysis: individual analysis specifications (N = 20 analyses). Summary results are presented in Appendix Table 3 (above).</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990"/>
        <w:gridCol w:w="990"/>
        <w:gridCol w:w="990"/>
        <w:gridCol w:w="990"/>
        <w:gridCol w:w="990"/>
        <w:gridCol w:w="990"/>
        <w:gridCol w:w="990"/>
        <w:gridCol w:w="990"/>
      </w:tblGrid>
      <w:tr>
        <w:trPr>
          <w:tblHeader w:val="on"/>
        </w:trPr>
        <w:tc>
          <w:tcPr/>
          <w:p>
            <w:pPr>
              <w:pStyle w:val="Compact"/>
              <w:spacing w:line="360" w:lineRule="auto"/>
            </w:pPr>
            <w:r>
              <w:rPr>
                <w:rFonts w:ascii="Cambria" w:hAnsi="Cambria"/>
                <w:color w:val="000000"/>
              </w:rPr>
              <w:t xml:space="preserve">Analysis</w:t>
            </w:r>
          </w:p>
        </w:tc>
        <w:tc>
          <w:tcPr/>
          <w:p>
            <w:pPr>
              <w:pStyle w:val="Compact"/>
              <w:spacing w:line="360" w:lineRule="auto"/>
            </w:pPr>
            <w:r>
              <w:rPr>
                <w:rFonts w:ascii="Cambria" w:hAnsi="Cambria"/>
                <w:color w:val="000000"/>
              </w:rPr>
              <w:t xml:space="preserve">Parameter varied</w:t>
            </w:r>
          </w:p>
        </w:tc>
        <w:tc>
          <w:tcPr/>
          <w:p>
            <w:pPr>
              <w:pStyle w:val="Compact"/>
              <w:spacing w:line="360" w:lineRule="auto"/>
            </w:pPr>
            <w:r>
              <w:rPr>
                <w:rFonts w:ascii="Cambria" w:hAnsi="Cambria"/>
                <w:color w:val="000000"/>
              </w:rPr>
              <w:t xml:space="preserve">Primary value</w:t>
            </w:r>
          </w:p>
        </w:tc>
        <w:tc>
          <w:tcPr/>
          <w:p>
            <w:pPr>
              <w:pStyle w:val="Compact"/>
              <w:spacing w:line="360" w:lineRule="auto"/>
            </w:pPr>
            <w:r>
              <w:rPr>
                <w:rFonts w:ascii="Cambria" w:hAnsi="Cambria"/>
                <w:color w:val="000000"/>
              </w:rPr>
              <w:t xml:space="preserve">Alternative values tested</w:t>
            </w:r>
          </w:p>
        </w:tc>
        <w:tc>
          <w:tcPr/>
          <w:p>
            <w:pPr>
              <w:pStyle w:val="Compact"/>
              <w:spacing w:line="360" w:lineRule="auto"/>
            </w:pPr>
            <w:r>
              <w:rPr>
                <w:rFonts w:ascii="Cambria" w:hAnsi="Cambria"/>
                <w:color w:val="000000"/>
              </w:rPr>
              <w:t xml:space="preserve">Requires retraining</w:t>
            </w:r>
          </w:p>
        </w:tc>
        <w:tc>
          <w:tcPr/>
          <w:p>
            <w:pPr>
              <w:pStyle w:val="Compact"/>
              <w:spacing w:line="360" w:lineRule="auto"/>
            </w:pPr>
            <w:r>
              <w:rPr>
                <w:rFonts w:ascii="Cambria" w:hAnsi="Cambria"/>
                <w:color w:val="000000"/>
              </w:rPr>
              <w:t xml:space="preserve">DR-OPE direction preserved</w:t>
            </w:r>
          </w:p>
        </w:tc>
        <w:tc>
          <w:tcPr/>
          <w:p>
            <w:pPr>
              <w:pStyle w:val="Compact"/>
              <w:spacing w:line="360" w:lineRule="auto"/>
            </w:pPr>
            <w:r>
              <w:rPr>
                <w:rFonts w:ascii="Cambria" w:hAnsi="Cambria"/>
                <w:color w:val="000000"/>
              </w:rPr>
              <w:t xml:space="preserve">IMI direction preserved</w:t>
            </w:r>
          </w:p>
        </w:tc>
        <w:tc>
          <w:tcPr/>
          <w:p>
            <w:pPr>
              <w:pStyle w:val="Compact"/>
              <w:spacing w:line="360" w:lineRule="auto"/>
            </w:pPr>
            <w:r>
              <w:rPr>
                <w:rFonts w:ascii="Cambria" w:hAnsi="Cambria"/>
                <w:color w:val="000000"/>
              </w:rPr>
              <w:t xml:space="preserve">Maximum relative magnitude change</w:t>
            </w:r>
          </w:p>
        </w:tc>
      </w:tr>
      <w:tr>
        <w:tc>
          <w:tcPr/>
          <w:p>
            <w:pPr>
              <w:pStyle w:val="Compact"/>
              <w:spacing w:line="360" w:lineRule="auto"/>
            </w:pPr>
            <w:r>
              <w:rPr>
                <w:rFonts w:ascii="Cambria" w:hAnsi="Cambria"/>
                <w:color w:val="000000"/>
              </w:rPr>
              <w:t xml:space="preserve">1</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(minimum WPAD window length)</w:t>
            </w:r>
          </w:p>
        </w:tc>
        <w:tc>
          <w:tcPr/>
          <w:p>
            <w:pPr>
              <w:pStyle w:val="Compact"/>
              <w:spacing w:line="360" w:lineRule="auto"/>
            </w:pPr>
            <w:r>
              <w:rPr>
                <w:rFonts w:ascii="Cambria" w:hAnsi="Cambria"/>
                <w:color w:val="000000"/>
              </w:rPr>
              <w:t xml:space="preserve">60 days</w:t>
            </w:r>
          </w:p>
        </w:tc>
        <w:tc>
          <w:tcPr/>
          <w:p>
            <w:pPr>
              <w:pStyle w:val="Compact"/>
              <w:spacing w:line="360" w:lineRule="auto"/>
            </w:pPr>
            <w:r>
              <w:rPr>
                <w:rFonts w:ascii="Cambria" w:hAnsi="Cambria"/>
                <w:color w:val="000000"/>
              </w:rPr>
              <w:t xml:space="preserve">30, 90 days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2</w:t>
            </w:r>
          </w:p>
        </w:tc>
        <w:tc>
          <w:tcPr/>
          <w:p>
            <w:pPr>
              <w:pStyle w:val="Compact"/>
              <w:spacing w:line="360" w:lineRule="auto"/>
            </w:pPr>
            <w:r>
              <w:rPr>
                <w:rFonts w:ascii="Cambria" w:hAnsi="Cambria"/>
                <w:color w:val="000000"/>
              </w:rPr>
              <w:t xml:space="preserve">IPTW clip threshold</w:t>
            </w:r>
          </w:p>
        </w:tc>
        <w:tc>
          <w:tcPr/>
          <w:p>
            <w:pPr>
              <w:pStyle w:val="Compact"/>
              <w:spacing w:line="360" w:lineRule="auto"/>
            </w:pPr>
            <w:r>
              <w:rPr>
                <w:rFonts w:ascii="Cambria" w:hAnsi="Cambria"/>
                <w:color w:val="000000"/>
              </w:rPr>
              <w:t xml:space="preserve">10</w:t>
            </w:r>
          </w:p>
        </w:tc>
        <w:tc>
          <w:tcPr/>
          <w:p>
            <w:pPr>
              <w:pStyle w:val="Compact"/>
              <w:spacing w:line="360" w:lineRule="auto"/>
            </w:pPr>
            <w:r>
              <w:rPr>
                <w:rFonts w:ascii="Cambria" w:hAnsi="Cambria"/>
                <w:color w:val="000000"/>
              </w:rPr>
              <w:t xml:space="preserve">5, 20</w:t>
            </w:r>
          </w:p>
        </w:tc>
        <w:tc>
          <w:tcPr/>
          <w:p>
            <w:pPr>
              <w:pStyle w:val="Compact"/>
              <w:spacing w:line="360" w:lineRule="auto"/>
            </w:pPr>
            <w:r>
              <w:rPr>
                <w:rFonts w:ascii="Cambria" w:hAnsi="Cambria"/>
                <w:color w:val="000000"/>
              </w:rPr>
              <w:t xml:space="preserve">No (eval only)</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Small magnitude change; direction preserved at all clip values</w:t>
            </w:r>
          </w:p>
        </w:tc>
      </w:tr>
      <w:tr>
        <w:tc>
          <w:tcPr/>
          <w:p>
            <w:pPr>
              <w:pStyle w:val="Compact"/>
              <w:spacing w:line="360" w:lineRule="auto"/>
            </w:pPr>
            <w:r>
              <w:rPr>
                <w:rFonts w:ascii="Cambria" w:hAnsi="Cambria"/>
                <w:color w:val="000000"/>
              </w:rPr>
              <w:t xml:space="preserve">3</w:t>
            </w:r>
          </w:p>
        </w:tc>
        <w:tc>
          <w:tcPr/>
          <w:p>
            <w:pPr>
              <w:pStyle w:val="Compact"/>
              <w:spacing w:line="360" w:lineRule="auto"/>
            </w:pPr>
            <w:r>
              <w:rPr>
                <w:rFonts w:ascii="Cambria" w:hAnsi="Cambria"/>
                <w:color w:val="000000"/>
              </w:rPr>
              <w:t xml:space="preserve">DPO β (KL regularization)</w:t>
            </w:r>
          </w:p>
        </w:tc>
        <w:tc>
          <w:tcPr/>
          <w:p>
            <w:pPr>
              <w:pStyle w:val="Compact"/>
              <w:spacing w:line="360" w:lineRule="auto"/>
            </w:pPr>
            <w:r>
              <w:rPr>
                <w:rFonts w:ascii="Cambria" w:hAnsi="Cambria"/>
                <w:color w:val="000000"/>
              </w:rPr>
              <w:t xml:space="preserve">0.10</w:t>
            </w:r>
          </w:p>
        </w:tc>
        <w:tc>
          <w:tcPr/>
          <w:p>
            <w:pPr>
              <w:pStyle w:val="Compact"/>
              <w:spacing w:line="360" w:lineRule="auto"/>
            </w:pPr>
            <w:r>
              <w:rPr>
                <w:rFonts w:ascii="Cambria" w:hAnsi="Cambria"/>
                <w:color w:val="000000"/>
              </w:rPr>
              <w:t xml:space="preserve">0.05, 0.20</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4</w:t>
            </w:r>
          </w:p>
        </w:tc>
        <w:tc>
          <w:tcPr/>
          <w:p>
            <w:pPr>
              <w:pStyle w:val="Compact"/>
              <w:spacing w:line="360" w:lineRule="auto"/>
            </w:pPr>
            <w:r>
              <w:rPr>
                <w:rFonts w:ascii="Cambria" w:hAnsi="Cambria"/>
                <w:color w:val="000000"/>
              </w:rPr>
              <w:t xml:space="preserve">Outcome ascertainment window</w:t>
            </w:r>
          </w:p>
        </w:tc>
        <w:tc>
          <w:tcPr/>
          <w:p>
            <w:pPr>
              <w:pStyle w:val="Compact"/>
              <w:spacing w:line="360" w:lineRule="auto"/>
            </w:pPr>
            <w:r>
              <w:rPr>
                <w:rFonts w:ascii="Cambria" w:hAnsi="Cambria"/>
                <w:color w:val="000000"/>
              </w:rPr>
              <w:t xml:space="preserve">90 days</w:t>
            </w:r>
          </w:p>
        </w:tc>
        <w:tc>
          <w:tcPr/>
          <w:p>
            <w:pPr>
              <w:pStyle w:val="Compact"/>
              <w:spacing w:line="360" w:lineRule="auto"/>
            </w:pPr>
            <w:r>
              <w:rPr>
                <w:rFonts w:ascii="Cambria" w:hAnsi="Cambria"/>
                <w:color w:val="000000"/>
              </w:rPr>
              <w:t xml:space="preserve">30, 60 days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5</w:t>
            </w:r>
          </w:p>
        </w:tc>
        <w:tc>
          <w:tcPr/>
          <w:p>
            <w:pPr>
              <w:pStyle w:val="Compact"/>
              <w:spacing w:line="360" w:lineRule="auto"/>
            </w:pPr>
            <w:r>
              <w:rPr>
                <w:rFonts w:ascii="Cambria" w:hAnsi="Cambria"/>
                <w:color w:val="000000"/>
              </w:rPr>
              <w:t xml:space="preserve">Trajectory slope covariate (δ</w:t>
            </w:r>
            <w:r>
              <w:rPr>
                <w:rFonts w:ascii="Cambria" w:hAnsi="Cambria"/>
                <w:color w:val="000000"/>
                <w:vertAlign w:val="subscript"/>
              </w:rPr>
              <w:t xml:space="preserve">i</w:t>
            </w:r>
            <w:r>
              <w:rPr>
                <w:rFonts w:ascii="Cambria" w:hAnsi="Cambria"/>
                <w:color w:val="000000"/>
              </w:rPr>
              <w:t xml:space="preserve">)</w:t>
            </w:r>
          </w:p>
        </w:tc>
        <w:tc>
          <w:tcPr/>
          <w:p>
            <w:pPr>
              <w:pStyle w:val="Compact"/>
              <w:spacing w:line="360" w:lineRule="auto"/>
            </w:pPr>
            <w:r>
              <w:rPr>
                <w:rFonts w:ascii="Cambria" w:hAnsi="Cambria"/>
                <w:color w:val="000000"/>
              </w:rPr>
              <w:t xml:space="preserve">Included</w:t>
            </w:r>
          </w:p>
        </w:tc>
        <w:tc>
          <w:tcPr/>
          <w:p>
            <w:pPr>
              <w:pStyle w:val="Compact"/>
              <w:spacing w:line="360" w:lineRule="auto"/>
            </w:pPr>
            <w:r>
              <w:rPr>
                <w:rFonts w:ascii="Cambria" w:hAnsi="Cambria"/>
                <w:color w:val="000000"/>
              </w:rPr>
              <w:t xml:space="preserve">Excluded</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6</w:t>
            </w:r>
          </w:p>
        </w:tc>
        <w:tc>
          <w:tcPr/>
          <w:p>
            <w:pPr>
              <w:pStyle w:val="Compact"/>
              <w:spacing w:line="360" w:lineRule="auto"/>
            </w:pPr>
            <w:r>
              <w:rPr>
                <w:rFonts w:ascii="Cambria" w:hAnsi="Cambria"/>
                <w:color w:val="000000"/>
              </w:rPr>
              <w:t xml:space="preserve">WPAD type restriction</w:t>
            </w:r>
          </w:p>
        </w:tc>
        <w:tc>
          <w:tcPr/>
          <w:p>
            <w:pPr>
              <w:pStyle w:val="Compact"/>
              <w:spacing w:line="360" w:lineRule="auto"/>
            </w:pPr>
            <w:r>
              <w:rPr>
                <w:rFonts w:ascii="Cambria" w:hAnsi="Cambria"/>
                <w:color w:val="000000"/>
              </w:rPr>
              <w:t xml:space="preserve">All types</w:t>
            </w:r>
          </w:p>
        </w:tc>
        <w:tc>
          <w:tcPr/>
          <w:p>
            <w:pPr>
              <w:pStyle w:val="Compact"/>
              <w:spacing w:line="360" w:lineRule="auto"/>
            </w:pPr>
            <w:r>
              <w:rPr>
                <w:rFonts w:ascii="Cambria" w:hAnsi="Cambria"/>
                <w:color w:val="000000"/>
              </w:rPr>
              <w:t xml:space="preserve">Type 1 only, Type 3 only</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7</w:t>
            </w:r>
          </w:p>
        </w:tc>
        <w:tc>
          <w:tcPr/>
          <w:p>
            <w:pPr>
              <w:pStyle w:val="Compact"/>
              <w:spacing w:line="360" w:lineRule="auto"/>
            </w:pPr>
            <w:r>
              <w:rPr>
                <w:rFonts w:ascii="Cambria" w:hAnsi="Cambria"/>
                <w:color w:val="000000"/>
              </w:rPr>
              <w:t xml:space="preserve">IMI threshold ε</w:t>
            </w:r>
          </w:p>
        </w:tc>
        <w:tc>
          <w:tcPr/>
          <w:p>
            <w:pPr>
              <w:pStyle w:val="Compact"/>
              <w:spacing w:line="360" w:lineRule="auto"/>
            </w:pPr>
            <w:r>
              <w:rPr>
                <w:rFonts w:ascii="Cambria" w:hAnsi="Cambria"/>
                <w:color w:val="000000"/>
              </w:rPr>
              <w:t xml:space="preserve">0.02</w:t>
            </w:r>
          </w:p>
        </w:tc>
        <w:tc>
          <w:tcPr/>
          <w:p>
            <w:pPr>
              <w:pStyle w:val="Compact"/>
              <w:spacing w:line="360" w:lineRule="auto"/>
            </w:pPr>
            <w:r>
              <w:rPr>
                <w:rFonts w:ascii="Cambria" w:hAnsi="Cambria"/>
                <w:color w:val="000000"/>
              </w:rPr>
              <w:t xml:space="preserve">0.01, 0.05</w:t>
            </w:r>
          </w:p>
        </w:tc>
        <w:tc>
          <w:tcPr/>
          <w:p>
            <w:pPr>
              <w:pStyle w:val="Compact"/>
              <w:spacing w:line="360" w:lineRule="auto"/>
            </w:pPr>
            <w:r>
              <w:rPr>
                <w:rFonts w:ascii="Cambria" w:hAnsi="Cambria"/>
                <w:color w:val="000000"/>
              </w:rPr>
              <w:t xml:space="preserve">No (eval only)</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b/>
                <w:bCs/>
                <w:color w:val="000000"/>
              </w:rPr>
              <w:t xml:space="preserve">No at ε = 0.01 (major)</w:t>
            </w:r>
          </w:p>
        </w:tc>
        <w:tc>
          <w:tcPr/>
          <w:p>
            <w:pPr>
              <w:pStyle w:val="Compact"/>
              <w:spacing w:line="360" w:lineRule="auto"/>
            </w:pPr>
            <w:r>
              <w:rPr>
                <w:rFonts w:ascii="Cambria" w:hAnsi="Cambria"/>
                <w:color w:val="000000"/>
              </w:rPr>
              <w:t xml:space="preserve">At ε = 0.01: PEARL IMI = 81.3% (+3,990% magnitude; direction change — PEARL IMI exceeds behavioral IMI at this threshold;</w:t>
            </w:r>
            <w:r>
              <w:rPr>
                <w:rFonts w:ascii="Cambria" w:hAnsi="Cambria"/>
                <w:color w:val="000000"/>
              </w:rPr>
              <w:t xml:space="preserve"> </w:t>
            </w:r>
            <w:r>
              <w:rPr>
                <w:rFonts w:ascii="Cambria" w:hAnsi="Cambria"/>
                <w:b/>
                <w:bCs/>
                <w:color w:val="000000"/>
              </w:rPr>
              <w:t xml:space="preserve">major sensitivity finding</w:t>
            </w:r>
            <w:r>
              <w:rPr>
                <w:rFonts w:ascii="Cambria" w:hAnsi="Cambria"/>
                <w:color w:val="000000"/>
              </w:rPr>
              <w:t xml:space="preserve"> </w:t>
            </w:r>
            <w:r>
              <w:rPr>
                <w:rFonts w:ascii="Cambria" w:hAnsi="Cambria"/>
                <w:color w:val="000000"/>
              </w:rPr>
              <w:t xml:space="preserve">per pre-specified protocol). At ε = 0.05: PEARL IMI = 2.9% (+45% magnitude; PEARL still better than behavioral)</w:t>
            </w:r>
          </w:p>
        </w:tc>
      </w:tr>
      <w:tr>
        <w:tc>
          <w:tcPr/>
          <w:p>
            <w:pPr>
              <w:pStyle w:val="Compact"/>
              <w:spacing w:line="360" w:lineRule="auto"/>
            </w:pPr>
            <w:r>
              <w:rPr>
                <w:rFonts w:ascii="Cambria" w:hAnsi="Cambria"/>
                <w:color w:val="000000"/>
              </w:rPr>
              <w:t xml:space="preserve">8</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ε combination</w:t>
            </w:r>
          </w:p>
        </w:tc>
        <w:tc>
          <w:tcPr/>
          <w:p>
            <w:pPr>
              <w:pStyle w:val="Compact"/>
              <w:spacing w:line="360" w:lineRule="auto"/>
            </w:pPr>
            <w:r>
              <w:rPr>
                <w:rFonts w:ascii="Cambria" w:hAnsi="Cambria"/>
                <w:color w:val="000000"/>
              </w:rPr>
              <w:t xml:space="preserve">60d × 0.02</w:t>
            </w:r>
          </w:p>
        </w:tc>
        <w:tc>
          <w:tcPr/>
          <w:p>
            <w:pPr>
              <w:pStyle w:val="Compact"/>
              <w:spacing w:line="360" w:lineRule="auto"/>
            </w:pPr>
            <w:r>
              <w:rPr>
                <w:rFonts w:ascii="Cambria" w:hAnsi="Cambria"/>
                <w:color w:val="000000"/>
              </w:rPr>
              <w:t xml:space="preserve">30d × 0.01</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9</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ε combination</w:t>
            </w:r>
          </w:p>
        </w:tc>
        <w:tc>
          <w:tcPr/>
          <w:p>
            <w:pPr>
              <w:pStyle w:val="Compact"/>
              <w:spacing w:line="360" w:lineRule="auto"/>
            </w:pPr>
            <w:r>
              <w:rPr>
                <w:rFonts w:ascii="Cambria" w:hAnsi="Cambria"/>
                <w:color w:val="000000"/>
              </w:rPr>
              <w:t xml:space="preserve">60d × 0.02</w:t>
            </w:r>
          </w:p>
        </w:tc>
        <w:tc>
          <w:tcPr/>
          <w:p>
            <w:pPr>
              <w:pStyle w:val="Compact"/>
              <w:spacing w:line="360" w:lineRule="auto"/>
            </w:pPr>
            <w:r>
              <w:rPr>
                <w:rFonts w:ascii="Cambria" w:hAnsi="Cambria"/>
                <w:color w:val="000000"/>
              </w:rPr>
              <w:t xml:space="preserve">90d × 0.05</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10</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ε combination</w:t>
            </w:r>
          </w:p>
        </w:tc>
        <w:tc>
          <w:tcPr/>
          <w:p>
            <w:pPr>
              <w:pStyle w:val="Compact"/>
              <w:spacing w:line="360" w:lineRule="auto"/>
            </w:pPr>
            <w:r>
              <w:rPr>
                <w:rFonts w:ascii="Cambria" w:hAnsi="Cambria"/>
                <w:color w:val="000000"/>
              </w:rPr>
              <w:t xml:space="preserve">60d × 0.02</w:t>
            </w:r>
          </w:p>
        </w:tc>
        <w:tc>
          <w:tcPr/>
          <w:p>
            <w:pPr>
              <w:pStyle w:val="Compact"/>
              <w:spacing w:line="360" w:lineRule="auto"/>
            </w:pPr>
            <w:r>
              <w:rPr>
                <w:rFonts w:ascii="Cambria" w:hAnsi="Cambria"/>
                <w:color w:val="000000"/>
              </w:rPr>
              <w:t xml:space="preserve">30d × 0.05</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11</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ε combination</w:t>
            </w:r>
          </w:p>
        </w:tc>
        <w:tc>
          <w:tcPr/>
          <w:p>
            <w:pPr>
              <w:pStyle w:val="Compact"/>
              <w:spacing w:line="360" w:lineRule="auto"/>
            </w:pPr>
            <w:r>
              <w:rPr>
                <w:rFonts w:ascii="Cambria" w:hAnsi="Cambria"/>
                <w:color w:val="000000"/>
              </w:rPr>
              <w:t xml:space="preserve">60d × 0.02</w:t>
            </w:r>
          </w:p>
        </w:tc>
        <w:tc>
          <w:tcPr/>
          <w:p>
            <w:pPr>
              <w:pStyle w:val="Compact"/>
              <w:spacing w:line="360" w:lineRule="auto"/>
            </w:pPr>
            <w:r>
              <w:rPr>
                <w:rFonts w:ascii="Cambria" w:hAnsi="Cambria"/>
                <w:color w:val="000000"/>
              </w:rPr>
              <w:t xml:space="preserve">90d × 0.01</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12</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ε combination</w:t>
            </w:r>
          </w:p>
        </w:tc>
        <w:tc>
          <w:tcPr/>
          <w:p>
            <w:pPr>
              <w:pStyle w:val="Compact"/>
              <w:spacing w:line="360" w:lineRule="auto"/>
            </w:pPr>
            <w:r>
              <w:rPr>
                <w:rFonts w:ascii="Cambria" w:hAnsi="Cambria"/>
                <w:color w:val="000000"/>
              </w:rPr>
              <w:t xml:space="preserve">60d × 0.02</w:t>
            </w:r>
          </w:p>
        </w:tc>
        <w:tc>
          <w:tcPr/>
          <w:p>
            <w:pPr>
              <w:pStyle w:val="Compact"/>
              <w:spacing w:line="360" w:lineRule="auto"/>
            </w:pPr>
            <w:r>
              <w:rPr>
                <w:rFonts w:ascii="Cambria" w:hAnsi="Cambria"/>
                <w:color w:val="000000"/>
              </w:rPr>
              <w:t xml:space="preserve">60d × 0.01</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13</w:t>
            </w:r>
          </w:p>
        </w:tc>
        <w:tc>
          <w:tcPr/>
          <w:p>
            <w:pPr>
              <w:pStyle w:val="Compact"/>
              <w:spacing w:line="360" w:lineRule="auto"/>
            </w:pPr>
            <w:r>
              <w:rPr>
                <w:rFonts w:ascii="Cambria" w:hAnsi="Cambria"/>
                <w:color w:val="000000"/>
              </w:rPr>
              <w:t xml:space="preserve">β × IPTW clip combination</w:t>
            </w:r>
          </w:p>
        </w:tc>
        <w:tc>
          <w:tcPr/>
          <w:p>
            <w:pPr>
              <w:pStyle w:val="Compact"/>
              <w:spacing w:line="360" w:lineRule="auto"/>
            </w:pPr>
            <w:r>
              <w:rPr>
                <w:rFonts w:ascii="Cambria" w:hAnsi="Cambria"/>
                <w:color w:val="000000"/>
              </w:rPr>
              <w:t xml:space="preserve">0.10 × 10</w:t>
            </w:r>
          </w:p>
        </w:tc>
        <w:tc>
          <w:tcPr/>
          <w:p>
            <w:pPr>
              <w:pStyle w:val="Compact"/>
              <w:spacing w:line="360" w:lineRule="auto"/>
            </w:pPr>
            <w:r>
              <w:rPr>
                <w:rFonts w:ascii="Cambria" w:hAnsi="Cambria"/>
                <w:color w:val="000000"/>
              </w:rPr>
              <w:t xml:space="preserve">0.05 × 5</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14</w:t>
            </w:r>
          </w:p>
        </w:tc>
        <w:tc>
          <w:tcPr/>
          <w:p>
            <w:pPr>
              <w:pStyle w:val="Compact"/>
              <w:spacing w:line="360" w:lineRule="auto"/>
            </w:pPr>
            <w:r>
              <w:rPr>
                <w:rFonts w:ascii="Cambria" w:hAnsi="Cambria"/>
                <w:color w:val="000000"/>
              </w:rPr>
              <w:t xml:space="preserve">β × IPTW clip combination</w:t>
            </w:r>
          </w:p>
        </w:tc>
        <w:tc>
          <w:tcPr/>
          <w:p>
            <w:pPr>
              <w:pStyle w:val="Compact"/>
              <w:spacing w:line="360" w:lineRule="auto"/>
            </w:pPr>
            <w:r>
              <w:rPr>
                <w:rFonts w:ascii="Cambria" w:hAnsi="Cambria"/>
                <w:color w:val="000000"/>
              </w:rPr>
              <w:t xml:space="preserve">0.10 × 10</w:t>
            </w:r>
          </w:p>
        </w:tc>
        <w:tc>
          <w:tcPr/>
          <w:p>
            <w:pPr>
              <w:pStyle w:val="Compact"/>
              <w:spacing w:line="360" w:lineRule="auto"/>
            </w:pPr>
            <w:r>
              <w:rPr>
                <w:rFonts w:ascii="Cambria" w:hAnsi="Cambria"/>
                <w:color w:val="000000"/>
              </w:rPr>
              <w:t xml:space="preserve">0.20 × 20</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15</w:t>
            </w:r>
          </w:p>
        </w:tc>
        <w:tc>
          <w:tcPr/>
          <w:p>
            <w:pPr>
              <w:pStyle w:val="Compact"/>
              <w:spacing w:line="360" w:lineRule="auto"/>
            </w:pPr>
            <w:r>
              <w:rPr>
                <w:rFonts w:ascii="Cambria" w:hAnsi="Cambria"/>
                <w:color w:val="000000"/>
              </w:rPr>
              <w:t xml:space="preserve">β × IPTW clip combination</w:t>
            </w:r>
          </w:p>
        </w:tc>
        <w:tc>
          <w:tcPr/>
          <w:p>
            <w:pPr>
              <w:pStyle w:val="Compact"/>
              <w:spacing w:line="360" w:lineRule="auto"/>
            </w:pPr>
            <w:r>
              <w:rPr>
                <w:rFonts w:ascii="Cambria" w:hAnsi="Cambria"/>
                <w:color w:val="000000"/>
              </w:rPr>
              <w:t xml:space="preserve">0.10 × 10</w:t>
            </w:r>
          </w:p>
        </w:tc>
        <w:tc>
          <w:tcPr/>
          <w:p>
            <w:pPr>
              <w:pStyle w:val="Compact"/>
              <w:spacing w:line="360" w:lineRule="auto"/>
            </w:pPr>
            <w:r>
              <w:rPr>
                <w:rFonts w:ascii="Cambria" w:hAnsi="Cambria"/>
                <w:color w:val="000000"/>
              </w:rPr>
              <w:t xml:space="preserve">0.05 × 20</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16</w:t>
            </w:r>
          </w:p>
        </w:tc>
        <w:tc>
          <w:tcPr/>
          <w:p>
            <w:pPr>
              <w:pStyle w:val="Compact"/>
              <w:spacing w:line="360" w:lineRule="auto"/>
            </w:pPr>
            <w:r>
              <w:rPr>
                <w:rFonts w:ascii="Cambria" w:hAnsi="Cambria"/>
                <w:color w:val="000000"/>
              </w:rPr>
              <w:t xml:space="preserve">β × IPTW clip combination</w:t>
            </w:r>
          </w:p>
        </w:tc>
        <w:tc>
          <w:tcPr/>
          <w:p>
            <w:pPr>
              <w:pStyle w:val="Compact"/>
              <w:spacing w:line="360" w:lineRule="auto"/>
            </w:pPr>
            <w:r>
              <w:rPr>
                <w:rFonts w:ascii="Cambria" w:hAnsi="Cambria"/>
                <w:color w:val="000000"/>
              </w:rPr>
              <w:t xml:space="preserve">0.10 × 10</w:t>
            </w:r>
          </w:p>
        </w:tc>
        <w:tc>
          <w:tcPr/>
          <w:p>
            <w:pPr>
              <w:pStyle w:val="Compact"/>
              <w:spacing w:line="360" w:lineRule="auto"/>
            </w:pPr>
            <w:r>
              <w:rPr>
                <w:rFonts w:ascii="Cambria" w:hAnsi="Cambria"/>
                <w:color w:val="000000"/>
              </w:rPr>
              <w:t xml:space="preserve">0.20 × 5</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17</w:t>
            </w:r>
          </w:p>
        </w:tc>
        <w:tc>
          <w:tcPr/>
          <w:p>
            <w:pPr>
              <w:pStyle w:val="Compact"/>
              <w:spacing w:line="360" w:lineRule="auto"/>
            </w:pPr>
            <w:r>
              <w:rPr>
                <w:rFonts w:ascii="Cambria" w:hAnsi="Cambria"/>
                <w:color w:val="000000"/>
              </w:rPr>
              <w:t xml:space="preserve">β × IPTW clip combination</w:t>
            </w:r>
          </w:p>
        </w:tc>
        <w:tc>
          <w:tcPr/>
          <w:p>
            <w:pPr>
              <w:pStyle w:val="Compact"/>
              <w:spacing w:line="360" w:lineRule="auto"/>
            </w:pPr>
            <w:r>
              <w:rPr>
                <w:rFonts w:ascii="Cambria" w:hAnsi="Cambria"/>
                <w:color w:val="000000"/>
              </w:rPr>
              <w:t xml:space="preserve">0.10 × 10</w:t>
            </w:r>
          </w:p>
        </w:tc>
        <w:tc>
          <w:tcPr/>
          <w:p>
            <w:pPr>
              <w:pStyle w:val="Compact"/>
              <w:spacing w:line="360" w:lineRule="auto"/>
            </w:pPr>
            <w:r>
              <w:rPr>
                <w:rFonts w:ascii="Cambria" w:hAnsi="Cambria"/>
                <w:color w:val="000000"/>
              </w:rPr>
              <w:t xml:space="preserve">0.10 × 5</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18</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β combination</w:t>
            </w:r>
          </w:p>
        </w:tc>
        <w:tc>
          <w:tcPr/>
          <w:p>
            <w:pPr>
              <w:pStyle w:val="Compact"/>
              <w:spacing w:line="360" w:lineRule="auto"/>
            </w:pPr>
            <w:r>
              <w:rPr>
                <w:rFonts w:ascii="Cambria" w:hAnsi="Cambria"/>
                <w:color w:val="000000"/>
              </w:rPr>
              <w:t xml:space="preserve">60d × 0.10</w:t>
            </w:r>
          </w:p>
        </w:tc>
        <w:tc>
          <w:tcPr/>
          <w:p>
            <w:pPr>
              <w:pStyle w:val="Compact"/>
              <w:spacing w:line="360" w:lineRule="auto"/>
            </w:pPr>
            <w:r>
              <w:rPr>
                <w:rFonts w:ascii="Cambria" w:hAnsi="Cambria"/>
                <w:color w:val="000000"/>
              </w:rPr>
              <w:t xml:space="preserve">30d × 0.05</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19</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β combination</w:t>
            </w:r>
          </w:p>
        </w:tc>
        <w:tc>
          <w:tcPr/>
          <w:p>
            <w:pPr>
              <w:pStyle w:val="Compact"/>
              <w:spacing w:line="360" w:lineRule="auto"/>
            </w:pPr>
            <w:r>
              <w:rPr>
                <w:rFonts w:ascii="Cambria" w:hAnsi="Cambria"/>
                <w:color w:val="000000"/>
              </w:rPr>
              <w:t xml:space="preserve">60d × 0.10</w:t>
            </w:r>
          </w:p>
        </w:tc>
        <w:tc>
          <w:tcPr/>
          <w:p>
            <w:pPr>
              <w:pStyle w:val="Compact"/>
              <w:spacing w:line="360" w:lineRule="auto"/>
            </w:pPr>
            <w:r>
              <w:rPr>
                <w:rFonts w:ascii="Cambria" w:hAnsi="Cambria"/>
                <w:color w:val="000000"/>
              </w:rPr>
              <w:t xml:space="preserve">90d × 0.20</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β combination</w:t>
            </w:r>
          </w:p>
        </w:tc>
        <w:tc>
          <w:tcPr/>
          <w:p>
            <w:pPr>
              <w:pStyle w:val="Compact"/>
              <w:spacing w:line="360" w:lineRule="auto"/>
            </w:pPr>
            <w:r>
              <w:rPr>
                <w:rFonts w:ascii="Cambria" w:hAnsi="Cambria"/>
                <w:color w:val="000000"/>
              </w:rPr>
              <w:t xml:space="preserve">60d × 0.10</w:t>
            </w:r>
          </w:p>
        </w:tc>
        <w:tc>
          <w:tcPr/>
          <w:p>
            <w:pPr>
              <w:pStyle w:val="Compact"/>
              <w:spacing w:line="360" w:lineRule="auto"/>
            </w:pPr>
            <w:r>
              <w:rPr>
                <w:rFonts w:ascii="Cambria" w:hAnsi="Cambria"/>
                <w:color w:val="000000"/>
              </w:rPr>
              <w:t xml:space="preserve">30d × 0.20</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Yes</w:t>
            </w:r>
          </w:p>
        </w:tc>
        <w:tc>
          <w:tcPr/>
          <w:p>
            <w:pPr>
              <w:pStyle w:val="Compact"/>
              <w:spacing w:line="360" w:lineRule="auto"/>
            </w:pPr>
            <w:r>
              <w:rPr>
                <w:rFonts w:ascii="Cambria" w:hAnsi="Cambria"/>
                <w:color w:val="000000"/>
              </w:rPr>
              <w:t xml:space="preserve">primary reported†</w:t>
            </w:r>
          </w:p>
        </w:tc>
      </w:tr>
      <w:tr>
        <w:tc>
          <w:tcPr/>
          <w:p>
            <w:pPr>
              <w:pStyle w:val="Compact"/>
              <w:spacing w:line="360" w:lineRule="auto"/>
            </w:pPr>
            <w:r>
              <w:rPr>
                <w:rFonts w:ascii="Cambria" w:hAnsi="Cambria"/>
                <w:b/>
                <w:bCs/>
                <w:color w:val="000000"/>
              </w:rPr>
              <w:t xml:space="preserve">Summary</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b/>
                <w:bCs/>
                <w:color w:val="000000"/>
              </w:rPr>
              <w:t xml:space="preserve">0/2 DR-OPE direction changes; 18 training-dependent at primary values†</w:t>
            </w:r>
          </w:p>
        </w:tc>
        <w:tc>
          <w:tcPr/>
          <w:p>
            <w:pPr>
              <w:pStyle w:val="Compact"/>
              <w:spacing w:line="360" w:lineRule="auto"/>
            </w:pPr>
            <w:r>
              <w:rPr>
                <w:rFonts w:ascii="Cambria" w:hAnsi="Cambria"/>
                <w:b/>
                <w:bCs/>
                <w:color w:val="000000"/>
              </w:rPr>
              <w:t xml:space="preserve">1/2 IMI direction changes (ε=0.01, major); 1/2 direction preserved (ε=0.05); 18 training-dependent stable†</w:t>
            </w:r>
          </w:p>
        </w:tc>
        <w:tc>
          <w:tcPr/>
          <w:p>
            <w:pPr>
              <w:pStyle w:val="Compact"/>
              <w:spacing w:line="360" w:lineRule="auto"/>
            </w:pPr>
            <w:r>
              <w:rPr>
                <w:rFonts w:ascii="Cambria" w:hAnsi="Cambria"/>
                <w:b/>
                <w:bCs/>
                <w:color w:val="000000"/>
              </w:rPr>
              <w:t xml:space="preserve">1 major sensitivity finding (ε=0.01, IMI direction change); all DR-OPE directions preserved</w:t>
            </w:r>
          </w:p>
        </w:tc>
      </w:tr>
    </w:tbl>
    <w:p>
      <w:pPr>
        <w:pStyle w:val="BodyText"/>
        <w:spacing w:line="360" w:lineRule="auto"/>
      </w:pPr>
      <w:r>
        <w:rPr>
          <w:rFonts w:ascii="Cambria" w:hAnsi="Cambria"/>
          <w:color w:val="000000"/>
        </w:rPr>
        <w:t xml:space="preserve">T</w:t>
      </w:r>
      <w:r>
        <w:rPr>
          <w:rFonts w:ascii="Cambria" w:hAnsi="Cambria"/>
          <w:color w:val="000000"/>
          <w:vertAlign w:val="subscript"/>
        </w:rPr>
        <w:t xml:space="preserve">min</w:t>
      </w:r>
      <w:r>
        <w:rPr>
          <w:rFonts w:ascii="Cambria" w:hAnsi="Cambria"/>
          <w:color w:val="000000"/>
        </w:rPr>
        <w:t xml:space="preserve"> </w:t>
      </w:r>
      <w:r>
        <w:rPr>
          <w:rFonts w:ascii="Cambria" w:hAnsi="Cambria"/>
          <w:color w:val="000000"/>
        </w:rPr>
        <w:t xml:space="preserve">= minimum WPAD window length; IPTW = inverse probability of treatment weighting; DPO = Direct Preference Optimization; KL = Kullback-Leibler; ε = minimum clinically meaningful improvement threshold for IMI computation; WPAD = Within-Patient Administrative Discontinuity; DR-OPE = doubly robust off-policy evaluation; IMI = Intervention Misalignment Index.</w:t>
      </w:r>
    </w:p>
    <w:p>
      <w:pPr>
        <w:pStyle w:val="BodyText"/>
        <w:spacing w:line="360" w:lineRule="auto"/>
      </w:pPr>
      <w:r>
        <w:rPr>
          <w:rFonts w:ascii="Cambria" w:hAnsi="Cambria"/>
          <w:color w:val="000000"/>
        </w:rPr>
        <w:t xml:space="preserve">†All 20 sensitivity analyses were completed, with full model retraining for the 18 training-dependent analyses (analyses 1, 3–6, 8–20) and held-out test set re-evaluation for the two evaluation-only analyses (2 and 7). IMI remained stable at 1.99%–2.04% across all 18 training-dependent analyses (0.0% relative change), with DR-OPE direction preserved across all values. Among the evaluation-only analyses, IPTW clip threshold variation (analysis 2) produced small DR-OPE magnitude changes (0.043 at clip = 5; 0.039 at clip = 20) with direction preserved, while IMI threshold ε variation (analysis 7) produced large variation: at ε = 0.01, PEARL’s absolute IMI rose to 81.3% (+3,990% relative change), exceeding behavioral routing’s IMI at this lenient threshold and triggering the pre-specified major-limitation flag, and at ε = 0.05, PEARL’s IMI was 2.9% (+45% relative magnitude), with PEARL still better than behavioral routing. The ε = 0.01 major sensitivity finding is reported in the main manuscript Discussion and Appendix Table 3, and DR-OPE direction was preserved across all 20 sensitivity analyses.</w:t>
      </w:r>
    </w:p>
    <w:p>
      <w:pPr>
        <w:spacing w:line="360" w:lineRule="auto"/>
      </w:pPr>
      <w:r>
        <w:rPr>
          <w:rFonts w:ascii="Cambria" w:hAnsi="Cambria"/>
          <w:color w:val="000000"/>
        </w:rPr>
        <w:pict>
          <v:rect style="width:0;height:1.5pt" o:hralign="center" o:hrstd="t" o:hr="t"/>
        </w:pict>
      </w:r>
    </w:p>
    <w:bookmarkEnd w:id="14"/>
    <w:bookmarkStart w:id="15" w:name="Xac5e1b37ea574e35110e83ebeb3d5f3700fd3fe"/>
    <w:p>
      <w:pPr>
        <w:pStyle w:val="Heading2"/>
        <w:spacing w:line="360" w:lineRule="auto"/>
      </w:pPr>
      <w:r>
        <w:rPr>
          <w:rFonts w:ascii="Cambria" w:hAnsi="Cambria"/>
          <w:color w:val="000000"/>
        </w:rPr>
        <w:t xml:space="preserve">Appendix Table 6. Nuisance Model Calibration and Per-Intervention-Type Positivity Diagnostics</w:t>
      </w:r>
    </w:p>
    <w:p>
      <w:pPr>
        <w:pStyle w:val="FirstParagraph"/>
        <w:spacing w:line="360" w:lineRule="auto"/>
      </w:pPr>
      <w:r>
        <w:rPr>
          <w:rFonts w:ascii="Cambria" w:hAnsi="Cambria"/>
          <w:color w:val="000000"/>
        </w:rPr>
        <w:t xml:space="preserve">Appendix Table 6. Nuisance model calibration (training set N = 27,976; evaluation on held-out test set N = 6,995)</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320"/>
        <w:gridCol w:w="1320"/>
        <w:gridCol w:w="1320"/>
        <w:gridCol w:w="1320"/>
        <w:gridCol w:w="1320"/>
        <w:gridCol w:w="1320"/>
      </w:tblGrid>
      <w:tr>
        <w:trPr>
          <w:tblHeader w:val="on"/>
        </w:trPr>
        <w:tc>
          <w:tcPr/>
          <w:p>
            <w:pPr>
              <w:pStyle w:val="Compact"/>
              <w:spacing w:line="360" w:lineRule="auto"/>
            </w:pPr>
            <w:r>
              <w:rPr>
                <w:rFonts w:ascii="Cambria" w:hAnsi="Cambria"/>
                <w:color w:val="000000"/>
              </w:rPr>
              <w:t xml:space="preserve">Model</w:t>
            </w:r>
          </w:p>
        </w:tc>
        <w:tc>
          <w:tcPr/>
          <w:p>
            <w:pPr>
              <w:pStyle w:val="Compact"/>
              <w:spacing w:line="360" w:lineRule="auto"/>
            </w:pPr>
            <w:r>
              <w:rPr>
                <w:rFonts w:ascii="Cambria" w:hAnsi="Cambria"/>
                <w:color w:val="000000"/>
              </w:rPr>
              <w:t xml:space="preserve">Purpose</w:t>
            </w:r>
          </w:p>
        </w:tc>
        <w:tc>
          <w:tcPr/>
          <w:p>
            <w:pPr>
              <w:pStyle w:val="Compact"/>
              <w:spacing w:line="360" w:lineRule="auto"/>
            </w:pPr>
            <w:r>
              <w:rPr>
                <w:rFonts w:ascii="Cambria" w:hAnsi="Cambria"/>
                <w:color w:val="000000"/>
              </w:rPr>
              <w:t xml:space="preserve">One-vs-rest AUC (range across types)</w:t>
            </w:r>
          </w:p>
        </w:tc>
        <w:tc>
          <w:tcPr/>
          <w:p>
            <w:pPr>
              <w:pStyle w:val="Compact"/>
              <w:spacing w:line="360" w:lineRule="auto"/>
            </w:pPr>
            <w:r>
              <w:rPr>
                <w:rFonts w:ascii="Cambria" w:hAnsi="Cambria"/>
                <w:color w:val="000000"/>
              </w:rPr>
              <w:t xml:space="preserve">Outcome Brier score</w:t>
            </w:r>
          </w:p>
        </w:tc>
        <w:tc>
          <w:tcPr/>
          <w:p>
            <w:pPr>
              <w:pStyle w:val="Compact"/>
              <w:spacing w:line="360" w:lineRule="auto"/>
            </w:pPr>
            <w:r>
              <w:rPr>
                <w:rFonts w:ascii="Cambria" w:hAnsi="Cambria"/>
                <w:color w:val="000000"/>
              </w:rPr>
              <w:t xml:space="preserve">Hosmer-Lemeshow p</w:t>
            </w:r>
          </w:p>
        </w:tc>
        <w:tc>
          <w:tcPr/>
          <w:p>
            <w:pPr>
              <w:pStyle w:val="Compact"/>
              <w:spacing w:line="360" w:lineRule="auto"/>
            </w:pPr>
            <w:r>
              <w:rPr>
                <w:rFonts w:ascii="Cambria" w:hAnsi="Cambria"/>
                <w:color w:val="000000"/>
              </w:rPr>
              <w:t xml:space="preserve">Notes</w:t>
            </w:r>
          </w:p>
        </w:tc>
      </w:tr>
      <w:tr>
        <w:tc>
          <w:tcPr/>
          <w:p>
            <w:pPr>
              <w:pStyle w:val="Compact"/>
              <w:spacing w:line="360" w:lineRule="auto"/>
            </w:pPr>
            <w:r>
              <w:rPr>
                <w:rFonts w:ascii="Cambria" w:hAnsi="Cambria"/>
                <w:color w:val="000000"/>
              </w:rPr>
              <w:t xml:space="preserve">Propensity model (L1-regularized multinomial logistic regression)</w:t>
            </w:r>
          </w:p>
        </w:tc>
        <w:tc>
          <w:tcPr/>
          <w:p>
            <w:pPr>
              <w:pStyle w:val="Compact"/>
              <w:spacing w:line="360" w:lineRule="auto"/>
            </w:pPr>
            <w:r>
              <w:rPr>
                <w:rFonts w:ascii="Cambria" w:hAnsi="Cambria"/>
                <w:color w:val="000000"/>
              </w:rPr>
              <w:t xml:space="preserve">P(intervention type A | patient context X)</w:t>
            </w:r>
          </w:p>
        </w:tc>
        <w:tc>
          <w:tcPr/>
          <w:p>
            <w:pPr>
              <w:pStyle w:val="Compact"/>
              <w:spacing w:line="360" w:lineRule="auto"/>
            </w:pPr>
            <w:r>
              <w:rPr>
                <w:rFonts w:ascii="Cambria" w:hAnsi="Cambria"/>
                <w:color w:val="000000"/>
              </w:rPr>
              <w:t xml:space="preserve">0.71 (range: 0.65–0.79)</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0.42 (adequate)</w:t>
            </w:r>
          </w:p>
        </w:tc>
        <w:tc>
          <w:tcPr/>
          <w:p>
            <w:pPr>
              <w:pStyle w:val="Compact"/>
              <w:spacing w:line="360" w:lineRule="auto"/>
            </w:pPr>
            <w:r>
              <w:rPr>
                <w:rFonts w:ascii="Cambria" w:hAnsi="Cambria"/>
                <w:color w:val="000000"/>
              </w:rPr>
              <w:t xml:space="preserve">Multinomial outcome; Brier score not applicable; per-type AUC range reflects variation in type discriminability by clinical covariates</w:t>
            </w:r>
          </w:p>
        </w:tc>
      </w:tr>
      <w:tr>
        <w:tc>
          <w:tcPr/>
          <w:p>
            <w:pPr>
              <w:pStyle w:val="Compact"/>
              <w:spacing w:line="360" w:lineRule="auto"/>
            </w:pPr>
            <w:r>
              <w:rPr>
                <w:rFonts w:ascii="Cambria" w:hAnsi="Cambria"/>
                <w:color w:val="000000"/>
              </w:rPr>
              <w:t xml:space="preserve">Outcome model (IPTW-weighted gradient boosted classifier, S-learner)</w:t>
            </w:r>
          </w:p>
        </w:tc>
        <w:tc>
          <w:tcPr/>
          <w:p>
            <w:pPr>
              <w:pStyle w:val="Compact"/>
              <w:spacing w:line="360" w:lineRule="auto"/>
            </w:pPr>
            <w:r>
              <w:rPr>
                <w:rFonts w:ascii="Cambria" w:hAnsi="Cambria"/>
                <w:color w:val="000000"/>
              </w:rPr>
              <w:t xml:space="preserve">P(90-day composite acute care event | X, A)</w:t>
            </w:r>
          </w:p>
        </w:tc>
        <w:tc>
          <w:tcPr/>
          <w:p>
            <w:pPr>
              <w:pStyle w:val="Compact"/>
              <w:spacing w:line="360" w:lineRule="auto"/>
            </w:pPr>
            <w:r>
              <w:rPr>
                <w:rFonts w:ascii="Cambria" w:hAnsi="Cambria"/>
                <w:color w:val="000000"/>
              </w:rPr>
              <w:t xml:space="preserve">0.74 (range: 0.71–0.77)</w:t>
            </w:r>
          </w:p>
        </w:tc>
        <w:tc>
          <w:tcPr/>
          <w:p>
            <w:pPr>
              <w:pStyle w:val="Compact"/>
              <w:spacing w:line="360" w:lineRule="auto"/>
            </w:pPr>
            <w:r>
              <w:rPr>
                <w:rFonts w:ascii="Cambria" w:hAnsi="Cambria"/>
                <w:color w:val="000000"/>
              </w:rPr>
              <w:t xml:space="preserve">0.035</w:t>
            </w:r>
          </w:p>
        </w:tc>
        <w:tc>
          <w:tcPr/>
          <w:p>
            <w:pPr>
              <w:pStyle w:val="Compact"/>
              <w:spacing w:line="360" w:lineRule="auto"/>
            </w:pPr>
            <w:r>
              <w:rPr>
                <w:rFonts w:ascii="Cambria" w:hAnsi="Cambria"/>
                <w:color w:val="000000"/>
              </w:rPr>
              <w:t xml:space="preserve">0.38 (adequate)</w:t>
            </w:r>
          </w:p>
        </w:tc>
        <w:tc>
          <w:tcPr/>
          <w:p>
            <w:pPr>
              <w:pStyle w:val="Compact"/>
              <w:spacing w:line="360" w:lineRule="auto"/>
            </w:pPr>
            <w:r>
              <w:rPr>
                <w:rFonts w:ascii="Cambria" w:hAnsi="Cambria"/>
                <w:color w:val="000000"/>
              </w:rPr>
              <w:t xml:space="preserve">Fitted separately per intervention type; AUC range reflects variation in outcome predictability across types; overall Brier score evaluated across all patients and types</w:t>
            </w:r>
          </w:p>
        </w:tc>
      </w:tr>
      <w:tr>
        <w:tc>
          <w:tcPr/>
          <w:p>
            <w:pPr>
              <w:pStyle w:val="Compact"/>
              <w:spacing w:line="360" w:lineRule="auto"/>
            </w:pPr>
            <w:r>
              <w:rPr>
                <w:rFonts w:ascii="Cambria" w:hAnsi="Cambria"/>
                <w:color w:val="000000"/>
              </w:rPr>
              <w:t xml:space="preserve">Within-WPAD propensity model (L1-regularized multinomial logistic regression, fitted on ON-window patients only)</w:t>
            </w:r>
          </w:p>
        </w:tc>
        <w:tc>
          <w:tcPr/>
          <w:p>
            <w:pPr>
              <w:pStyle w:val="Compact"/>
              <w:spacing w:line="360" w:lineRule="auto"/>
            </w:pPr>
            <w:r>
              <w:rPr>
                <w:rFonts w:ascii="Cambria" w:hAnsi="Cambria"/>
                <w:color w:val="000000"/>
              </w:rPr>
              <w:t xml:space="preserve">P(intervention type A | X) within WPAD ON-window patients</w:t>
            </w:r>
          </w:p>
        </w:tc>
        <w:tc>
          <w:tcPr/>
          <w:p>
            <w:pPr>
              <w:pStyle w:val="Compact"/>
              <w:spacing w:line="360" w:lineRule="auto"/>
            </w:pPr>
            <w:r>
              <w:rPr>
                <w:rFonts w:ascii="Cambria" w:hAnsi="Cambria"/>
                <w:color w:val="000000"/>
              </w:rPr>
              <w:t xml:space="preserve">0.72 (range: 0.67–0.78)</w:t>
            </w:r>
          </w:p>
        </w:tc>
        <w:tc>
          <w:tcPr/>
          <w:p>
            <w:pPr>
              <w:pStyle w:val="Compact"/>
              <w:spacing w:line="360" w:lineRule="auto"/>
            </w:pPr>
            <w:r>
              <w:rPr>
                <w:rFonts w:ascii="Cambria" w:hAnsi="Cambria"/>
                <w:color w:val="000000"/>
              </w:rPr>
              <w:t xml:space="preserve">—</w:t>
            </w:r>
          </w:p>
        </w:tc>
        <w:tc>
          <w:tcPr/>
          <w:p>
            <w:pPr>
              <w:pStyle w:val="Compact"/>
              <w:spacing w:line="360" w:lineRule="auto"/>
            </w:pPr>
            <w:r>
              <w:rPr>
                <w:rFonts w:ascii="Cambria" w:hAnsi="Cambria"/>
                <w:color w:val="000000"/>
              </w:rPr>
              <w:t xml:space="preserve">0.41 (adequate)</w:t>
            </w:r>
          </w:p>
        </w:tc>
        <w:tc>
          <w:tcPr/>
          <w:p>
            <w:pPr>
              <w:pStyle w:val="Compact"/>
              <w:spacing w:line="360" w:lineRule="auto"/>
            </w:pPr>
            <w:r>
              <w:rPr>
                <w:rFonts w:ascii="Cambria" w:hAnsi="Cambria"/>
                <w:color w:val="000000"/>
              </w:rPr>
              <w:t xml:space="preserve">Secondary analysis for observable type-level confounding within ON-windows; N = 622 patients; provides sensitivity data, not a new causal identification — see Appendix Table 8</w:t>
            </w:r>
          </w:p>
        </w:tc>
      </w:tr>
    </w:tbl>
    <w:p>
      <w:pPr>
        <w:pStyle w:val="BodyText"/>
        <w:spacing w:line="360" w:lineRule="auto"/>
      </w:pPr>
      <w:r>
        <w:rPr>
          <w:rFonts w:ascii="Cambria" w:hAnsi="Cambria"/>
          <w:color w:val="000000"/>
        </w:rPr>
        <w:t xml:space="preserve">AUC = area under the receiver operating characteristic curve; Brier score = mean squared error of predicted probabilities against observed outcomes. Hosmer-Lemeshow test uses 10 deciles of predicted probability; p &gt; 0.05 indicates adequate calibration. The within-WPAD propensity model AUC of 0.72 indicates that observable patient characteristics explain a substantial but incomplete portion of intervention type variation within ON-windows; residual unexplained variation is potentially attributable to unmeasured CHW judgment, which the E-value analysis (main text) quantifies.</w:t>
      </w:r>
    </w:p>
    <w:p>
      <w:pPr>
        <w:spacing w:line="360" w:lineRule="auto"/>
      </w:pPr>
      <w:r>
        <w:rPr>
          <w:rFonts w:ascii="Cambria" w:hAnsi="Cambria"/>
          <w:color w:val="000000"/>
        </w:rPr>
        <w:pict>
          <v:rect style="width:0;height:1.5pt" o:hralign="center" o:hrstd="t" o:hr="t"/>
        </w:pict>
      </w:r>
    </w:p>
    <w:p>
      <w:pPr>
        <w:pStyle w:val="FirstParagraph"/>
        <w:spacing w:line="360" w:lineRule="auto"/>
      </w:pPr>
      <w:r>
        <w:rPr>
          <w:rFonts w:ascii="Cambria" w:hAnsi="Cambria"/>
          <w:color w:val="000000"/>
        </w:rPr>
        <w:t xml:space="preserve">Appendix Table 7. Per-intervention-type positivity diagnostics (test set N = 6,995; categories collapsed from 14-type taxonomy for presentation)</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990"/>
        <w:gridCol w:w="990"/>
        <w:gridCol w:w="990"/>
        <w:gridCol w:w="990"/>
        <w:gridCol w:w="990"/>
        <w:gridCol w:w="990"/>
        <w:gridCol w:w="990"/>
        <w:gridCol w:w="990"/>
      </w:tblGrid>
      <w:tr>
        <w:trPr>
          <w:tblHeader w:val="on"/>
        </w:trPr>
        <w:tc>
          <w:tcPr/>
          <w:p>
            <w:pPr>
              <w:pStyle w:val="Compact"/>
              <w:spacing w:line="360" w:lineRule="auto"/>
            </w:pPr>
            <w:r>
              <w:rPr>
                <w:rFonts w:ascii="Cambria" w:hAnsi="Cambria"/>
                <w:color w:val="000000"/>
              </w:rPr>
              <w:t xml:space="preserve">Intervention type (collapsed)</w:t>
            </w:r>
          </w:p>
        </w:tc>
        <w:tc>
          <w:tcPr/>
          <w:p>
            <w:pPr>
              <w:pStyle w:val="Compact"/>
              <w:spacing w:line="360" w:lineRule="auto"/>
            </w:pPr>
            <w:r>
              <w:rPr>
                <w:rFonts w:ascii="Cambria" w:hAnsi="Cambria"/>
                <w:color w:val="000000"/>
              </w:rPr>
              <w:t xml:space="preserve">Constituent 14-category types</w:t>
            </w:r>
          </w:p>
        </w:tc>
        <w:tc>
          <w:tcPr/>
          <w:p>
            <w:pPr>
              <w:pStyle w:val="Compact"/>
              <w:spacing w:line="360" w:lineRule="auto"/>
            </w:pPr>
            <w:r>
              <w:rPr>
                <w:rFonts w:ascii="Cambria" w:hAnsi="Cambria"/>
                <w:color w:val="000000"/>
              </w:rPr>
              <w:t xml:space="preserve">Behavioral policy proportion</w:t>
            </w:r>
          </w:p>
        </w:tc>
        <w:tc>
          <w:tcPr/>
          <w:p>
            <w:pPr>
              <w:pStyle w:val="Compact"/>
              <w:spacing w:line="360" w:lineRule="auto"/>
            </w:pPr>
            <w:r>
              <w:rPr>
                <w:rFonts w:ascii="Cambria" w:hAnsi="Cambria"/>
                <w:color w:val="000000"/>
              </w:rPr>
              <w:t xml:space="preserve">5th-percentile propensity</w:t>
            </w:r>
          </w:p>
        </w:tc>
        <w:tc>
          <w:tcPr/>
          <w:p>
            <w:pPr>
              <w:pStyle w:val="Compact"/>
              <w:spacing w:line="360" w:lineRule="auto"/>
            </w:pPr>
            <w:r>
              <w:rPr>
                <w:rFonts w:ascii="Cambria" w:hAnsi="Cambria"/>
                <w:color w:val="000000"/>
              </w:rPr>
              <w:t xml:space="preserve">Median propensity</w:t>
            </w:r>
          </w:p>
        </w:tc>
        <w:tc>
          <w:tcPr/>
          <w:p>
            <w:pPr>
              <w:pStyle w:val="Compact"/>
              <w:spacing w:line="360" w:lineRule="auto"/>
            </w:pPr>
            <w:r>
              <w:rPr>
                <w:rFonts w:ascii="Cambria" w:hAnsi="Cambria"/>
                <w:color w:val="000000"/>
              </w:rPr>
              <w:t xml:space="preserve">AIPW outcome model ESS</w:t>
            </w:r>
          </w:p>
        </w:tc>
        <w:tc>
          <w:tcPr/>
          <w:p>
            <w:pPr>
              <w:pStyle w:val="Compact"/>
              <w:spacing w:line="360" w:lineRule="auto"/>
            </w:pPr>
            <w:r>
              <w:rPr>
                <w:rFonts w:ascii="Cambria" w:hAnsi="Cambria"/>
                <w:color w:val="000000"/>
              </w:rPr>
              <w:t xml:space="preserve">Coverage (propensity ≥ 0.01)</w:t>
            </w:r>
          </w:p>
        </w:tc>
        <w:tc>
          <w:tcPr/>
          <w:p>
            <w:pPr>
              <w:pStyle w:val="Compact"/>
              <w:spacing w:line="360" w:lineRule="auto"/>
            </w:pPr>
            <w:r>
              <w:rPr>
                <w:rFonts w:ascii="Cambria" w:hAnsi="Cambria"/>
                <w:color w:val="000000"/>
              </w:rPr>
              <w:t xml:space="preserve">Notes</w:t>
            </w:r>
          </w:p>
        </w:tc>
      </w:tr>
      <w:tr>
        <w:tc>
          <w:tcPr/>
          <w:p>
            <w:pPr>
              <w:pStyle w:val="Compact"/>
              <w:spacing w:line="360" w:lineRule="auto"/>
            </w:pPr>
            <w:r>
              <w:rPr>
                <w:rFonts w:ascii="Cambria" w:hAnsi="Cambria"/>
                <w:color w:val="000000"/>
              </w:rPr>
              <w:t xml:space="preserve">Care access coordination</w:t>
            </w:r>
          </w:p>
        </w:tc>
        <w:tc>
          <w:tcPr/>
          <w:p>
            <w:pPr>
              <w:pStyle w:val="Compact"/>
              <w:spacing w:line="360" w:lineRule="auto"/>
            </w:pPr>
            <w:r>
              <w:rPr>
                <w:rFonts w:ascii="Cambria" w:hAnsi="Cambria"/>
                <w:color w:val="000000"/>
              </w:rPr>
              <w:t xml:space="preserve">care_access</w:t>
            </w:r>
          </w:p>
        </w:tc>
        <w:tc>
          <w:tcPr/>
          <w:p>
            <w:pPr>
              <w:pStyle w:val="Compact"/>
              <w:spacing w:line="360" w:lineRule="auto"/>
            </w:pPr>
            <w:r>
              <w:rPr>
                <w:rFonts w:ascii="Cambria" w:hAnsi="Cambria"/>
                <w:color w:val="000000"/>
              </w:rPr>
              <w:t xml:space="preserve">52.5%</w:t>
            </w:r>
          </w:p>
        </w:tc>
        <w:tc>
          <w:tcPr/>
          <w:p>
            <w:pPr>
              <w:pStyle w:val="Compact"/>
              <w:spacing w:line="360" w:lineRule="auto"/>
            </w:pPr>
            <w:r>
              <w:rPr>
                <w:rFonts w:ascii="Cambria" w:hAnsi="Cambria"/>
                <w:color w:val="000000"/>
              </w:rPr>
              <w:t xml:space="preserve">0.27</w:t>
            </w:r>
          </w:p>
        </w:tc>
        <w:tc>
          <w:tcPr/>
          <w:p>
            <w:pPr>
              <w:pStyle w:val="Compact"/>
              <w:spacing w:line="360" w:lineRule="auto"/>
            </w:pPr>
            <w:r>
              <w:rPr>
                <w:rFonts w:ascii="Cambria" w:hAnsi="Cambria"/>
                <w:color w:val="000000"/>
              </w:rPr>
              <w:t xml:space="preserve">0.52</w:t>
            </w:r>
          </w:p>
        </w:tc>
        <w:tc>
          <w:tcPr/>
          <w:p>
            <w:pPr>
              <w:pStyle w:val="Compact"/>
              <w:spacing w:line="360" w:lineRule="auto"/>
            </w:pPr>
            <w:r>
              <w:rPr>
                <w:rFonts w:ascii="Cambria" w:hAnsi="Cambria"/>
                <w:color w:val="000000"/>
              </w:rPr>
              <w:t xml:space="preserve">6,720</w:t>
            </w:r>
          </w:p>
        </w:tc>
        <w:tc>
          <w:tcPr/>
          <w:p>
            <w:pPr>
              <w:pStyle w:val="Compact"/>
              <w:spacing w:line="360" w:lineRule="auto"/>
            </w:pPr>
            <w:r>
              <w:rPr>
                <w:rFonts w:ascii="Cambria" w:hAnsi="Cambria"/>
                <w:color w:val="000000"/>
              </w:rPr>
              <w:t xml:space="preserve">100.0%</w:t>
            </w:r>
          </w:p>
        </w:tc>
        <w:tc>
          <w:tcPr/>
          <w:p>
            <w:pPr>
              <w:pStyle w:val="Compact"/>
              <w:spacing w:line="360" w:lineRule="auto"/>
            </w:pPr>
            <w:r>
              <w:rPr>
                <w:rFonts w:ascii="Cambria" w:hAnsi="Cambria"/>
                <w:color w:val="000000"/>
              </w:rPr>
              <w:t xml:space="preserve">Well-supported; minimal counterfactual extrapolation required</w:t>
            </w:r>
          </w:p>
        </w:tc>
      </w:tr>
      <w:tr>
        <w:tc>
          <w:tcPr/>
          <w:p>
            <w:pPr>
              <w:pStyle w:val="Compact"/>
              <w:spacing w:line="360" w:lineRule="auto"/>
            </w:pPr>
            <w:r>
              <w:rPr>
                <w:rFonts w:ascii="Cambria" w:hAnsi="Cambria"/>
                <w:color w:val="000000"/>
              </w:rPr>
              <w:t xml:space="preserve">Behavioral health referral</w:t>
            </w:r>
          </w:p>
        </w:tc>
        <w:tc>
          <w:tcPr/>
          <w:p>
            <w:pPr>
              <w:pStyle w:val="Compact"/>
              <w:spacing w:line="360" w:lineRule="auto"/>
            </w:pPr>
            <w:r>
              <w:rPr>
                <w:rFonts w:ascii="Cambria" w:hAnsi="Cambria"/>
                <w:color w:val="000000"/>
              </w:rPr>
              <w:t xml:space="preserve">mental_health</w:t>
            </w:r>
          </w:p>
        </w:tc>
        <w:tc>
          <w:tcPr/>
          <w:p>
            <w:pPr>
              <w:pStyle w:val="Compact"/>
              <w:spacing w:line="360" w:lineRule="auto"/>
            </w:pPr>
            <w:r>
              <w:rPr>
                <w:rFonts w:ascii="Cambria" w:hAnsi="Cambria"/>
                <w:color w:val="000000"/>
              </w:rPr>
              <w:t xml:space="preserve">27.8%</w:t>
            </w:r>
          </w:p>
        </w:tc>
        <w:tc>
          <w:tcPr/>
          <w:p>
            <w:pPr>
              <w:pStyle w:val="Compact"/>
              <w:spacing w:line="360" w:lineRule="auto"/>
            </w:pPr>
            <w:r>
              <w:rPr>
                <w:rFonts w:ascii="Cambria" w:hAnsi="Cambria"/>
                <w:color w:val="000000"/>
              </w:rPr>
              <w:t xml:space="preserve">0.14</w:t>
            </w:r>
          </w:p>
        </w:tc>
        <w:tc>
          <w:tcPr/>
          <w:p>
            <w:pPr>
              <w:pStyle w:val="Compact"/>
              <w:spacing w:line="360" w:lineRule="auto"/>
            </w:pPr>
            <w:r>
              <w:rPr>
                <w:rFonts w:ascii="Cambria" w:hAnsi="Cambria"/>
                <w:color w:val="000000"/>
              </w:rPr>
              <w:t xml:space="preserve">0.28</w:t>
            </w:r>
          </w:p>
        </w:tc>
        <w:tc>
          <w:tcPr/>
          <w:p>
            <w:pPr>
              <w:pStyle w:val="Compact"/>
              <w:spacing w:line="360" w:lineRule="auto"/>
            </w:pPr>
            <w:r>
              <w:rPr>
                <w:rFonts w:ascii="Cambria" w:hAnsi="Cambria"/>
                <w:color w:val="000000"/>
              </w:rPr>
              <w:t xml:space="preserve">5,890</w:t>
            </w:r>
          </w:p>
        </w:tc>
        <w:tc>
          <w:tcPr/>
          <w:p>
            <w:pPr>
              <w:pStyle w:val="Compact"/>
              <w:spacing w:line="360" w:lineRule="auto"/>
            </w:pPr>
            <w:r>
              <w:rPr>
                <w:rFonts w:ascii="Cambria" w:hAnsi="Cambria"/>
                <w:color w:val="000000"/>
              </w:rPr>
              <w:t xml:space="preserve">100.0%</w:t>
            </w:r>
          </w:p>
        </w:tc>
        <w:tc>
          <w:tcPr/>
          <w:p>
            <w:pPr>
              <w:pStyle w:val="Compact"/>
              <w:spacing w:line="360" w:lineRule="auto"/>
            </w:pPr>
            <w:r>
              <w:rPr>
                <w:rFonts w:ascii="Cambria" w:hAnsi="Cambria"/>
                <w:color w:val="000000"/>
              </w:rPr>
              <w:t xml:space="preserve">Well-supported</w:t>
            </w:r>
          </w:p>
        </w:tc>
      </w:tr>
      <w:tr>
        <w:tc>
          <w:tcPr/>
          <w:p>
            <w:pPr>
              <w:pStyle w:val="Compact"/>
              <w:spacing w:line="360" w:lineRule="auto"/>
            </w:pPr>
            <w:r>
              <w:rPr>
                <w:rFonts w:ascii="Cambria" w:hAnsi="Cambria"/>
                <w:color w:val="000000"/>
              </w:rPr>
              <w:t xml:space="preserve">Chronic disease management</w:t>
            </w:r>
          </w:p>
        </w:tc>
        <w:tc>
          <w:tcPr/>
          <w:p>
            <w:pPr>
              <w:pStyle w:val="Compact"/>
              <w:spacing w:line="360" w:lineRule="auto"/>
            </w:pPr>
            <w:r>
              <w:rPr>
                <w:rFonts w:ascii="Cambria" w:hAnsi="Cambria"/>
                <w:color w:val="000000"/>
              </w:rPr>
              <w:t xml:space="preserve">hypertension, pulmonary, medication_adherence, diabetes, heart_failure, maternal</w:t>
            </w:r>
          </w:p>
        </w:tc>
        <w:tc>
          <w:tcPr/>
          <w:p>
            <w:pPr>
              <w:pStyle w:val="Compact"/>
              <w:spacing w:line="360" w:lineRule="auto"/>
            </w:pPr>
            <w:r>
              <w:rPr>
                <w:rFonts w:ascii="Cambria" w:hAnsi="Cambria"/>
                <w:color w:val="000000"/>
              </w:rPr>
              <w:t xml:space="preserve">17.1%</w:t>
            </w:r>
          </w:p>
        </w:tc>
        <w:tc>
          <w:tcPr/>
          <w:p>
            <w:pPr>
              <w:pStyle w:val="Compact"/>
              <w:spacing w:line="360" w:lineRule="auto"/>
            </w:pPr>
            <w:r>
              <w:rPr>
                <w:rFonts w:ascii="Cambria" w:hAnsi="Cambria"/>
                <w:color w:val="000000"/>
              </w:rPr>
              <w:t xml:space="preserve">0.04</w:t>
            </w:r>
          </w:p>
        </w:tc>
        <w:tc>
          <w:tcPr/>
          <w:p>
            <w:pPr>
              <w:pStyle w:val="Compact"/>
              <w:spacing w:line="360" w:lineRule="auto"/>
            </w:pPr>
            <w:r>
              <w:rPr>
                <w:rFonts w:ascii="Cambria" w:hAnsi="Cambria"/>
                <w:color w:val="000000"/>
              </w:rPr>
              <w:t xml:space="preserve">0.17</w:t>
            </w:r>
          </w:p>
        </w:tc>
        <w:tc>
          <w:tcPr/>
          <w:p>
            <w:pPr>
              <w:pStyle w:val="Compact"/>
              <w:spacing w:line="360" w:lineRule="auto"/>
            </w:pPr>
            <w:r>
              <w:rPr>
                <w:rFonts w:ascii="Cambria" w:hAnsi="Cambria"/>
                <w:color w:val="000000"/>
              </w:rPr>
              <w:t xml:space="preserve">4,150</w:t>
            </w:r>
          </w:p>
        </w:tc>
        <w:tc>
          <w:tcPr/>
          <w:p>
            <w:pPr>
              <w:pStyle w:val="Compact"/>
              <w:spacing w:line="360" w:lineRule="auto"/>
            </w:pPr>
            <w:r>
              <w:rPr>
                <w:rFonts w:ascii="Cambria" w:hAnsi="Cambria"/>
                <w:color w:val="000000"/>
              </w:rPr>
              <w:t xml:space="preserve">98.2%</w:t>
            </w:r>
          </w:p>
        </w:tc>
        <w:tc>
          <w:tcPr/>
          <w:p>
            <w:pPr>
              <w:pStyle w:val="Compact"/>
              <w:spacing w:line="360" w:lineRule="auto"/>
            </w:pPr>
            <w:r>
              <w:rPr>
                <w:rFonts w:ascii="Cambria" w:hAnsi="Cambria"/>
                <w:color w:val="000000"/>
              </w:rPr>
              <w:t xml:space="preserve">Adequate support; 1.8% of patients fall below positivity threshold (propensity &lt; 0.01); Manski bounds computed for these patients</w:t>
            </w:r>
          </w:p>
        </w:tc>
      </w:tr>
      <w:tr>
        <w:tc>
          <w:tcPr/>
          <w:p>
            <w:pPr>
              <w:pStyle w:val="Compact"/>
              <w:spacing w:line="360" w:lineRule="auto"/>
            </w:pPr>
            <w:r>
              <w:rPr>
                <w:rFonts w:ascii="Cambria" w:hAnsi="Cambria"/>
                <w:color w:val="000000"/>
              </w:rPr>
              <w:t xml:space="preserve">Social needs navigation</w:t>
            </w:r>
          </w:p>
        </w:tc>
        <w:tc>
          <w:tcPr/>
          <w:p>
            <w:pPr>
              <w:pStyle w:val="Compact"/>
              <w:spacing w:line="360" w:lineRule="auto"/>
            </w:pPr>
            <w:r>
              <w:rPr>
                <w:rFonts w:ascii="Cambria" w:hAnsi="Cambria"/>
                <w:color w:val="000000"/>
              </w:rPr>
              <w:t xml:space="preserve">food_security, transport_utilities, housing, financial_benefits, clinical_other, substance_use</w:t>
            </w:r>
          </w:p>
        </w:tc>
        <w:tc>
          <w:tcPr/>
          <w:p>
            <w:pPr>
              <w:pStyle w:val="Compact"/>
              <w:spacing w:line="360" w:lineRule="auto"/>
            </w:pPr>
            <w:r>
              <w:rPr>
                <w:rFonts w:ascii="Cambria" w:hAnsi="Cambria"/>
                <w:color w:val="000000"/>
              </w:rPr>
              <w:t xml:space="preserve">2.6%</w:t>
            </w:r>
          </w:p>
        </w:tc>
        <w:tc>
          <w:tcPr/>
          <w:p>
            <w:pPr>
              <w:pStyle w:val="Compact"/>
              <w:spacing w:line="360" w:lineRule="auto"/>
            </w:pPr>
            <w:r>
              <w:rPr>
                <w:rFonts w:ascii="Cambria" w:hAnsi="Cambria"/>
                <w:color w:val="000000"/>
              </w:rPr>
              <w:t xml:space="preserve">0.003</w:t>
            </w:r>
          </w:p>
        </w:tc>
        <w:tc>
          <w:tcPr/>
          <w:p>
            <w:pPr>
              <w:pStyle w:val="Compact"/>
              <w:spacing w:line="360" w:lineRule="auto"/>
            </w:pPr>
            <w:r>
              <w:rPr>
                <w:rFonts w:ascii="Cambria" w:hAnsi="Cambria"/>
                <w:color w:val="000000"/>
              </w:rPr>
              <w:t xml:space="preserve">0.026</w:t>
            </w:r>
          </w:p>
        </w:tc>
        <w:tc>
          <w:tcPr/>
          <w:p>
            <w:pPr>
              <w:pStyle w:val="Compact"/>
              <w:spacing w:line="360" w:lineRule="auto"/>
            </w:pPr>
            <w:r>
              <w:rPr>
                <w:rFonts w:ascii="Cambria" w:hAnsi="Cambria"/>
                <w:color w:val="000000"/>
              </w:rPr>
              <w:t xml:space="preserve">1,430</w:t>
            </w:r>
          </w:p>
        </w:tc>
        <w:tc>
          <w:tcPr/>
          <w:p>
            <w:pPr>
              <w:pStyle w:val="Compact"/>
              <w:spacing w:line="360" w:lineRule="auto"/>
            </w:pPr>
            <w:r>
              <w:rPr>
                <w:rFonts w:ascii="Cambria" w:hAnsi="Cambria"/>
                <w:color w:val="000000"/>
              </w:rPr>
              <w:t xml:space="preserve">84.3%</w:t>
            </w:r>
          </w:p>
        </w:tc>
        <w:tc>
          <w:tcPr/>
          <w:p>
            <w:pPr>
              <w:pStyle w:val="Compact"/>
              <w:spacing w:line="360" w:lineRule="auto"/>
            </w:pPr>
            <w:r>
              <w:rPr>
                <w:rFonts w:ascii="Cambria" w:hAnsi="Cambria"/>
                <w:b/>
                <w:bCs/>
                <w:color w:val="000000"/>
              </w:rPr>
              <w:t xml:space="preserve">Limited support</w:t>
            </w:r>
            <w:r>
              <w:rPr>
                <w:rFonts w:ascii="Cambria" w:hAnsi="Cambria"/>
                <w:color w:val="000000"/>
              </w:rPr>
              <w:t xml:space="preserve">: 15.7% of patients fall below positivity threshold; Manski partial identification bounds applied (main manuscript, Methods: Intervention Misalignment Index)</w:t>
            </w:r>
          </w:p>
        </w:tc>
      </w:tr>
    </w:tbl>
    <w:p>
      <w:pPr>
        <w:pStyle w:val="BodyText"/>
        <w:spacing w:line="360" w:lineRule="auto"/>
      </w:pPr>
      <w:r>
        <w:rPr>
          <w:rFonts w:ascii="Cambria" w:hAnsi="Cambria"/>
          <w:color w:val="000000"/>
        </w:rPr>
        <w:t xml:space="preserve">AIPW ESS = effective sample size for augmented inverse probability weighting, computed as (Σw</w:t>
      </w:r>
      <w:r>
        <w:rPr>
          <w:rFonts w:ascii="Cambria" w:hAnsi="Cambria"/>
          <w:color w:val="000000"/>
          <w:vertAlign w:val="subscript"/>
        </w:rPr>
        <w:t xml:space="preserve">i</w:t>
      </w:r>
      <w:r>
        <w:rPr>
          <w:rFonts w:ascii="Cambria" w:hAnsi="Cambria"/>
          <w:color w:val="000000"/>
        </w:rPr>
        <w:t xml:space="preserve">)² / Σw</w:t>
      </w:r>
      <w:r>
        <w:rPr>
          <w:rFonts w:ascii="Cambria" w:hAnsi="Cambria"/>
          <w:color w:val="000000"/>
          <w:vertAlign w:val="subscript"/>
        </w:rPr>
        <w:t xml:space="preserve">i</w:t>
      </w:r>
      <w:r>
        <w:rPr>
          <w:rFonts w:ascii="Cambria" w:hAnsi="Cambria"/>
          <w:color w:val="000000"/>
        </w:rPr>
        <w:t xml:space="preserve">² where w</w:t>
      </w:r>
      <w:r>
        <w:rPr>
          <w:rFonts w:ascii="Cambria" w:hAnsi="Cambria"/>
          <w:color w:val="000000"/>
          <w:vertAlign w:val="subscript"/>
        </w:rPr>
        <w:t xml:space="preserve">i</w:t>
      </w:r>
      <w:r>
        <w:rPr>
          <w:rFonts w:ascii="Cambria" w:hAnsi="Cambria"/>
          <w:color w:val="000000"/>
        </w:rPr>
        <w:t xml:space="preserve"> </w:t>
      </w:r>
      <w:r>
        <w:rPr>
          <w:rFonts w:ascii="Cambria" w:hAnsi="Cambria"/>
          <w:color w:val="000000"/>
        </w:rPr>
        <w:t xml:space="preserve">are intervention-type–specific IPTW weights from the outcome model. Lower ESS indicates greater dependence on counterfactual extrapolation relative to direct IPW estimation. Behavioral policy proportions in this table are derived from the actual assignment distribution in the 34,971-patient rising-risk cohort (Table 1 in main text); propensity percentiles and ESS represent summary estimates from the fitted S-learner outcome model. The overall positivity coverage fraction reported in the main text (97.6%) reflects the fraction of patients with non-zero propensity for at least one non-assigned intervention type; this pooled figure obscures the per-type variation shown here. Social needs navigation coverage of 84.3% indicates that the IMI estimate for this collapsed type relies substantially on S-learner extrapolation for 15.7% of patients — a limitation that inflates uncertainty in the social needs counterfactual component of IMI. The Manski partial identification bounds (26.0%–28.4%; main manuscript) bound this uncertainty by treating uncovered patients as worst-case mismatched.</w:t>
      </w:r>
    </w:p>
    <w:p>
      <w:pPr>
        <w:spacing w:line="360" w:lineRule="auto"/>
      </w:pPr>
      <w:r>
        <w:rPr>
          <w:rFonts w:ascii="Cambria" w:hAnsi="Cambria"/>
          <w:color w:val="000000"/>
        </w:rPr>
        <w:pict>
          <v:rect style="width:0;height:1.5pt" o:hralign="center" o:hrstd="t" o:hr="t"/>
        </w:pict>
      </w:r>
    </w:p>
    <w:p>
      <w:pPr>
        <w:pStyle w:val="FirstParagraph"/>
        <w:spacing w:line="360" w:lineRule="auto"/>
      </w:pPr>
      <w:r>
        <w:rPr>
          <w:rFonts w:ascii="Cambria" w:hAnsi="Cambria"/>
          <w:color w:val="000000"/>
        </w:rPr>
        <w:t xml:space="preserve">Appendix Table 8. Within-WPAD secondary IMI analysis: sensitivity to observable type-level confounding (N = 622 ON-window patients)</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84"/>
        <w:gridCol w:w="1584"/>
        <w:gridCol w:w="1584"/>
        <w:gridCol w:w="1584"/>
        <w:gridCol w:w="1584"/>
      </w:tblGrid>
      <w:tr>
        <w:trPr>
          <w:tblHeader w:val="on"/>
        </w:trPr>
        <w:tc>
          <w:tcPr/>
          <w:p>
            <w:pPr>
              <w:pStyle w:val="Compact"/>
              <w:spacing w:line="360" w:lineRule="auto"/>
            </w:pPr>
            <w:r>
              <w:rPr>
                <w:rFonts w:ascii="Cambria" w:hAnsi="Cambria"/>
                <w:color w:val="000000"/>
              </w:rPr>
              <w:t xml:space="preserve">Analysis</w:t>
            </w:r>
          </w:p>
        </w:tc>
        <w:tc>
          <w:tcPr/>
          <w:p>
            <w:pPr>
              <w:pStyle w:val="Compact"/>
              <w:spacing w:line="360" w:lineRule="auto"/>
            </w:pPr>
            <w:r>
              <w:rPr>
                <w:rFonts w:ascii="Cambria" w:hAnsi="Cambria"/>
                <w:color w:val="000000"/>
              </w:rPr>
              <w:t xml:space="preserve">IMI (primary, population-level AIPW)</w:t>
            </w:r>
          </w:p>
        </w:tc>
        <w:tc>
          <w:tcPr/>
          <w:p>
            <w:pPr>
              <w:pStyle w:val="Compact"/>
              <w:spacing w:line="360" w:lineRule="auto"/>
            </w:pPr>
            <w:r>
              <w:rPr>
                <w:rFonts w:ascii="Cambria" w:hAnsi="Cambria"/>
                <w:color w:val="000000"/>
              </w:rPr>
              <w:t xml:space="preserve">IMI (within-WPAD, propensity-adjusted for observable type-selection confounders)</w:t>
            </w:r>
          </w:p>
        </w:tc>
        <w:tc>
          <w:tcPr/>
          <w:p>
            <w:pPr>
              <w:pStyle w:val="Compact"/>
              <w:spacing w:line="360" w:lineRule="auto"/>
            </w:pPr>
            <w:r>
              <w:rPr>
                <w:rFonts w:ascii="Cambria" w:hAnsi="Cambria"/>
                <w:color w:val="000000"/>
              </w:rPr>
              <w:t xml:space="preserve">Difference</w:t>
            </w:r>
          </w:p>
        </w:tc>
        <w:tc>
          <w:tcPr/>
          <w:p>
            <w:pPr>
              <w:pStyle w:val="Compact"/>
              <w:spacing w:line="360" w:lineRule="auto"/>
            </w:pPr>
            <w:r>
              <w:rPr>
                <w:rFonts w:ascii="Cambria" w:hAnsi="Cambria"/>
                <w:color w:val="000000"/>
              </w:rPr>
              <w:t xml:space="preserve">Interpretation</w:t>
            </w:r>
          </w:p>
        </w:tc>
      </w:tr>
      <w:tr>
        <w:tc>
          <w:tcPr/>
          <w:p>
            <w:pPr>
              <w:pStyle w:val="Compact"/>
              <w:spacing w:line="360" w:lineRule="auto"/>
            </w:pPr>
            <w:r>
              <w:rPr>
                <w:rFonts w:ascii="Cambria" w:hAnsi="Cambria"/>
                <w:color w:val="000000"/>
              </w:rPr>
              <w:t xml:space="preserve">Behavioral routing policy</w:t>
            </w:r>
          </w:p>
        </w:tc>
        <w:tc>
          <w:tcPr/>
          <w:p>
            <w:pPr>
              <w:pStyle w:val="Compact"/>
              <w:spacing w:line="360" w:lineRule="auto"/>
            </w:pPr>
            <w:r>
              <w:rPr>
                <w:rFonts w:ascii="Cambria" w:hAnsi="Cambria"/>
                <w:color w:val="000000"/>
              </w:rPr>
              <w:t xml:space="preserve">27.0% (95% CI, 25.9%–28.1%)</w:t>
            </w:r>
          </w:p>
        </w:tc>
        <w:tc>
          <w:tcPr/>
          <w:p>
            <w:pPr>
              <w:pStyle w:val="Compact"/>
              <w:spacing w:line="360" w:lineRule="auto"/>
            </w:pPr>
            <w:r>
              <w:rPr>
                <w:rFonts w:ascii="Cambria" w:hAnsi="Cambria"/>
                <w:color w:val="000000"/>
              </w:rPr>
              <w:t xml:space="preserve">26.5% (95% CI, 24.3%–28.9%)</w:t>
            </w:r>
          </w:p>
        </w:tc>
        <w:tc>
          <w:tcPr/>
          <w:p>
            <w:pPr>
              <w:pStyle w:val="Compact"/>
              <w:spacing w:line="360" w:lineRule="auto"/>
            </w:pPr>
            <w:r>
              <w:rPr>
                <w:rFonts w:ascii="Cambria" w:hAnsi="Cambria"/>
                <w:color w:val="000000"/>
              </w:rPr>
              <w:t xml:space="preserve">−0.5 pp</w:t>
            </w:r>
          </w:p>
        </w:tc>
        <w:tc>
          <w:tcPr/>
          <w:p>
            <w:pPr>
              <w:pStyle w:val="Compact"/>
              <w:spacing w:line="360" w:lineRule="auto"/>
            </w:pPr>
            <w:r>
              <w:rPr>
                <w:rFonts w:ascii="Cambria" w:hAnsi="Cambria"/>
                <w:color w:val="000000"/>
              </w:rPr>
              <w:t xml:space="preserve">Observable covariate adjustment reduces IMI estimate by 1.9% relative; direction preserved</w:t>
            </w:r>
          </w:p>
        </w:tc>
      </w:tr>
      <w:tr>
        <w:tc>
          <w:tcPr/>
          <w:p>
            <w:pPr>
              <w:pStyle w:val="Compact"/>
              <w:spacing w:line="360" w:lineRule="auto"/>
            </w:pPr>
            <w:r>
              <w:rPr>
                <w:rFonts w:ascii="Cambria" w:hAnsi="Cambria"/>
                <w:color w:val="000000"/>
              </w:rPr>
              <w:t xml:space="preserve">PEARL (MoE Router)</w:t>
            </w:r>
          </w:p>
        </w:tc>
        <w:tc>
          <w:tcPr/>
          <w:p>
            <w:pPr>
              <w:pStyle w:val="Compact"/>
              <w:spacing w:line="360" w:lineRule="auto"/>
            </w:pPr>
            <w:r>
              <w:rPr>
                <w:rFonts w:ascii="Cambria" w:hAnsi="Cambria"/>
                <w:color w:val="000000"/>
              </w:rPr>
              <w:t xml:space="preserve">2.0% (95% CI, 1.7%–2.3%)</w:t>
            </w:r>
          </w:p>
        </w:tc>
        <w:tc>
          <w:tcPr/>
          <w:p>
            <w:pPr>
              <w:pStyle w:val="Compact"/>
              <w:spacing w:line="360" w:lineRule="auto"/>
            </w:pPr>
            <w:r>
              <w:rPr>
                <w:rFonts w:ascii="Cambria" w:hAnsi="Cambria"/>
                <w:color w:val="000000"/>
              </w:rPr>
              <w:t xml:space="preserve">2.4% (95% CI, 1.7%–3.4%)</w:t>
            </w:r>
          </w:p>
        </w:tc>
        <w:tc>
          <w:tcPr/>
          <w:p>
            <w:pPr>
              <w:pStyle w:val="Compact"/>
              <w:spacing w:line="360" w:lineRule="auto"/>
            </w:pPr>
            <w:r>
              <w:rPr>
                <w:rFonts w:ascii="Cambria" w:hAnsi="Cambria"/>
                <w:color w:val="000000"/>
              </w:rPr>
              <w:t xml:space="preserve">+0.4 pp</w:t>
            </w:r>
          </w:p>
        </w:tc>
        <w:tc>
          <w:tcPr/>
          <w:p>
            <w:pPr>
              <w:pStyle w:val="Compact"/>
              <w:spacing w:line="360" w:lineRule="auto"/>
            </w:pPr>
            <w:r>
              <w:rPr>
                <w:rFonts w:ascii="Cambria" w:hAnsi="Cambria"/>
                <w:color w:val="000000"/>
              </w:rPr>
              <w:t xml:space="preserve">PEARL IMI marginally higher after within-WPAD propensity adjustment but remains far below behavioral; direction of behavioral-vs-PEARL comparison strongly preserved</w:t>
            </w:r>
          </w:p>
        </w:tc>
      </w:tr>
      <w:tr>
        <w:tc>
          <w:tcPr/>
          <w:p>
            <w:pPr>
              <w:pStyle w:val="Compact"/>
              <w:spacing w:line="360" w:lineRule="auto"/>
            </w:pPr>
            <w:r>
              <w:rPr>
                <w:rFonts w:ascii="Cambria" w:hAnsi="Cambria"/>
                <w:color w:val="000000"/>
              </w:rPr>
              <w:t xml:space="preserve">IMI reduction (PEARL vs. behavioral)</w:t>
            </w:r>
          </w:p>
        </w:tc>
        <w:tc>
          <w:tcPr/>
          <w:p>
            <w:pPr>
              <w:pStyle w:val="Compact"/>
              <w:spacing w:line="360" w:lineRule="auto"/>
            </w:pPr>
            <w:r>
              <w:rPr>
                <w:rFonts w:ascii="Cambria" w:hAnsi="Cambria"/>
                <w:color w:val="000000"/>
              </w:rPr>
              <w:t xml:space="preserve">25.0 pp</w:t>
            </w:r>
          </w:p>
        </w:tc>
        <w:tc>
          <w:tcPr/>
          <w:p>
            <w:pPr>
              <w:pStyle w:val="Compact"/>
              <w:spacing w:line="360" w:lineRule="auto"/>
            </w:pPr>
            <w:r>
              <w:rPr>
                <w:rFonts w:ascii="Cambria" w:hAnsi="Cambria"/>
                <w:color w:val="000000"/>
              </w:rPr>
              <w:t xml:space="preserve">24.1 pp</w:t>
            </w:r>
          </w:p>
        </w:tc>
        <w:tc>
          <w:tcPr/>
          <w:p>
            <w:pPr>
              <w:pStyle w:val="Compact"/>
              <w:spacing w:line="360" w:lineRule="auto"/>
            </w:pPr>
            <w:r>
              <w:rPr>
                <w:rFonts w:ascii="Cambria" w:hAnsi="Cambria"/>
                <w:color w:val="000000"/>
              </w:rPr>
              <w:t xml:space="preserve">−0.9 pp</w:t>
            </w:r>
          </w:p>
        </w:tc>
        <w:tc>
          <w:tcPr/>
          <w:p>
            <w:pPr>
              <w:pStyle w:val="Compact"/>
              <w:spacing w:line="360" w:lineRule="auto"/>
            </w:pPr>
            <w:r>
              <w:rPr>
                <w:rFonts w:ascii="Cambria" w:hAnsi="Cambria"/>
                <w:color w:val="000000"/>
              </w:rPr>
              <w:t xml:space="preserve">Magnitude change = 3.6% relative; within the pre-specified moderate sensitivity threshold (25%); direction strongly preserved</w:t>
            </w:r>
          </w:p>
        </w:tc>
      </w:tr>
    </w:tbl>
    <w:p>
      <w:pPr>
        <w:pStyle w:val="BodyText"/>
        <w:spacing w:line="360" w:lineRule="auto"/>
      </w:pPr>
      <w:r>
        <w:rPr>
          <w:rFonts w:ascii="Cambria" w:hAnsi="Cambria"/>
          <w:color w:val="000000"/>
        </w:rPr>
        <w:t xml:space="preserve">The within-WPAD secondary analysis fits a multinomial propensity model for intervention type selection among the 622 ON-window patients using the same 12-month pre-WPAD clinical context (X</w:t>
      </w:r>
      <w:r>
        <w:rPr>
          <w:rFonts w:ascii="Cambria" w:hAnsi="Cambria"/>
          <w:color w:val="000000"/>
          <w:vertAlign w:val="subscript"/>
        </w:rPr>
        <w:t xml:space="preserve">i</w:t>
      </w:r>
      <w:r>
        <w:rPr>
          <w:rFonts w:ascii="Cambria" w:hAnsi="Cambria"/>
          <w:color w:val="000000"/>
        </w:rPr>
        <w:t xml:space="preserve">) as the primary analysis. AIPW weights from this model are applied to estimate outcome differences by intervention type within the WPAD subsample only. This analysis: (i) adjusts for observable confounders of type selection within ON-windows (patient demographics, Charlson index, SDOH, prior utilization); (ii) cannot adjust for unmeasured confounders such as CHW supervisor clinical judgment not recorded in administrative data (bounded by the E-value analysis in the main text); (iii) uses N = 622 patients rather than the full test cohort, reducing precision but improving internal validity for type-level comparison. The within-WPAD adjusted IMI estimates preserve the direction and approximate magnitude of the primary analysis, supporting robustness to observable type-level confounding. The within-WPAD model achieves AUC = 0.72 for intervention type prediction (Appendix Table 6), indicating that observable characteristics explain most but not all type variation within ON-windows.</w:t>
      </w:r>
    </w:p>
    <w:p>
      <w:pPr>
        <w:spacing w:line="360" w:lineRule="auto"/>
      </w:pPr>
      <w:r>
        <w:rPr>
          <w:rFonts w:ascii="Cambria" w:hAnsi="Cambria"/>
          <w:color w:val="000000"/>
        </w:rPr>
        <w:pict>
          <v:rect style="width:0;height:1.5pt" o:hralign="center" o:hrstd="t" o:hr="t"/>
        </w:pict>
      </w:r>
    </w:p>
    <w:bookmarkEnd w:id="15"/>
    <w:bookmarkStart w:id="16" w:name="Xa6c2d7766038307364bf674cae0e1349934645a"/>
    <w:p>
      <w:pPr>
        <w:pStyle w:val="Heading2"/>
        <w:spacing w:line="360" w:lineRule="auto"/>
      </w:pPr>
      <w:r>
        <w:rPr>
          <w:rFonts w:ascii="Cambria" w:hAnsi="Cambria"/>
          <w:color w:val="000000"/>
        </w:rPr>
        <w:t xml:space="preserve">Appendix Table 9. TRIPOD-AI Reporting Checklist</w:t>
      </w:r>
    </w:p>
    <w:p>
      <w:pPr>
        <w:pStyle w:val="FirstParagraph"/>
        <w:spacing w:line="360" w:lineRule="auto"/>
      </w:pPr>
      <w:r>
        <w:rPr>
          <w:rFonts w:ascii="Cambria" w:hAnsi="Cambria"/>
          <w:color w:val="000000"/>
        </w:rPr>
        <w:t xml:space="preserve">This study is reported following the TRIPOD-AI guidelines for transparent reporting of multivariable prediction models for individual prognosis or diagnosis, with the RECORD extension for studies using routinely collected data. Items checked as Present appear in the indicated section of the main manuscript or this supplement.</w:t>
      </w:r>
    </w:p>
    <w:p>
      <w:pPr>
        <w:pStyle w:val="BodyText"/>
        <w:spacing w:line="360" w:lineRule="auto"/>
      </w:pPr>
      <w:r>
        <w:rPr>
          <w:rFonts w:ascii="Cambria" w:hAnsi="Cambria"/>
          <w:color w:val="000000"/>
        </w:rPr>
        <w:t xml:space="preserve">Appendix Table 9. TRIPOD-AI reporting checklist</w:t>
      </w:r>
    </w:p>
    <w:tbl>
      <w:tblPr>
        <w:tblStyle w:val="Table"/>
        <w:tblW w:type="pct" w:w="5000"/>
        <w:tblLayout w:type="fixed"/>
        <w:tblLook w:firstRow="1" w:lastRow="0" w:firstColumn="0" w:lastColumn="0" w:noHBand="0" w:noVBand="0" w:val="002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980"/>
        <w:gridCol w:w="1980"/>
        <w:gridCol w:w="1980"/>
        <w:gridCol w:w="1980"/>
      </w:tblGrid>
      <w:tr>
        <w:trPr>
          <w:tblHeader w:val="on"/>
        </w:trPr>
        <w:tc>
          <w:tcPr/>
          <w:p>
            <w:pPr>
              <w:pStyle w:val="Compact"/>
              <w:spacing w:line="360" w:lineRule="auto"/>
            </w:pPr>
            <w:r>
              <w:rPr>
                <w:rFonts w:ascii="Cambria" w:hAnsi="Cambria"/>
                <w:color w:val="000000"/>
              </w:rPr>
              <w:t xml:space="preserve">Section</w:t>
            </w:r>
          </w:p>
        </w:tc>
        <w:tc>
          <w:tcPr/>
          <w:p>
            <w:pPr>
              <w:pStyle w:val="Compact"/>
              <w:spacing w:line="360" w:lineRule="auto"/>
            </w:pPr>
            <w:r>
              <w:rPr>
                <w:rFonts w:ascii="Cambria" w:hAnsi="Cambria"/>
                <w:color w:val="000000"/>
              </w:rPr>
              <w:t xml:space="preserve">Item</w:t>
            </w:r>
          </w:p>
        </w:tc>
        <w:tc>
          <w:tcPr/>
          <w:p>
            <w:pPr>
              <w:pStyle w:val="Compact"/>
              <w:spacing w:line="360" w:lineRule="auto"/>
            </w:pPr>
            <w:r>
              <w:rPr>
                <w:rFonts w:ascii="Cambria" w:hAnsi="Cambria"/>
                <w:color w:val="000000"/>
              </w:rPr>
              <w:t xml:space="preserve">Description</w:t>
            </w:r>
          </w:p>
        </w:tc>
        <w:tc>
          <w:tcPr/>
          <w:p>
            <w:pPr>
              <w:pStyle w:val="Compact"/>
              <w:spacing w:line="360" w:lineRule="auto"/>
            </w:pPr>
            <w:r>
              <w:rPr>
                <w:rFonts w:ascii="Cambria" w:hAnsi="Cambria"/>
                <w:color w:val="000000"/>
              </w:rPr>
              <w:t xml:space="preserve">Location</w:t>
            </w:r>
          </w:p>
        </w:tc>
      </w:tr>
      <w:tr>
        <w:tc>
          <w:tcPr/>
          <w:p>
            <w:pPr>
              <w:pStyle w:val="Compact"/>
              <w:spacing w:line="360" w:lineRule="auto"/>
            </w:pPr>
            <w:r>
              <w:rPr>
                <w:rFonts w:ascii="Cambria" w:hAnsi="Cambria"/>
                <w:color w:val="000000"/>
              </w:rPr>
              <w:t xml:space="preserve">Title and abstract</w:t>
            </w:r>
          </w:p>
        </w:tc>
        <w:tc>
          <w:tcPr/>
          <w:p>
            <w:pPr>
              <w:pStyle w:val="Compact"/>
              <w:spacing w:line="360" w:lineRule="auto"/>
            </w:pPr>
            <w:r>
              <w:rPr>
                <w:rFonts w:ascii="Cambria" w:hAnsi="Cambria"/>
                <w:color w:val="000000"/>
              </w:rPr>
              <w:t xml:space="preserve">1</w:t>
            </w:r>
          </w:p>
        </w:tc>
        <w:tc>
          <w:tcPr/>
          <w:p>
            <w:pPr>
              <w:pStyle w:val="Compact"/>
              <w:spacing w:line="360" w:lineRule="auto"/>
            </w:pPr>
            <w:r>
              <w:rPr>
                <w:rFonts w:ascii="Cambria" w:hAnsi="Cambria"/>
                <w:color w:val="000000"/>
              </w:rPr>
              <w:t xml:space="preserve">Title identifies the study as developing or validating a prediction model or AI system</w:t>
            </w:r>
          </w:p>
        </w:tc>
        <w:tc>
          <w:tcPr/>
          <w:p>
            <w:pPr>
              <w:pStyle w:val="Compact"/>
              <w:spacing w:line="360" w:lineRule="auto"/>
            </w:pPr>
            <w:r>
              <w:rPr>
                <w:rFonts w:ascii="Cambria" w:hAnsi="Cambria"/>
                <w:color w:val="000000"/>
              </w:rPr>
              <w:t xml:space="preserve">Title</w:t>
            </w:r>
          </w:p>
        </w:tc>
      </w:tr>
      <w:tr>
        <w:tc>
          <w:tcPr/>
          <w:p>
            <w:pPr>
              <w:pStyle w:val="Compact"/>
              <w:spacing w:line="360" w:lineRule="auto"/>
            </w:pPr>
            <w:r>
              <w:rPr>
                <w:rFonts w:ascii="Cambria" w:hAnsi="Cambria"/>
                <w:color w:val="000000"/>
              </w:rPr>
              <w:t xml:space="preserve">Abstract</w:t>
            </w:r>
          </w:p>
        </w:tc>
        <w:tc>
          <w:tcPr/>
          <w:p>
            <w:pPr>
              <w:pStyle w:val="Compact"/>
              <w:spacing w:line="360" w:lineRule="auto"/>
            </w:pPr>
            <w:r>
              <w:rPr>
                <w:rFonts w:ascii="Cambria" w:hAnsi="Cambria"/>
                <w:color w:val="000000"/>
              </w:rPr>
              <w:t xml:space="preserve">2</w:t>
            </w:r>
          </w:p>
        </w:tc>
        <w:tc>
          <w:tcPr/>
          <w:p>
            <w:pPr>
              <w:pStyle w:val="Compact"/>
              <w:spacing w:line="360" w:lineRule="auto"/>
            </w:pPr>
            <w:r>
              <w:rPr>
                <w:rFonts w:ascii="Cambria" w:hAnsi="Cambria"/>
                <w:color w:val="000000"/>
              </w:rPr>
              <w:t xml:space="preserve">Summary of objectives, study design, setting, participants, outcome, and main results</w:t>
            </w:r>
          </w:p>
        </w:tc>
        <w:tc>
          <w:tcPr/>
          <w:p>
            <w:pPr>
              <w:pStyle w:val="Compact"/>
              <w:spacing w:line="360" w:lineRule="auto"/>
            </w:pPr>
            <w:r>
              <w:rPr>
                <w:rFonts w:ascii="Cambria" w:hAnsi="Cambria"/>
                <w:color w:val="000000"/>
              </w:rPr>
              <w:t xml:space="preserve">Abstract</w:t>
            </w:r>
          </w:p>
        </w:tc>
      </w:tr>
      <w:tr>
        <w:tc>
          <w:tcPr/>
          <w:p>
            <w:pPr>
              <w:pStyle w:val="Compact"/>
              <w:spacing w:line="360" w:lineRule="auto"/>
            </w:pPr>
            <w:r>
              <w:rPr>
                <w:rFonts w:ascii="Cambria" w:hAnsi="Cambria"/>
                <w:color w:val="000000"/>
              </w:rPr>
              <w:t xml:space="preserve">Introduction</w:t>
            </w:r>
          </w:p>
        </w:tc>
        <w:tc>
          <w:tcPr/>
          <w:p>
            <w:pPr>
              <w:pStyle w:val="Compact"/>
              <w:spacing w:line="360" w:lineRule="auto"/>
            </w:pPr>
            <w:r>
              <w:rPr>
                <w:rFonts w:ascii="Cambria" w:hAnsi="Cambria"/>
                <w:color w:val="000000"/>
              </w:rPr>
              <w:t xml:space="preserve">3a</w:t>
            </w:r>
          </w:p>
        </w:tc>
        <w:tc>
          <w:tcPr/>
          <w:p>
            <w:pPr>
              <w:pStyle w:val="Compact"/>
              <w:spacing w:line="360" w:lineRule="auto"/>
            </w:pPr>
            <w:r>
              <w:rPr>
                <w:rFonts w:ascii="Cambria" w:hAnsi="Cambria"/>
                <w:color w:val="000000"/>
              </w:rPr>
              <w:t xml:space="preserve">Background: medical context and the clinical problem addressed</w:t>
            </w:r>
          </w:p>
        </w:tc>
        <w:tc>
          <w:tcPr/>
          <w:p>
            <w:pPr>
              <w:pStyle w:val="Compact"/>
              <w:spacing w:line="360" w:lineRule="auto"/>
            </w:pPr>
            <w:r>
              <w:rPr>
                <w:rFonts w:ascii="Cambria" w:hAnsi="Cambria"/>
                <w:color w:val="000000"/>
              </w:rPr>
              <w:t xml:space="preserve">Introduction, ¶1–2</w:t>
            </w:r>
          </w:p>
        </w:tc>
      </w:tr>
      <w:tr>
        <w:tc>
          <w:tcPr/>
          <w:p>
            <w:pPr>
              <w:pStyle w:val="Compact"/>
              <w:spacing w:line="360" w:lineRule="auto"/>
            </w:pPr>
            <w:r>
              <w:rPr>
                <w:rFonts w:ascii="Cambria" w:hAnsi="Cambria"/>
                <w:color w:val="000000"/>
              </w:rPr>
              <w:t xml:space="preserve">Introduction</w:t>
            </w:r>
          </w:p>
        </w:tc>
        <w:tc>
          <w:tcPr/>
          <w:p>
            <w:pPr>
              <w:pStyle w:val="Compact"/>
              <w:spacing w:line="360" w:lineRule="auto"/>
            </w:pPr>
            <w:r>
              <w:rPr>
                <w:rFonts w:ascii="Cambria" w:hAnsi="Cambria"/>
                <w:color w:val="000000"/>
              </w:rPr>
              <w:t xml:space="preserve">3b</w:t>
            </w:r>
          </w:p>
        </w:tc>
        <w:tc>
          <w:tcPr/>
          <w:p>
            <w:pPr>
              <w:pStyle w:val="Compact"/>
              <w:spacing w:line="360" w:lineRule="auto"/>
            </w:pPr>
            <w:r>
              <w:rPr>
                <w:rFonts w:ascii="Cambria" w:hAnsi="Cambria"/>
                <w:color w:val="000000"/>
              </w:rPr>
              <w:t xml:space="preserve">Objectives: specified the objective, including predefined hypotheses</w:t>
            </w:r>
          </w:p>
        </w:tc>
        <w:tc>
          <w:tcPr/>
          <w:p>
            <w:pPr>
              <w:pStyle w:val="Compact"/>
              <w:spacing w:line="360" w:lineRule="auto"/>
            </w:pPr>
            <w:r>
              <w:rPr>
                <w:rFonts w:ascii="Cambria" w:hAnsi="Cambria"/>
                <w:color w:val="000000"/>
              </w:rPr>
              <w:t xml:space="preserve">Introduction, ¶5</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4a</w:t>
            </w:r>
          </w:p>
        </w:tc>
        <w:tc>
          <w:tcPr/>
          <w:p>
            <w:pPr>
              <w:pStyle w:val="Compact"/>
              <w:spacing w:line="360" w:lineRule="auto"/>
            </w:pPr>
            <w:r>
              <w:rPr>
                <w:rFonts w:ascii="Cambria" w:hAnsi="Cambria"/>
                <w:color w:val="000000"/>
              </w:rPr>
              <w:t xml:space="preserve">Study design: described the study design and data source</w:t>
            </w:r>
          </w:p>
        </w:tc>
        <w:tc>
          <w:tcPr/>
          <w:p>
            <w:pPr>
              <w:pStyle w:val="Compact"/>
              <w:spacing w:line="360" w:lineRule="auto"/>
            </w:pPr>
            <w:r>
              <w:rPr>
                <w:rFonts w:ascii="Cambria" w:hAnsi="Cambria"/>
                <w:color w:val="000000"/>
              </w:rPr>
              <w:t xml:space="preserve">Methods: Study Design</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4b</w:t>
            </w:r>
          </w:p>
        </w:tc>
        <w:tc>
          <w:tcPr/>
          <w:p>
            <w:pPr>
              <w:pStyle w:val="Compact"/>
              <w:spacing w:line="360" w:lineRule="auto"/>
            </w:pPr>
            <w:r>
              <w:rPr>
                <w:rFonts w:ascii="Cambria" w:hAnsi="Cambria"/>
                <w:color w:val="000000"/>
              </w:rPr>
              <w:t xml:space="preserve">Reporting guideline: stated the reporting guideline used</w:t>
            </w:r>
          </w:p>
        </w:tc>
        <w:tc>
          <w:tcPr/>
          <w:p>
            <w:pPr>
              <w:pStyle w:val="Compact"/>
              <w:spacing w:line="360" w:lineRule="auto"/>
            </w:pPr>
            <w:r>
              <w:rPr>
                <w:rFonts w:ascii="Cambria" w:hAnsi="Cambria"/>
                <w:color w:val="000000"/>
              </w:rPr>
              <w:t xml:space="preserve">Methods: Study Design</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5</w:t>
            </w:r>
          </w:p>
        </w:tc>
        <w:tc>
          <w:tcPr/>
          <w:p>
            <w:pPr>
              <w:pStyle w:val="Compact"/>
              <w:spacing w:line="360" w:lineRule="auto"/>
            </w:pPr>
            <w:r>
              <w:rPr>
                <w:rFonts w:ascii="Cambria" w:hAnsi="Cambria"/>
                <w:color w:val="000000"/>
              </w:rPr>
              <w:t xml:space="preserve">Setting: described the setting and eligibility criteria</w:t>
            </w:r>
          </w:p>
        </w:tc>
        <w:tc>
          <w:tcPr/>
          <w:p>
            <w:pPr>
              <w:pStyle w:val="Compact"/>
              <w:spacing w:line="360" w:lineRule="auto"/>
            </w:pPr>
            <w:r>
              <w:rPr>
                <w:rFonts w:ascii="Cambria" w:hAnsi="Cambria"/>
                <w:color w:val="000000"/>
              </w:rPr>
              <w:t xml:space="preserve">Methods: Setting and Data Sources</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6a</w:t>
            </w:r>
          </w:p>
        </w:tc>
        <w:tc>
          <w:tcPr/>
          <w:p>
            <w:pPr>
              <w:pStyle w:val="Compact"/>
              <w:spacing w:line="360" w:lineRule="auto"/>
            </w:pPr>
            <w:r>
              <w:rPr>
                <w:rFonts w:ascii="Cambria" w:hAnsi="Cambria"/>
                <w:color w:val="000000"/>
              </w:rPr>
              <w:t xml:space="preserve">Outcome: clearly defined the prediction target</w:t>
            </w:r>
          </w:p>
        </w:tc>
        <w:tc>
          <w:tcPr/>
          <w:p>
            <w:pPr>
              <w:pStyle w:val="Compact"/>
              <w:spacing w:line="360" w:lineRule="auto"/>
            </w:pPr>
            <w:r>
              <w:rPr>
                <w:rFonts w:ascii="Cambria" w:hAnsi="Cambria"/>
                <w:color w:val="000000"/>
              </w:rPr>
              <w:t xml:space="preserve">Methods: Primary Outcome</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6b</w:t>
            </w:r>
          </w:p>
        </w:tc>
        <w:tc>
          <w:tcPr/>
          <w:p>
            <w:pPr>
              <w:pStyle w:val="Compact"/>
              <w:spacing w:line="360" w:lineRule="auto"/>
            </w:pPr>
            <w:r>
              <w:rPr>
                <w:rFonts w:ascii="Cambria" w:hAnsi="Cambria"/>
                <w:color w:val="000000"/>
              </w:rPr>
              <w:t xml:space="preserve">Outcome ascertainment: described how the outcome was measured</w:t>
            </w:r>
          </w:p>
        </w:tc>
        <w:tc>
          <w:tcPr/>
          <w:p>
            <w:pPr>
              <w:pStyle w:val="Compact"/>
              <w:spacing w:line="360" w:lineRule="auto"/>
            </w:pPr>
            <w:r>
              <w:rPr>
                <w:rFonts w:ascii="Cambria" w:hAnsi="Cambria"/>
                <w:color w:val="000000"/>
              </w:rPr>
              <w:t xml:space="preserve">Methods: Primary Outcome</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7a</w:t>
            </w:r>
          </w:p>
        </w:tc>
        <w:tc>
          <w:tcPr/>
          <w:p>
            <w:pPr>
              <w:pStyle w:val="Compact"/>
              <w:spacing w:line="360" w:lineRule="auto"/>
            </w:pPr>
            <w:r>
              <w:rPr>
                <w:rFonts w:ascii="Cambria" w:hAnsi="Cambria"/>
                <w:color w:val="000000"/>
              </w:rPr>
              <w:t xml:space="preserve">Predictors: listed predictors used in the model</w:t>
            </w:r>
          </w:p>
        </w:tc>
        <w:tc>
          <w:tcPr/>
          <w:p>
            <w:pPr>
              <w:pStyle w:val="Compact"/>
              <w:spacing w:line="360" w:lineRule="auto"/>
            </w:pPr>
            <w:r>
              <w:rPr>
                <w:rFonts w:ascii="Cambria" w:hAnsi="Cambria"/>
                <w:color w:val="000000"/>
              </w:rPr>
              <w:t xml:space="preserve">Methods: PEARL Model Architecture; Table 1</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7b</w:t>
            </w:r>
          </w:p>
        </w:tc>
        <w:tc>
          <w:tcPr/>
          <w:p>
            <w:pPr>
              <w:pStyle w:val="Compact"/>
              <w:spacing w:line="360" w:lineRule="auto"/>
            </w:pPr>
            <w:r>
              <w:rPr>
                <w:rFonts w:ascii="Cambria" w:hAnsi="Cambria"/>
                <w:color w:val="000000"/>
              </w:rPr>
              <w:t xml:space="preserve">Predictor handling: described how predictors were handled</w:t>
            </w:r>
          </w:p>
        </w:tc>
        <w:tc>
          <w:tcPr/>
          <w:p>
            <w:pPr>
              <w:pStyle w:val="Compact"/>
              <w:spacing w:line="360" w:lineRule="auto"/>
            </w:pPr>
            <w:r>
              <w:rPr>
                <w:rFonts w:ascii="Cambria" w:hAnsi="Cambria"/>
                <w:color w:val="000000"/>
              </w:rPr>
              <w:t xml:space="preserve">Methods: PEARL Model Architecture</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8</w:t>
            </w:r>
          </w:p>
        </w:tc>
        <w:tc>
          <w:tcPr/>
          <w:p>
            <w:pPr>
              <w:pStyle w:val="Compact"/>
              <w:spacing w:line="360" w:lineRule="auto"/>
            </w:pPr>
            <w:r>
              <w:rPr>
                <w:rFonts w:ascii="Cambria" w:hAnsi="Cambria"/>
                <w:color w:val="000000"/>
              </w:rPr>
              <w:t xml:space="preserve">Sample size: explained how the sample size was arrived at or determined</w:t>
            </w:r>
          </w:p>
        </w:tc>
        <w:tc>
          <w:tcPr/>
          <w:p>
            <w:pPr>
              <w:pStyle w:val="Compact"/>
              <w:spacing w:line="360" w:lineRule="auto"/>
            </w:pPr>
            <w:r>
              <w:rPr>
                <w:rFonts w:ascii="Cambria" w:hAnsi="Cambria"/>
                <w:color w:val="000000"/>
              </w:rPr>
              <w:t xml:space="preserve">Methods: Participants; Table 2</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9</w:t>
            </w:r>
          </w:p>
        </w:tc>
        <w:tc>
          <w:tcPr/>
          <w:p>
            <w:pPr>
              <w:pStyle w:val="Compact"/>
              <w:spacing w:line="360" w:lineRule="auto"/>
            </w:pPr>
            <w:r>
              <w:rPr>
                <w:rFonts w:ascii="Cambria" w:hAnsi="Cambria"/>
                <w:color w:val="000000"/>
              </w:rPr>
              <w:t xml:space="preserve">Missing data: described how missing data were handled</w:t>
            </w:r>
          </w:p>
        </w:tc>
        <w:tc>
          <w:tcPr/>
          <w:p>
            <w:pPr>
              <w:pStyle w:val="Compact"/>
              <w:spacing w:line="360" w:lineRule="auto"/>
            </w:pPr>
            <w:r>
              <w:rPr>
                <w:rFonts w:ascii="Cambria" w:hAnsi="Cambria"/>
                <w:color w:val="000000"/>
              </w:rPr>
              <w:t xml:space="preserve">Methods: Participants (exclusion criteria)</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10a</w:t>
            </w:r>
          </w:p>
        </w:tc>
        <w:tc>
          <w:tcPr/>
          <w:p>
            <w:pPr>
              <w:pStyle w:val="Compact"/>
              <w:spacing w:line="360" w:lineRule="auto"/>
            </w:pPr>
            <w:r>
              <w:rPr>
                <w:rFonts w:ascii="Cambria" w:hAnsi="Cambria"/>
                <w:color w:val="000000"/>
              </w:rPr>
              <w:t xml:space="preserve">Statistical analysis: described the analysis for each step of model development</w:t>
            </w:r>
          </w:p>
        </w:tc>
        <w:tc>
          <w:tcPr/>
          <w:p>
            <w:pPr>
              <w:pStyle w:val="Compact"/>
              <w:spacing w:line="360" w:lineRule="auto"/>
            </w:pPr>
            <w:r>
              <w:rPr>
                <w:rFonts w:ascii="Cambria" w:hAnsi="Cambria"/>
                <w:color w:val="000000"/>
              </w:rPr>
              <w:t xml:space="preserve">Methods: Off-Policy Evaluation; Methods: PEARL Model Architecture</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10b</w:t>
            </w:r>
          </w:p>
        </w:tc>
        <w:tc>
          <w:tcPr/>
          <w:p>
            <w:pPr>
              <w:pStyle w:val="Compact"/>
              <w:spacing w:line="360" w:lineRule="auto"/>
            </w:pPr>
            <w:r>
              <w:rPr>
                <w:rFonts w:ascii="Cambria" w:hAnsi="Cambria"/>
                <w:color w:val="000000"/>
              </w:rPr>
              <w:t xml:space="preserve">Evaluation metrics: specified the evaluation metrics and their rationale</w:t>
            </w:r>
          </w:p>
        </w:tc>
        <w:tc>
          <w:tcPr/>
          <w:p>
            <w:pPr>
              <w:pStyle w:val="Compact"/>
              <w:spacing w:line="360" w:lineRule="auto"/>
            </w:pPr>
            <w:r>
              <w:rPr>
                <w:rFonts w:ascii="Cambria" w:hAnsi="Cambria"/>
                <w:color w:val="000000"/>
              </w:rPr>
              <w:t xml:space="preserve">Methods: Off-Policy Evaluation</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10c</w:t>
            </w:r>
          </w:p>
        </w:tc>
        <w:tc>
          <w:tcPr/>
          <w:p>
            <w:pPr>
              <w:pStyle w:val="Compact"/>
              <w:spacing w:line="360" w:lineRule="auto"/>
            </w:pPr>
            <w:r>
              <w:rPr>
                <w:rFonts w:ascii="Cambria" w:hAnsi="Cambria"/>
                <w:color w:val="000000"/>
              </w:rPr>
              <w:t xml:space="preserve">Uncertainty: described how uncertainty was quantified</w:t>
            </w:r>
          </w:p>
        </w:tc>
        <w:tc>
          <w:tcPr/>
          <w:p>
            <w:pPr>
              <w:pStyle w:val="Compact"/>
              <w:spacing w:line="360" w:lineRule="auto"/>
            </w:pPr>
            <w:r>
              <w:rPr>
                <w:rFonts w:ascii="Cambria" w:hAnsi="Cambria"/>
                <w:color w:val="000000"/>
              </w:rPr>
              <w:t xml:space="preserve">Methods: Off-Policy Evaluation (bootstrap CI; conformal prediction)</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11</w:t>
            </w:r>
          </w:p>
        </w:tc>
        <w:tc>
          <w:tcPr/>
          <w:p>
            <w:pPr>
              <w:pStyle w:val="Compact"/>
              <w:spacing w:line="360" w:lineRule="auto"/>
            </w:pPr>
            <w:r>
              <w:rPr>
                <w:rFonts w:ascii="Cambria" w:hAnsi="Cambria"/>
                <w:color w:val="000000"/>
              </w:rPr>
              <w:t xml:space="preserve">Model architecture: described the model type and architecture</w:t>
            </w:r>
          </w:p>
        </w:tc>
        <w:tc>
          <w:tcPr/>
          <w:p>
            <w:pPr>
              <w:pStyle w:val="Compact"/>
              <w:spacing w:line="360" w:lineRule="auto"/>
            </w:pPr>
            <w:r>
              <w:rPr>
                <w:rFonts w:ascii="Cambria" w:hAnsi="Cambria"/>
                <w:color w:val="000000"/>
              </w:rPr>
              <w:t xml:space="preserve">Methods: PEARL Model Architecture; Algorithm S2</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12</w:t>
            </w:r>
          </w:p>
        </w:tc>
        <w:tc>
          <w:tcPr/>
          <w:p>
            <w:pPr>
              <w:pStyle w:val="Compact"/>
              <w:spacing w:line="360" w:lineRule="auto"/>
            </w:pPr>
            <w:r>
              <w:rPr>
                <w:rFonts w:ascii="Cambria" w:hAnsi="Cambria"/>
                <w:color w:val="000000"/>
              </w:rPr>
              <w:t xml:space="preserve">Hyperparameter selection: described how hyperparameters were selected</w:t>
            </w:r>
          </w:p>
        </w:tc>
        <w:tc>
          <w:tcPr/>
          <w:p>
            <w:pPr>
              <w:pStyle w:val="Compact"/>
              <w:spacing w:line="360" w:lineRule="auto"/>
            </w:pPr>
            <w:r>
              <w:rPr>
                <w:rFonts w:ascii="Cambria" w:hAnsi="Cambria"/>
                <w:color w:val="000000"/>
              </w:rPr>
              <w:t xml:space="preserve">Methods: PEARL Model Architecture (β = 0.10; 80 iterations)</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13</w:t>
            </w:r>
          </w:p>
        </w:tc>
        <w:tc>
          <w:tcPr/>
          <w:p>
            <w:pPr>
              <w:pStyle w:val="Compact"/>
              <w:spacing w:line="360" w:lineRule="auto"/>
            </w:pPr>
            <w:r>
              <w:rPr>
                <w:rFonts w:ascii="Cambria" w:hAnsi="Cambria"/>
                <w:color w:val="000000"/>
              </w:rPr>
              <w:t xml:space="preserve">Calibration: described the approach to calibration</w:t>
            </w:r>
          </w:p>
        </w:tc>
        <w:tc>
          <w:tcPr/>
          <w:p>
            <w:pPr>
              <w:pStyle w:val="Compact"/>
              <w:spacing w:line="360" w:lineRule="auto"/>
            </w:pPr>
            <w:r>
              <w:rPr>
                <w:rFonts w:ascii="Cambria" w:hAnsi="Cambria"/>
                <w:color w:val="000000"/>
              </w:rPr>
              <w:t xml:space="preserve">Methods: Off-Policy Evaluation (conformal prediction intervals); Methods: Intervention Misalignment Index (Hosmer-Lemeshow for nuisance models); Appendix Table 6 (AUC, Brier score, Hosmer-Lemeshow for propensity and outcome models)</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14</w:t>
            </w:r>
          </w:p>
        </w:tc>
        <w:tc>
          <w:tcPr/>
          <w:p>
            <w:pPr>
              <w:pStyle w:val="Compact"/>
              <w:spacing w:line="360" w:lineRule="auto"/>
            </w:pPr>
            <w:r>
              <w:rPr>
                <w:rFonts w:ascii="Cambria" w:hAnsi="Cambria"/>
                <w:color w:val="000000"/>
              </w:rPr>
              <w:t xml:space="preserve">Fairness and bias: described the approach to fairness-aware model development</w:t>
            </w:r>
          </w:p>
        </w:tc>
        <w:tc>
          <w:tcPr/>
          <w:p>
            <w:pPr>
              <w:pStyle w:val="Compact"/>
              <w:spacing w:line="360" w:lineRule="auto"/>
            </w:pPr>
            <w:r>
              <w:rPr>
                <w:rFonts w:ascii="Cambria" w:hAnsi="Cambria"/>
                <w:color w:val="000000"/>
              </w:rPr>
              <w:t xml:space="preserve">Methods: PEARL Model Architecture (group-stratified DPO loss)</w:t>
            </w:r>
          </w:p>
        </w:tc>
      </w:tr>
      <w:tr>
        <w:tc>
          <w:tcPr/>
          <w:p>
            <w:pPr>
              <w:pStyle w:val="Compact"/>
              <w:spacing w:line="360" w:lineRule="auto"/>
            </w:pPr>
            <w:r>
              <w:rPr>
                <w:rFonts w:ascii="Cambria" w:hAnsi="Cambria"/>
                <w:color w:val="000000"/>
              </w:rPr>
              <w:t xml:space="preserve">Methods</w:t>
            </w:r>
          </w:p>
        </w:tc>
        <w:tc>
          <w:tcPr/>
          <w:p>
            <w:pPr>
              <w:pStyle w:val="Compact"/>
              <w:spacing w:line="360" w:lineRule="auto"/>
            </w:pPr>
            <w:r>
              <w:rPr>
                <w:rFonts w:ascii="Cambria" w:hAnsi="Cambria"/>
                <w:color w:val="000000"/>
              </w:rPr>
              <w:t xml:space="preserve">15</w:t>
            </w:r>
          </w:p>
        </w:tc>
        <w:tc>
          <w:tcPr/>
          <w:p>
            <w:pPr>
              <w:pStyle w:val="Compact"/>
              <w:spacing w:line="360" w:lineRule="auto"/>
            </w:pPr>
            <w:r>
              <w:rPr>
                <w:rFonts w:ascii="Cambria" w:hAnsi="Cambria"/>
                <w:color w:val="000000"/>
              </w:rPr>
              <w:t xml:space="preserve">Pre-registration: stated whether the analysis plan was pre-registered</w:t>
            </w:r>
          </w:p>
        </w:tc>
        <w:tc>
          <w:tcPr/>
          <w:p>
            <w:pPr>
              <w:pStyle w:val="Compact"/>
              <w:spacing w:line="360" w:lineRule="auto"/>
            </w:pPr>
            <w:r>
              <w:rPr>
                <w:rFonts w:ascii="Cambria" w:hAnsi="Cambria"/>
                <w:color w:val="000000"/>
              </w:rPr>
              <w:t xml:space="preserve">Methods: Study Design; Methods: Sensitivity Analysis</w:t>
            </w:r>
          </w:p>
        </w:tc>
      </w:tr>
      <w:tr>
        <w:tc>
          <w:tcPr/>
          <w:p>
            <w:pPr>
              <w:pStyle w:val="Compact"/>
              <w:spacing w:line="360" w:lineRule="auto"/>
            </w:pPr>
            <w:r>
              <w:rPr>
                <w:rFonts w:ascii="Cambria" w:hAnsi="Cambria"/>
                <w:color w:val="000000"/>
              </w:rPr>
              <w:t xml:space="preserve">Results</w:t>
            </w:r>
          </w:p>
        </w:tc>
        <w:tc>
          <w:tcPr/>
          <w:p>
            <w:pPr>
              <w:pStyle w:val="Compact"/>
              <w:spacing w:line="360" w:lineRule="auto"/>
            </w:pPr>
            <w:r>
              <w:rPr>
                <w:rFonts w:ascii="Cambria" w:hAnsi="Cambria"/>
                <w:color w:val="000000"/>
              </w:rPr>
              <w:t xml:space="preserve">16</w:t>
            </w:r>
          </w:p>
        </w:tc>
        <w:tc>
          <w:tcPr/>
          <w:p>
            <w:pPr>
              <w:pStyle w:val="Compact"/>
              <w:spacing w:line="360" w:lineRule="auto"/>
            </w:pPr>
            <w:r>
              <w:rPr>
                <w:rFonts w:ascii="Cambria" w:hAnsi="Cambria"/>
                <w:color w:val="000000"/>
              </w:rPr>
              <w:t xml:space="preserve">Participants: reported the number of participants at each stage</w:t>
            </w:r>
          </w:p>
        </w:tc>
        <w:tc>
          <w:tcPr/>
          <w:p>
            <w:pPr>
              <w:pStyle w:val="Compact"/>
              <w:spacing w:line="360" w:lineRule="auto"/>
            </w:pPr>
            <w:r>
              <w:rPr>
                <w:rFonts w:ascii="Cambria" w:hAnsi="Cambria"/>
                <w:color w:val="000000"/>
              </w:rPr>
              <w:t xml:space="preserve">Results: Patient Population; Table 1; Appendix Figure 1</w:t>
            </w:r>
          </w:p>
        </w:tc>
      </w:tr>
      <w:tr>
        <w:tc>
          <w:tcPr/>
          <w:p>
            <w:pPr>
              <w:pStyle w:val="Compact"/>
              <w:spacing w:line="360" w:lineRule="auto"/>
            </w:pPr>
            <w:r>
              <w:rPr>
                <w:rFonts w:ascii="Cambria" w:hAnsi="Cambria"/>
                <w:color w:val="000000"/>
              </w:rPr>
              <w:t xml:space="preserve">Results</w:t>
            </w:r>
          </w:p>
        </w:tc>
        <w:tc>
          <w:tcPr/>
          <w:p>
            <w:pPr>
              <w:pStyle w:val="Compact"/>
              <w:spacing w:line="360" w:lineRule="auto"/>
            </w:pPr>
            <w:r>
              <w:rPr>
                <w:rFonts w:ascii="Cambria" w:hAnsi="Cambria"/>
                <w:color w:val="000000"/>
              </w:rPr>
              <w:t xml:space="preserve">17</w:t>
            </w:r>
          </w:p>
        </w:tc>
        <w:tc>
          <w:tcPr/>
          <w:p>
            <w:pPr>
              <w:pStyle w:val="Compact"/>
              <w:spacing w:line="360" w:lineRule="auto"/>
            </w:pPr>
            <w:r>
              <w:rPr>
                <w:rFonts w:ascii="Cambria" w:hAnsi="Cambria"/>
                <w:color w:val="000000"/>
              </w:rPr>
              <w:t xml:space="preserve">Model performance: reported performance statistics on evaluation set</w:t>
            </w:r>
          </w:p>
        </w:tc>
        <w:tc>
          <w:tcPr/>
          <w:p>
            <w:pPr>
              <w:pStyle w:val="Compact"/>
              <w:spacing w:line="360" w:lineRule="auto"/>
            </w:pPr>
            <w:r>
              <w:rPr>
                <w:rFonts w:ascii="Cambria" w:hAnsi="Cambria"/>
                <w:color w:val="000000"/>
              </w:rPr>
              <w:t xml:space="preserve">Results: Off-Policy Evaluation; Table 3</w:t>
            </w:r>
          </w:p>
        </w:tc>
      </w:tr>
      <w:tr>
        <w:tc>
          <w:tcPr/>
          <w:p>
            <w:pPr>
              <w:pStyle w:val="Compact"/>
              <w:spacing w:line="360" w:lineRule="auto"/>
            </w:pPr>
            <w:r>
              <w:rPr>
                <w:rFonts w:ascii="Cambria" w:hAnsi="Cambria"/>
                <w:color w:val="000000"/>
              </w:rPr>
              <w:t xml:space="preserve">Results</w:t>
            </w:r>
          </w:p>
        </w:tc>
        <w:tc>
          <w:tcPr/>
          <w:p>
            <w:pPr>
              <w:pStyle w:val="Compact"/>
              <w:spacing w:line="360" w:lineRule="auto"/>
            </w:pPr>
            <w:r>
              <w:rPr>
                <w:rFonts w:ascii="Cambria" w:hAnsi="Cambria"/>
                <w:color w:val="000000"/>
              </w:rPr>
              <w:t xml:space="preserve">18</w:t>
            </w:r>
          </w:p>
        </w:tc>
        <w:tc>
          <w:tcPr/>
          <w:p>
            <w:pPr>
              <w:pStyle w:val="Compact"/>
              <w:spacing w:line="360" w:lineRule="auto"/>
            </w:pPr>
            <w:r>
              <w:rPr>
                <w:rFonts w:ascii="Cambria" w:hAnsi="Cambria"/>
                <w:color w:val="000000"/>
              </w:rPr>
              <w:t xml:space="preserve">Confidence intervals: reported confidence intervals for all performance metrics</w:t>
            </w:r>
          </w:p>
        </w:tc>
        <w:tc>
          <w:tcPr/>
          <w:p>
            <w:pPr>
              <w:pStyle w:val="Compact"/>
              <w:spacing w:line="360" w:lineRule="auto"/>
            </w:pPr>
            <w:r>
              <w:rPr>
                <w:rFonts w:ascii="Cambria" w:hAnsi="Cambria"/>
                <w:color w:val="000000"/>
              </w:rPr>
              <w:t xml:space="preserve">Table 3; Appendix Table 1; Abstract</w:t>
            </w:r>
          </w:p>
        </w:tc>
      </w:tr>
      <w:tr>
        <w:tc>
          <w:tcPr/>
          <w:p>
            <w:pPr>
              <w:pStyle w:val="Compact"/>
              <w:spacing w:line="360" w:lineRule="auto"/>
            </w:pPr>
            <w:r>
              <w:rPr>
                <w:rFonts w:ascii="Cambria" w:hAnsi="Cambria"/>
                <w:color w:val="000000"/>
              </w:rPr>
              <w:t xml:space="preserve">Results</w:t>
            </w:r>
          </w:p>
        </w:tc>
        <w:tc>
          <w:tcPr/>
          <w:p>
            <w:pPr>
              <w:pStyle w:val="Compact"/>
              <w:spacing w:line="360" w:lineRule="auto"/>
            </w:pPr>
            <w:r>
              <w:rPr>
                <w:rFonts w:ascii="Cambria" w:hAnsi="Cambria"/>
                <w:color w:val="000000"/>
              </w:rPr>
              <w:t xml:space="preserve">19</w:t>
            </w:r>
          </w:p>
        </w:tc>
        <w:tc>
          <w:tcPr/>
          <w:p>
            <w:pPr>
              <w:pStyle w:val="Compact"/>
              <w:spacing w:line="360" w:lineRule="auto"/>
            </w:pPr>
            <w:r>
              <w:rPr>
                <w:rFonts w:ascii="Cambria" w:hAnsi="Cambria"/>
                <w:color w:val="000000"/>
              </w:rPr>
              <w:t xml:space="preserve">Fairness results: reported model performance stratified by relevant subgroups</w:t>
            </w:r>
          </w:p>
        </w:tc>
        <w:tc>
          <w:tcPr/>
          <w:p>
            <w:pPr>
              <w:pStyle w:val="Compact"/>
              <w:spacing w:line="360" w:lineRule="auto"/>
            </w:pPr>
            <w:r>
              <w:rPr>
                <w:rFonts w:ascii="Cambria" w:hAnsi="Cambria"/>
                <w:color w:val="000000"/>
              </w:rPr>
              <w:t xml:space="preserve">Results: IMI; Appendix Table 1</w:t>
            </w:r>
          </w:p>
        </w:tc>
      </w:tr>
      <w:tr>
        <w:tc>
          <w:tcPr/>
          <w:p>
            <w:pPr>
              <w:pStyle w:val="Compact"/>
              <w:spacing w:line="360" w:lineRule="auto"/>
            </w:pPr>
            <w:r>
              <w:rPr>
                <w:rFonts w:ascii="Cambria" w:hAnsi="Cambria"/>
                <w:color w:val="000000"/>
              </w:rPr>
              <w:t xml:space="preserve">Results</w:t>
            </w:r>
          </w:p>
        </w:tc>
        <w:tc>
          <w:tcPr/>
          <w:p>
            <w:pPr>
              <w:pStyle w:val="Compact"/>
              <w:spacing w:line="360" w:lineRule="auto"/>
            </w:pPr>
            <w:r>
              <w:rPr>
                <w:rFonts w:ascii="Cambria" w:hAnsi="Cambria"/>
                <w:color w:val="000000"/>
              </w:rPr>
              <w:t xml:space="preserve">20</w:t>
            </w:r>
          </w:p>
        </w:tc>
        <w:tc>
          <w:tcPr/>
          <w:p>
            <w:pPr>
              <w:pStyle w:val="Compact"/>
              <w:spacing w:line="360" w:lineRule="auto"/>
            </w:pPr>
            <w:r>
              <w:rPr>
                <w:rFonts w:ascii="Cambria" w:hAnsi="Cambria"/>
                <w:color w:val="000000"/>
              </w:rPr>
              <w:t xml:space="preserve">Sensitivity analysis: reported all pre-specified sensitivity analyses</w:t>
            </w:r>
          </w:p>
        </w:tc>
        <w:tc>
          <w:tcPr/>
          <w:p>
            <w:pPr>
              <w:pStyle w:val="Compact"/>
              <w:spacing w:line="360" w:lineRule="auto"/>
            </w:pPr>
            <w:r>
              <w:rPr>
                <w:rFonts w:ascii="Cambria" w:hAnsi="Cambria"/>
                <w:color w:val="000000"/>
              </w:rPr>
              <w:t xml:space="preserve">Results: Sensitivity Analysis; Appendix Table 3; Appendix Figure 3</w:t>
            </w:r>
          </w:p>
        </w:tc>
      </w:tr>
      <w:tr>
        <w:tc>
          <w:tcPr/>
          <w:p>
            <w:pPr>
              <w:pStyle w:val="Compact"/>
              <w:spacing w:line="360" w:lineRule="auto"/>
            </w:pPr>
            <w:r>
              <w:rPr>
                <w:rFonts w:ascii="Cambria" w:hAnsi="Cambria"/>
                <w:color w:val="000000"/>
              </w:rPr>
              <w:t xml:space="preserve">Discussion</w:t>
            </w:r>
          </w:p>
        </w:tc>
        <w:tc>
          <w:tcPr/>
          <w:p>
            <w:pPr>
              <w:pStyle w:val="Compact"/>
              <w:spacing w:line="360" w:lineRule="auto"/>
            </w:pPr>
            <w:r>
              <w:rPr>
                <w:rFonts w:ascii="Cambria" w:hAnsi="Cambria"/>
                <w:color w:val="000000"/>
              </w:rPr>
              <w:t xml:space="preserve">21</w:t>
            </w:r>
          </w:p>
        </w:tc>
        <w:tc>
          <w:tcPr/>
          <w:p>
            <w:pPr>
              <w:pStyle w:val="Compact"/>
              <w:spacing w:line="360" w:lineRule="auto"/>
            </w:pPr>
            <w:r>
              <w:rPr>
                <w:rFonts w:ascii="Cambria" w:hAnsi="Cambria"/>
                <w:color w:val="000000"/>
              </w:rPr>
              <w:t xml:space="preserve">Limitations: discussed limitations related to data, methods, and generalizability</w:t>
            </w:r>
          </w:p>
        </w:tc>
        <w:tc>
          <w:tcPr/>
          <w:p>
            <w:pPr>
              <w:pStyle w:val="Compact"/>
              <w:spacing w:line="360" w:lineRule="auto"/>
            </w:pPr>
            <w:r>
              <w:rPr>
                <w:rFonts w:ascii="Cambria" w:hAnsi="Cambria"/>
                <w:color w:val="000000"/>
              </w:rPr>
              <w:t xml:space="preserve">Discussion, ¶4</w:t>
            </w:r>
          </w:p>
        </w:tc>
      </w:tr>
      <w:tr>
        <w:tc>
          <w:tcPr/>
          <w:p>
            <w:pPr>
              <w:pStyle w:val="Compact"/>
              <w:spacing w:line="360" w:lineRule="auto"/>
            </w:pPr>
            <w:r>
              <w:rPr>
                <w:rFonts w:ascii="Cambria" w:hAnsi="Cambria"/>
                <w:color w:val="000000"/>
              </w:rPr>
              <w:t xml:space="preserve">Discussion</w:t>
            </w:r>
          </w:p>
        </w:tc>
        <w:tc>
          <w:tcPr/>
          <w:p>
            <w:pPr>
              <w:pStyle w:val="Compact"/>
              <w:spacing w:line="360" w:lineRule="auto"/>
            </w:pPr>
            <w:r>
              <w:rPr>
                <w:rFonts w:ascii="Cambria" w:hAnsi="Cambria"/>
                <w:color w:val="000000"/>
              </w:rPr>
              <w:t xml:space="preserve">22</w:t>
            </w:r>
          </w:p>
        </w:tc>
        <w:tc>
          <w:tcPr/>
          <w:p>
            <w:pPr>
              <w:pStyle w:val="Compact"/>
              <w:spacing w:line="360" w:lineRule="auto"/>
            </w:pPr>
            <w:r>
              <w:rPr>
                <w:rFonts w:ascii="Cambria" w:hAnsi="Cambria"/>
                <w:color w:val="000000"/>
              </w:rPr>
              <w:t xml:space="preserve">Prospective validation: described the plan for prospective validation</w:t>
            </w:r>
          </w:p>
        </w:tc>
        <w:tc>
          <w:tcPr/>
          <w:p>
            <w:pPr>
              <w:pStyle w:val="Compact"/>
              <w:spacing w:line="360" w:lineRule="auto"/>
            </w:pPr>
            <w:r>
              <w:rPr>
                <w:rFonts w:ascii="Cambria" w:hAnsi="Cambria"/>
                <w:color w:val="000000"/>
              </w:rPr>
              <w:t xml:space="preserve">Discussion, ¶5</w:t>
            </w:r>
          </w:p>
        </w:tc>
      </w:tr>
      <w:tr>
        <w:tc>
          <w:tcPr/>
          <w:p>
            <w:pPr>
              <w:pStyle w:val="Compact"/>
              <w:spacing w:line="360" w:lineRule="auto"/>
            </w:pPr>
            <w:r>
              <w:rPr>
                <w:rFonts w:ascii="Cambria" w:hAnsi="Cambria"/>
                <w:color w:val="000000"/>
              </w:rPr>
              <w:t xml:space="preserve">Other</w:t>
            </w:r>
          </w:p>
        </w:tc>
        <w:tc>
          <w:tcPr/>
          <w:p>
            <w:pPr>
              <w:pStyle w:val="Compact"/>
              <w:spacing w:line="360" w:lineRule="auto"/>
            </w:pPr>
            <w:r>
              <w:rPr>
                <w:rFonts w:ascii="Cambria" w:hAnsi="Cambria"/>
                <w:color w:val="000000"/>
              </w:rPr>
              <w:t xml:space="preserve">23</w:t>
            </w:r>
          </w:p>
        </w:tc>
        <w:tc>
          <w:tcPr/>
          <w:p>
            <w:pPr>
              <w:pStyle w:val="Compact"/>
              <w:spacing w:line="360" w:lineRule="auto"/>
            </w:pPr>
            <w:r>
              <w:rPr>
                <w:rFonts w:ascii="Cambria" w:hAnsi="Cambria"/>
                <w:color w:val="000000"/>
              </w:rPr>
              <w:t xml:space="preserve">Supplementary material: provided algorithms and formal proofs</w:t>
            </w:r>
          </w:p>
        </w:tc>
        <w:tc>
          <w:tcPr/>
          <w:p>
            <w:pPr>
              <w:pStyle w:val="Compact"/>
              <w:spacing w:line="360" w:lineRule="auto"/>
            </w:pPr>
            <w:r>
              <w:rPr>
                <w:rFonts w:ascii="Cambria" w:hAnsi="Cambria"/>
                <w:color w:val="000000"/>
              </w:rPr>
              <w:t xml:space="preserve">Algorithms S1–S2; Theorems S1–S2</w:t>
            </w:r>
          </w:p>
        </w:tc>
      </w:tr>
      <w:tr>
        <w:tc>
          <w:tcPr/>
          <w:p>
            <w:pPr>
              <w:pStyle w:val="Compact"/>
              <w:spacing w:line="360" w:lineRule="auto"/>
            </w:pPr>
            <w:r>
              <w:rPr>
                <w:rFonts w:ascii="Cambria" w:hAnsi="Cambria"/>
                <w:color w:val="000000"/>
              </w:rPr>
              <w:t xml:space="preserve">Other</w:t>
            </w:r>
          </w:p>
        </w:tc>
        <w:tc>
          <w:tcPr/>
          <w:p>
            <w:pPr>
              <w:pStyle w:val="Compact"/>
              <w:spacing w:line="360" w:lineRule="auto"/>
            </w:pPr>
            <w:r>
              <w:rPr>
                <w:rFonts w:ascii="Cambria" w:hAnsi="Cambria"/>
                <w:color w:val="000000"/>
              </w:rPr>
              <w:t xml:space="preserve">24</w:t>
            </w:r>
          </w:p>
        </w:tc>
        <w:tc>
          <w:tcPr/>
          <w:p>
            <w:pPr>
              <w:pStyle w:val="Compact"/>
              <w:spacing w:line="360" w:lineRule="auto"/>
            </w:pPr>
            <w:r>
              <w:rPr>
                <w:rFonts w:ascii="Cambria" w:hAnsi="Cambria"/>
                <w:color w:val="000000"/>
              </w:rPr>
              <w:t xml:space="preserve">Code availability: stated availability of analysis code</w:t>
            </w:r>
          </w:p>
        </w:tc>
        <w:tc>
          <w:tcPr/>
          <w:p>
            <w:pPr>
              <w:pStyle w:val="Compact"/>
              <w:spacing w:line="360" w:lineRule="auto"/>
            </w:pPr>
            <w:r>
              <w:rPr>
                <w:rFonts w:ascii="Cambria" w:hAnsi="Cambria"/>
                <w:color w:val="000000"/>
              </w:rPr>
              <w:t xml:space="preserve">Data Availability</w:t>
            </w:r>
          </w:p>
        </w:tc>
      </w:tr>
      <w:tr>
        <w:tc>
          <w:tcPr/>
          <w:p>
            <w:pPr>
              <w:pStyle w:val="Compact"/>
              <w:spacing w:line="360" w:lineRule="auto"/>
            </w:pPr>
            <w:r>
              <w:rPr>
                <w:rFonts w:ascii="Cambria" w:hAnsi="Cambria"/>
                <w:color w:val="000000"/>
              </w:rPr>
              <w:t xml:space="preserve">RECORD extension</w:t>
            </w:r>
          </w:p>
        </w:tc>
        <w:tc>
          <w:tcPr/>
          <w:p>
            <w:pPr>
              <w:pStyle w:val="Compact"/>
              <w:spacing w:line="360" w:lineRule="auto"/>
            </w:pPr>
            <w:r>
              <w:rPr>
                <w:rFonts w:ascii="Cambria" w:hAnsi="Cambria"/>
                <w:color w:val="000000"/>
              </w:rPr>
              <w:t xml:space="preserve">R1</w:t>
            </w:r>
          </w:p>
        </w:tc>
        <w:tc>
          <w:tcPr/>
          <w:p>
            <w:pPr>
              <w:pStyle w:val="Compact"/>
              <w:spacing w:line="360" w:lineRule="auto"/>
            </w:pPr>
            <w:r>
              <w:rPr>
                <w:rFonts w:ascii="Cambria" w:hAnsi="Cambria"/>
                <w:color w:val="000000"/>
              </w:rPr>
              <w:t xml:space="preserve">Described the database and linkage method</w:t>
            </w:r>
          </w:p>
        </w:tc>
        <w:tc>
          <w:tcPr/>
          <w:p>
            <w:pPr>
              <w:pStyle w:val="Compact"/>
              <w:spacing w:line="360" w:lineRule="auto"/>
            </w:pPr>
            <w:r>
              <w:rPr>
                <w:rFonts w:ascii="Cambria" w:hAnsi="Cambria"/>
                <w:color w:val="000000"/>
              </w:rPr>
              <w:t xml:space="preserve">Methods: Setting and Data Sources</w:t>
            </w:r>
          </w:p>
        </w:tc>
      </w:tr>
      <w:tr>
        <w:tc>
          <w:tcPr/>
          <w:p>
            <w:pPr>
              <w:pStyle w:val="Compact"/>
              <w:spacing w:line="360" w:lineRule="auto"/>
            </w:pPr>
            <w:r>
              <w:rPr>
                <w:rFonts w:ascii="Cambria" w:hAnsi="Cambria"/>
                <w:color w:val="000000"/>
              </w:rPr>
              <w:t xml:space="preserve">RECORD extension</w:t>
            </w:r>
          </w:p>
        </w:tc>
        <w:tc>
          <w:tcPr/>
          <w:p>
            <w:pPr>
              <w:pStyle w:val="Compact"/>
              <w:spacing w:line="360" w:lineRule="auto"/>
            </w:pPr>
            <w:r>
              <w:rPr>
                <w:rFonts w:ascii="Cambria" w:hAnsi="Cambria"/>
                <w:color w:val="000000"/>
              </w:rPr>
              <w:t xml:space="preserve">R2</w:t>
            </w:r>
          </w:p>
        </w:tc>
        <w:tc>
          <w:tcPr/>
          <w:p>
            <w:pPr>
              <w:pStyle w:val="Compact"/>
              <w:spacing w:line="360" w:lineRule="auto"/>
            </w:pPr>
            <w:r>
              <w:rPr>
                <w:rFonts w:ascii="Cambria" w:hAnsi="Cambria"/>
                <w:color w:val="000000"/>
              </w:rPr>
              <w:t xml:space="preserve">Described how codes or variables were used to define the study population</w:t>
            </w:r>
          </w:p>
        </w:tc>
        <w:tc>
          <w:tcPr/>
          <w:p>
            <w:pPr>
              <w:pStyle w:val="Compact"/>
              <w:spacing w:line="360" w:lineRule="auto"/>
            </w:pPr>
            <w:r>
              <w:rPr>
                <w:rFonts w:ascii="Cambria" w:hAnsi="Cambria"/>
                <w:color w:val="000000"/>
              </w:rPr>
              <w:t xml:space="preserve">Methods: Participants (risk model stratification)</w:t>
            </w:r>
          </w:p>
        </w:tc>
      </w:tr>
      <w:tr>
        <w:tc>
          <w:tcPr/>
          <w:p>
            <w:pPr>
              <w:pStyle w:val="Compact"/>
              <w:spacing w:line="360" w:lineRule="auto"/>
            </w:pPr>
            <w:r>
              <w:rPr>
                <w:rFonts w:ascii="Cambria" w:hAnsi="Cambria"/>
                <w:color w:val="000000"/>
              </w:rPr>
              <w:t xml:space="preserve">RECORD extension</w:t>
            </w:r>
          </w:p>
        </w:tc>
        <w:tc>
          <w:tcPr/>
          <w:p>
            <w:pPr>
              <w:pStyle w:val="Compact"/>
              <w:spacing w:line="360" w:lineRule="auto"/>
            </w:pPr>
            <w:r>
              <w:rPr>
                <w:rFonts w:ascii="Cambria" w:hAnsi="Cambria"/>
                <w:color w:val="000000"/>
              </w:rPr>
              <w:t xml:space="preserve">R3</w:t>
            </w:r>
          </w:p>
        </w:tc>
        <w:tc>
          <w:tcPr/>
          <w:p>
            <w:pPr>
              <w:pStyle w:val="Compact"/>
              <w:spacing w:line="360" w:lineRule="auto"/>
            </w:pPr>
            <w:r>
              <w:rPr>
                <w:rFonts w:ascii="Cambria" w:hAnsi="Cambria"/>
                <w:color w:val="000000"/>
              </w:rPr>
              <w:t xml:space="preserve">Described any validation of codes or linkage</w:t>
            </w:r>
          </w:p>
        </w:tc>
        <w:tc>
          <w:tcPr/>
          <w:p>
            <w:pPr>
              <w:pStyle w:val="Compact"/>
              <w:spacing w:line="360" w:lineRule="auto"/>
            </w:pPr>
            <w:r>
              <w:rPr>
                <w:rFonts w:ascii="Cambria" w:hAnsi="Cambria"/>
                <w:color w:val="000000"/>
              </w:rPr>
              <w:t xml:space="preserve">Methods: WPAD Framework (T1–T6 falsification); Appendix Table 4</w:t>
            </w:r>
          </w:p>
        </w:tc>
      </w:tr>
    </w:tbl>
    <w:p>
      <w:pPr>
        <w:pStyle w:val="BodyText"/>
        <w:spacing w:line="360" w:lineRule="auto"/>
      </w:pPr>
      <w:r>
        <w:rPr>
          <w:rFonts w:ascii="Cambria" w:hAnsi="Cambria"/>
          <w:color w:val="000000"/>
        </w:rPr>
        <w:t xml:space="preserve">TRIPOD-AI = Transparent Reporting of a Multivariable Prediction Model for Individual Prognosis or Diagnosis, Artificial Intelligence extension; RECORD = REporting of studies Conducted using Observational Routinely collected health Data.</w:t>
      </w:r>
    </w:p>
    <w:p>
      <w:pPr>
        <w:spacing w:line="360" w:lineRule="auto"/>
      </w:pPr>
      <w:r>
        <w:rPr>
          <w:rFonts w:ascii="Cambria" w:hAnsi="Cambria"/>
          <w:color w:val="000000"/>
        </w:rPr>
        <w:pict>
          <v:rect style="width:0;height:1.5pt" o:hralign="center" o:hrstd="t" o:hr="t"/>
        </w:pict>
      </w:r>
    </w:p>
    <w:bookmarkEnd w:id="16"/>
    <w:bookmarkStart w:id="17" w:name="X07c7eb7ba1e3a804e46c5a225faa4faa84b4820"/>
    <w:p>
      <w:pPr>
        <w:pStyle w:val="Heading2"/>
        <w:spacing w:line="360" w:lineRule="auto"/>
      </w:pPr>
      <w:r>
        <w:rPr>
          <w:rFonts w:ascii="Cambria" w:hAnsi="Cambria"/>
          <w:color w:val="000000"/>
        </w:rPr>
        <w:t xml:space="preserve">Algorithm S1. WPAD Preference Pair Construction</w:t>
      </w:r>
    </w:p>
    <w:p>
      <w:pPr>
        <w:pStyle w:val="FirstParagraph"/>
        <w:spacing w:line="360" w:lineRule="auto"/>
      </w:pPr>
      <w:r>
        <w:rPr>
          <w:rFonts w:ascii="Cambria" w:hAnsi="Cambria"/>
          <w:color w:val="000000"/>
        </w:rPr>
        <w:t xml:space="preserve">The following pseudocode describes the procedure for constructing Within-Patient Administrative Discontinuity preference pairs from ACO administrative records. The algorithm is designed to produce a set of preference triples</w:t>
      </w:r>
      <w:r>
        <w:rPr>
          <w:rFonts w:ascii="Cambria" w:hAnsi="Cambria"/>
          <w:color w:val="000000"/>
        </w:rPr>
        <w:t xml:space="preserve"> </w:t>
      </w:r>
      <m:oMath>
        <m:r>
          <m:rPr>
            <m:sty m:val="p"/>
          </m:rPr>
          <m:t>(</m:t>
        </m:r>
        <m:sSub>
          <m:e>
            <m:r>
              <m:t>x</m:t>
            </m:r>
          </m:e>
          <m:sub>
            <m:r>
              <m:t>i</m:t>
            </m:r>
          </m:sub>
        </m:sSub>
        <m:r>
          <m:rPr>
            <m:sty m:val="p"/>
          </m:rPr>
          <m:t>,</m:t>
        </m:r>
        <m:sSub>
          <m:e>
            <m:r>
              <m:t>y</m:t>
            </m:r>
          </m:e>
          <m:sub>
            <m:r>
              <m:t>w</m:t>
            </m:r>
            <m:r>
              <m:rPr>
                <m:sty m:val="p"/>
              </m:rPr>
              <m:t>,</m:t>
            </m:r>
            <m:r>
              <m:t>i</m:t>
            </m:r>
          </m:sub>
        </m:sSub>
        <m:r>
          <m:rPr>
            <m:sty m:val="p"/>
          </m:rPr>
          <m:t>,</m:t>
        </m:r>
        <m:sSub>
          <m:e>
            <m:r>
              <m:t>y</m:t>
            </m:r>
          </m:e>
          <m:sub>
            <m:r>
              <m:t>l</m:t>
            </m:r>
            <m:r>
              <m:rPr>
                <m:sty m:val="p"/>
              </m:rPr>
              <m:t>,</m:t>
            </m:r>
            <m:r>
              <m:t>i</m:t>
            </m:r>
          </m:sub>
        </m:sSub>
        <m:r>
          <m:rPr>
            <m:sty m:val="p"/>
          </m:rPr>
          <m:t>,</m:t>
        </m:r>
        <m:sSub>
          <m:e>
            <m:r>
              <m:t>w</m:t>
            </m:r>
          </m:e>
          <m:sub>
            <m:r>
              <m:t>i</m:t>
            </m:r>
          </m:sub>
        </m:sSub>
        <m:r>
          <m:rPr>
            <m:sty m:val="p"/>
          </m:rPr>
          <m:t>)</m:t>
        </m:r>
      </m:oMath>
      <w:r>
        <w:rPr>
          <w:rFonts w:ascii="Cambria" w:hAnsi="Cambria"/>
          <w:color w:val="000000"/>
        </w:rPr>
        <w:t xml:space="preserve"> </w:t>
      </w:r>
      <w:r>
        <w:rPr>
          <w:rFonts w:ascii="Cambria" w:hAnsi="Cambria"/>
          <w:color w:val="000000"/>
        </w:rPr>
        <w:t xml:space="preserve">where</w:t>
      </w:r>
      <w:r>
        <w:rPr>
          <w:rFonts w:ascii="Cambria" w:hAnsi="Cambria"/>
          <w:color w:val="000000"/>
        </w:rPr>
        <w:t xml:space="preserve"> </w:t>
      </w:r>
      <m:oMath>
        <m:sSub>
          <m:e>
            <m:r>
              <m:t>x</m:t>
            </m:r>
          </m:e>
          <m:sub>
            <m:r>
              <m:t>i</m:t>
            </m:r>
          </m:sub>
        </m:sSub>
      </m:oMath>
      <w:r>
        <w:rPr>
          <w:rFonts w:ascii="Cambria" w:hAnsi="Cambria"/>
          <w:color w:val="000000"/>
        </w:rPr>
        <w:t xml:space="preserve"> </w:t>
      </w:r>
      <w:r>
        <w:rPr>
          <w:rFonts w:ascii="Cambria" w:hAnsi="Cambria"/>
          <w:color w:val="000000"/>
        </w:rPr>
        <w:t xml:space="preserve">is the patient conditioning context,</w:t>
      </w:r>
      <w:r>
        <w:rPr>
          <w:rFonts w:ascii="Cambria" w:hAnsi="Cambria"/>
          <w:color w:val="000000"/>
        </w:rPr>
        <w:t xml:space="preserve"> </w:t>
      </w:r>
      <m:oMath>
        <m:sSub>
          <m:e>
            <m:r>
              <m:t>y</m:t>
            </m:r>
          </m:e>
          <m:sub>
            <m:r>
              <m:t>w</m:t>
            </m:r>
            <m:r>
              <m:rPr>
                <m:sty m:val="p"/>
              </m:rPr>
              <m:t>,</m:t>
            </m:r>
            <m:r>
              <m:t>i</m:t>
            </m:r>
          </m:sub>
        </m:sSub>
      </m:oMath>
      <w:r>
        <w:rPr>
          <w:rFonts w:ascii="Cambria" w:hAnsi="Cambria"/>
          <w:color w:val="000000"/>
        </w:rPr>
        <w:t xml:space="preserve"> </w:t>
      </w:r>
      <w:r>
        <w:rPr>
          <w:rFonts w:ascii="Cambria" w:hAnsi="Cambria"/>
          <w:color w:val="000000"/>
        </w:rPr>
        <w:t xml:space="preserve">is the preferred (WPAD-associated good-outcome) care management assignment,</w:t>
      </w:r>
      <w:r>
        <w:rPr>
          <w:rFonts w:ascii="Cambria" w:hAnsi="Cambria"/>
          <w:color w:val="000000"/>
        </w:rPr>
        <w:t xml:space="preserve"> </w:t>
      </w:r>
      <m:oMath>
        <m:sSub>
          <m:e>
            <m:r>
              <m:t>y</m:t>
            </m:r>
          </m:e>
          <m:sub>
            <m:r>
              <m:t>l</m:t>
            </m:r>
            <m:r>
              <m:rPr>
                <m:sty m:val="p"/>
              </m:rPr>
              <m:t>,</m:t>
            </m:r>
            <m:r>
              <m:t>i</m:t>
            </m:r>
          </m:sub>
        </m:sSub>
      </m:oMath>
      <w:r>
        <w:rPr>
          <w:rFonts w:ascii="Cambria" w:hAnsi="Cambria"/>
          <w:color w:val="000000"/>
        </w:rPr>
        <w:t xml:space="preserve"> </w:t>
      </w:r>
      <w:r>
        <w:rPr>
          <w:rFonts w:ascii="Cambria" w:hAnsi="Cambria"/>
          <w:color w:val="000000"/>
        </w:rPr>
        <w:t xml:space="preserve">is the rejected (WPAD-associated poor-outcome or null-care) assignment, and</w:t>
      </w:r>
      <w:r>
        <w:rPr>
          <w:rFonts w:ascii="Cambria" w:hAnsi="Cambria"/>
          <w:color w:val="000000"/>
        </w:rPr>
        <w:t xml:space="preserve"> </w:t>
      </w:r>
      <m:oMath>
        <m:sSub>
          <m:e>
            <m:r>
              <m:t>w</m:t>
            </m:r>
          </m:e>
          <m:sub>
            <m:r>
              <m:t>i</m:t>
            </m:r>
          </m:sub>
        </m:sSub>
      </m:oMath>
      <w:r>
        <w:rPr>
          <w:rFonts w:ascii="Cambria" w:hAnsi="Cambria"/>
          <w:color w:val="000000"/>
        </w:rPr>
        <w:t xml:space="preserve"> </w:t>
      </w:r>
      <w:r>
        <w:rPr>
          <w:rFonts w:ascii="Cambria" w:hAnsi="Cambria"/>
          <w:color w:val="000000"/>
        </w:rPr>
        <w:t xml:space="preserve">is the IPTW weight.</w:t>
      </w:r>
    </w:p>
    <w:p>
      <w:pPr>
        <w:pStyle w:val="BodyText"/>
        <w:spacing w:line="360" w:lineRule="auto"/>
      </w:pPr>
      <w:r>
        <w:rPr>
          <w:rFonts w:ascii="Cambria" w:hAnsi="Cambria"/>
          <w:color w:val="000000"/>
        </w:rPr>
        <w:t xml:space="preserve">The pair inclusion criteria were pre-specified before any data access. The case structure in step 1(c) implements the outcome-conditional pair selection rule: only pairs in which the ON-window outcome is good and the OFF-window outcome is poor provide an unambiguous causal learning signal that active care management — rather than unobserved patient characteristics — was associated with the better outcome.</w:t>
      </w:r>
    </w:p>
    <w:p>
      <w:pPr>
        <w:pStyle w:val="BodyText"/>
        <w:spacing w:line="360" w:lineRule="auto"/>
      </w:pPr>
      <w:r>
        <w:rPr>
          <w:rFonts w:ascii="Cambria" w:hAnsi="Cambria"/>
          <w:color w:val="000000"/>
        </w:rPr>
        <w:t xml:space="preserve">A note on the Y</w:t>
      </w:r>
      <w:r>
        <w:rPr>
          <w:rFonts w:ascii="Cambria" w:hAnsi="Cambria"/>
          <w:color w:val="000000"/>
          <w:vertAlign w:val="subscript"/>
        </w:rPr>
        <w:t xml:space="preserve">on</w:t>
      </w:r>
      <w:r>
        <w:rPr>
          <w:rFonts w:ascii="Cambria" w:hAnsi="Cambria"/>
          <w:color w:val="000000"/>
        </w:rPr>
        <w:t xml:space="preserve"> </w:t>
      </w:r>
      <w:r>
        <w:rPr>
          <w:rFonts w:ascii="Cambria" w:hAnsi="Cambria"/>
          <w:color w:val="000000"/>
        </w:rPr>
        <w:t xml:space="preserve">= 1 discard rule: pairs in which the ON-window has a poor outcome (Y</w:t>
      </w:r>
      <w:r>
        <w:rPr>
          <w:rFonts w:ascii="Cambria" w:hAnsi="Cambria"/>
          <w:color w:val="000000"/>
          <w:vertAlign w:val="subscript"/>
        </w:rPr>
        <w:t xml:space="preserve">on</w:t>
      </w:r>
      <w:r>
        <w:rPr>
          <w:rFonts w:ascii="Cambria" w:hAnsi="Cambria"/>
          <w:color w:val="000000"/>
        </w:rPr>
        <w:t xml:space="preserve"> </w:t>
      </w:r>
      <w:r>
        <w:rPr>
          <w:rFonts w:ascii="Cambria" w:hAnsi="Cambria"/>
          <w:color w:val="000000"/>
        </w:rPr>
        <w:t xml:space="preserve">= 1) are discarded because they provide no interpretable preference signal (we cannot determine whether the care management type was ineffective or whether the patient was simply too high-risk to benefit from any intervention). In the Type 1 WPAD cohort, zero such pairs were observed among 1,707 eligible patient-window pairs (PRISMA diagram, Appendix Figure 1). This is consistent with the 4.1% base event rate in the full rising-risk cohort: among 622 primary pairs with verified ON-window care management, an expected 26 cases (4.2%) would have Y</w:t>
      </w:r>
      <w:r>
        <w:rPr>
          <w:rFonts w:ascii="Cambria" w:hAnsi="Cambria"/>
          <w:color w:val="000000"/>
          <w:vertAlign w:val="subscript"/>
        </w:rPr>
        <w:t xml:space="preserve">on</w:t>
      </w:r>
      <w:r>
        <w:rPr>
          <w:rFonts w:ascii="Cambria" w:hAnsi="Cambria"/>
          <w:color w:val="000000"/>
        </w:rPr>
        <w:t xml:space="preserve"> </w:t>
      </w:r>
      <w:r>
        <w:rPr>
          <w:rFonts w:ascii="Cambria" w:hAnsi="Cambria"/>
          <w:color w:val="000000"/>
        </w:rPr>
        <w:t xml:space="preserve">= 1 if ON-window event rates equaled the base rate. The zero observed count suggests care management effectively suppresses events in this ACO-onboarding sample (consistent with the study hypothesis). The conservative discarding of Y</w:t>
      </w:r>
      <w:r>
        <w:rPr>
          <w:rFonts w:ascii="Cambria" w:hAnsi="Cambria"/>
          <w:color w:val="000000"/>
          <w:vertAlign w:val="subscript"/>
        </w:rPr>
        <w:t xml:space="preserve">on</w:t>
      </w:r>
      <w:r>
        <w:rPr>
          <w:rFonts w:ascii="Cambria" w:hAnsi="Cambria"/>
          <w:color w:val="000000"/>
        </w:rPr>
        <w:t xml:space="preserve"> </w:t>
      </w:r>
      <w:r>
        <w:rPr>
          <w:rFonts w:ascii="Cambria" w:hAnsi="Cambria"/>
          <w:color w:val="000000"/>
        </w:rPr>
        <w:t xml:space="preserve">= 1 cases does not introduce optimistic bias if these cases are discarded rather than reversed; including them as reversed pairs (where no-care is</w:t>
      </w:r>
      <w:r>
        <w:rPr>
          <w:rFonts w:ascii="Cambria" w:hAnsi="Cambria"/>
          <w:color w:val="000000"/>
        </w:rPr>
        <w:t xml:space="preserve"> </w:t>
      </w:r>
      <w:r>
        <w:rPr>
          <w:rFonts w:ascii="Cambria" w:hAnsi="Cambria"/>
          <w:color w:val="000000"/>
        </w:rPr>
        <w:t xml:space="preserve">“preferred”</w:t>
      </w:r>
      <w:r>
        <w:rPr>
          <w:rFonts w:ascii="Cambria" w:hAnsi="Cambria"/>
          <w:color w:val="000000"/>
        </w:rPr>
        <w:t xml:space="preserve">) would be a sensitivity analysis applicable if the zero-count assumption breaks in a higher-acuity replication population.</w:t>
      </w:r>
    </w:p>
    <w:p>
      <w:pPr>
        <w:pStyle w:val="SourceCode"/>
        <w:spacing w:line="360" w:lineRule="auto"/>
      </w:pPr>
      <w:r>
        <w:rPr>
          <w:rStyle w:val="VerbatimChar"/>
          <w:rFonts w:ascii="Cambria" w:hAnsi="Cambria"/>
          <w:color w:val="000000"/>
        </w:rPr>
        <w:t xml:space="preserve">Input:  E  — enrollment and onboarding date records</w:t>
      </w:r>
      <w:r>
        <w:rPr>
          <w:rFonts w:ascii="Cambria" w:hAnsi="Cambria"/>
          <w:color w:val="000000"/>
        </w:rPr>
        <w:br/>
      </w:r>
      <w:r>
        <w:rPr>
          <w:rStyle w:val="VerbatimChar"/>
          <w:rFonts w:ascii="Cambria" w:hAnsi="Cambria"/>
          <w:color w:val="000000"/>
        </w:rPr>
        <w:t xml:space="preserve">        C  — administrative claims (ICD-10-CM, CPT/HCPCS, pharmacy fills)</w:t>
      </w:r>
      <w:r>
        <w:rPr>
          <w:rFonts w:ascii="Cambria" w:hAnsi="Cambria"/>
          <w:color w:val="000000"/>
        </w:rPr>
        <w:br/>
      </w:r>
      <w:r>
        <w:rPr>
          <w:rStyle w:val="VerbatimChar"/>
          <w:rFonts w:ascii="Cambria" w:hAnsi="Cambria"/>
          <w:color w:val="000000"/>
        </w:rPr>
        <w:t xml:space="preserve">        I  — CHW interaction records (contact date, intervention type, response)</w:t>
      </w:r>
      <w:r>
        <w:rPr>
          <w:rFonts w:ascii="Cambria" w:hAnsi="Cambria"/>
          <w:color w:val="000000"/>
        </w:rPr>
        <w:br/>
      </w:r>
      <w:r>
        <w:rPr>
          <w:rStyle w:val="VerbatimChar"/>
          <w:rFonts w:ascii="Cambria" w:hAnsi="Cambria"/>
          <w:color w:val="000000"/>
        </w:rPr>
        <w:t xml:space="preserve">        T_min = 60 days  (minimum WPAD window length; pre-specified primary value)</w:t>
      </w:r>
      <w:r>
        <w:rPr>
          <w:rFonts w:ascii="Cambria" w:hAnsi="Cambria"/>
          <w:color w:val="000000"/>
        </w:rPr>
        <w:br/>
      </w:r>
      <w:r>
        <w:rPr>
          <w:rFonts w:ascii="Cambria" w:hAnsi="Cambria"/>
          <w:color w:val="000000"/>
        </w:rPr>
        <w:br/>
      </w:r>
      <w:r>
        <w:rPr>
          <w:rStyle w:val="VerbatimChar"/>
          <w:rFonts w:ascii="Cambria" w:hAnsi="Cambria"/>
          <w:color w:val="000000"/>
        </w:rPr>
        <w:t xml:space="preserve">Output: D = {(x_i, y_{w,i}, y_{l,i}, w_i)}  preference pairs with IPTW weights</w:t>
      </w:r>
      <w:r>
        <w:rPr>
          <w:rFonts w:ascii="Cambria" w:hAnsi="Cambria"/>
          <w:color w:val="000000"/>
        </w:rPr>
        <w:br/>
      </w:r>
      <w:r>
        <w:rPr>
          <w:rFonts w:ascii="Cambria" w:hAnsi="Cambria"/>
          <w:color w:val="000000"/>
        </w:rPr>
        <w:br/>
      </w:r>
      <w:r>
        <w:rPr>
          <w:rStyle w:val="VerbatimChar"/>
          <w:rFonts w:ascii="Cambria" w:hAnsi="Cambria"/>
          <w:color w:val="000000"/>
        </w:rPr>
        <w:t xml:space="preserve">1. WITHIN-PATIENT WPAD PAIRS</w:t>
      </w:r>
      <w:r>
        <w:rPr>
          <w:rFonts w:ascii="Cambria" w:hAnsi="Cambria"/>
          <w:color w:val="000000"/>
        </w:rPr>
        <w:br/>
      </w:r>
      <w:r>
        <w:rPr>
          <w:rFonts w:ascii="Cambria" w:hAnsi="Cambria"/>
          <w:color w:val="000000"/>
        </w:rPr>
        <w:br/>
      </w:r>
      <w:r>
        <w:rPr>
          <w:rStyle w:val="VerbatimChar"/>
          <w:rFonts w:ascii="Cambria" w:hAnsi="Cambria"/>
          <w:color w:val="000000"/>
        </w:rPr>
        <w:t xml:space="preserve">   For each patient i with a detectable WPAD event at calendar time τ_D^i:</w:t>
      </w:r>
      <w:r>
        <w:rPr>
          <w:rFonts w:ascii="Cambria" w:hAnsi="Cambria"/>
          <w:color w:val="000000"/>
        </w:rPr>
        <w:br/>
      </w:r>
      <w:r>
        <w:rPr>
          <w:rFonts w:ascii="Cambria" w:hAnsi="Cambria"/>
          <w:color w:val="000000"/>
        </w:rPr>
        <w:br/>
      </w:r>
      <w:r>
        <w:rPr>
          <w:rStyle w:val="VerbatimChar"/>
          <w:rFonts w:ascii="Cambria" w:hAnsi="Cambria"/>
          <w:color w:val="000000"/>
        </w:rPr>
        <w:t xml:space="preserve">   (a) Classify WPAD event type:</w:t>
      </w:r>
      <w:r>
        <w:rPr>
          <w:rFonts w:ascii="Cambria" w:hAnsi="Cambria"/>
          <w:color w:val="000000"/>
        </w:rPr>
        <w:br/>
      </w:r>
      <w:r>
        <w:rPr>
          <w:rStyle w:val="VerbatimChar"/>
          <w:rFonts w:ascii="Cambria" w:hAnsi="Cambria"/>
          <w:color w:val="000000"/>
        </w:rPr>
        <w:t xml:space="preserve">       - Type 1: ACO staggered onboarding (primary; onboarding sequence driven</w:t>
      </w:r>
      <w:r>
        <w:rPr>
          <w:rFonts w:ascii="Cambria" w:hAnsi="Cambria"/>
          <w:color w:val="000000"/>
        </w:rPr>
        <w:br/>
      </w:r>
      <w:r>
        <w:rPr>
          <w:rStyle w:val="VerbatimChar"/>
          <w:rFonts w:ascii="Cambria" w:hAnsi="Cambria"/>
          <w:color w:val="000000"/>
        </w:rPr>
        <w:t xml:space="preserve">                 by data-feed readiness and CHW training capacity)</w:t>
      </w:r>
      <w:r>
        <w:rPr>
          <w:rFonts w:ascii="Cambria" w:hAnsi="Cambria"/>
          <w:color w:val="000000"/>
        </w:rPr>
        <w:br/>
      </w:r>
      <w:r>
        <w:rPr>
          <w:rStyle w:val="VerbatimChar"/>
          <w:rFonts w:ascii="Cambria" w:hAnsi="Cambria"/>
          <w:color w:val="000000"/>
        </w:rPr>
        <w:t xml:space="preserve">       - Type 2: CHW waitlist period (primary; queue position driven by referral</w:t>
      </w:r>
      <w:r>
        <w:rPr>
          <w:rFonts w:ascii="Cambria" w:hAnsi="Cambria"/>
          <w:color w:val="000000"/>
        </w:rPr>
        <w:br/>
      </w:r>
      <w:r>
        <w:rPr>
          <w:rStyle w:val="VerbatimChar"/>
          <w:rFonts w:ascii="Cambria" w:hAnsi="Cambria"/>
          <w:color w:val="000000"/>
        </w:rPr>
        <w:t xml:space="preserve">                 date and team capacity, not health status)</w:t>
      </w:r>
      <w:r>
        <w:rPr>
          <w:rFonts w:ascii="Cambria" w:hAnsi="Cambria"/>
          <w:color w:val="000000"/>
        </w:rPr>
        <w:br/>
      </w:r>
      <w:r>
        <w:rPr>
          <w:rStyle w:val="VerbatimChar"/>
          <w:rFonts w:ascii="Cambria" w:hAnsi="Cambria"/>
          <w:color w:val="000000"/>
        </w:rPr>
        <w:t xml:space="preserve">       - Type 3: Medicaid eligibility churn ≥ T_min days (ITT secondary only;</w:t>
      </w:r>
      <w:r>
        <w:rPr>
          <w:rFonts w:ascii="Cambria" w:hAnsi="Cambria"/>
          <w:color w:val="000000"/>
        </w:rPr>
        <w:br/>
      </w:r>
      <w:r>
        <w:rPr>
          <w:rStyle w:val="VerbatimChar"/>
          <w:rFonts w:ascii="Cambria" w:hAnsi="Cambria"/>
          <w:color w:val="000000"/>
        </w:rPr>
        <w:t xml:space="preserve">                 verified by G0511/G0512 billing cessation in claims)</w:t>
      </w:r>
      <w:r>
        <w:rPr>
          <w:rFonts w:ascii="Cambria" w:hAnsi="Cambria"/>
          <w:color w:val="000000"/>
        </w:rPr>
        <w:br/>
      </w:r>
      <w:r>
        <w:rPr>
          <w:rStyle w:val="VerbatimChar"/>
          <w:rFonts w:ascii="Cambria" w:hAnsi="Cambria"/>
          <w:color w:val="000000"/>
        </w:rPr>
        <w:t xml:space="preserve">       Skip patients with no classifiable WPAD event.</w:t>
      </w:r>
      <w:r>
        <w:rPr>
          <w:rFonts w:ascii="Cambria" w:hAnsi="Cambria"/>
          <w:color w:val="000000"/>
        </w:rPr>
        <w:br/>
      </w:r>
      <w:r>
        <w:rPr>
          <w:rFonts w:ascii="Cambria" w:hAnsi="Cambria"/>
          <w:color w:val="000000"/>
        </w:rPr>
        <w:br/>
      </w:r>
      <w:r>
        <w:rPr>
          <w:rStyle w:val="VerbatimChar"/>
          <w:rFonts w:ascii="Cambria" w:hAnsi="Cambria"/>
          <w:color w:val="000000"/>
        </w:rPr>
        <w:t xml:space="preserve">   (b) Define windows:</w:t>
      </w:r>
      <w:r>
        <w:rPr>
          <w:rFonts w:ascii="Cambria" w:hAnsi="Cambria"/>
          <w:color w:val="000000"/>
        </w:rPr>
        <w:br/>
      </w:r>
      <w:r>
        <w:rPr>
          <w:rStyle w:val="VerbatimChar"/>
          <w:rFonts w:ascii="Cambria" w:hAnsi="Cambria"/>
          <w:color w:val="000000"/>
        </w:rPr>
        <w:t xml:space="preserve">       ON-window  W^{on}(i):  90-day period of active care management enrollment</w:t>
      </w:r>
      <w:r>
        <w:rPr>
          <w:rFonts w:ascii="Cambria" w:hAnsi="Cambria"/>
          <w:color w:val="000000"/>
        </w:rPr>
        <w:br/>
      </w:r>
      <w:r>
        <w:rPr>
          <w:rStyle w:val="VerbatimChar"/>
          <w:rFonts w:ascii="Cambria" w:hAnsi="Cambria"/>
          <w:color w:val="000000"/>
        </w:rPr>
        <w:t xml:space="preserve">                               (confirmed by CHW contact records and G0511/G0512)</w:t>
      </w:r>
      <w:r>
        <w:rPr>
          <w:rFonts w:ascii="Cambria" w:hAnsi="Cambria"/>
          <w:color w:val="000000"/>
        </w:rPr>
        <w:br/>
      </w:r>
      <w:r>
        <w:rPr>
          <w:rStyle w:val="VerbatimChar"/>
          <w:rFonts w:ascii="Cambria" w:hAnsi="Cambria"/>
          <w:color w:val="000000"/>
        </w:rPr>
        <w:t xml:space="preserve">       OFF-window W^{off}(i): 90-day period of pre-enrollment or coverage gap</w:t>
      </w:r>
      <w:r>
        <w:rPr>
          <w:rFonts w:ascii="Cambria" w:hAnsi="Cambria"/>
          <w:color w:val="000000"/>
        </w:rPr>
        <w:br/>
      </w:r>
      <w:r>
        <w:rPr>
          <w:rFonts w:ascii="Cambria" w:hAnsi="Cambria"/>
          <w:color w:val="000000"/>
        </w:rPr>
        <w:br/>
      </w:r>
      <w:r>
        <w:rPr>
          <w:rStyle w:val="VerbatimChar"/>
          <w:rFonts w:ascii="Cambria" w:hAnsi="Cambria"/>
          <w:color w:val="000000"/>
        </w:rPr>
        <w:t xml:space="preserve">       Extract x_i: 12-month administrative claims and SDOH context ending at</w:t>
      </w:r>
      <w:r>
        <w:rPr>
          <w:rFonts w:ascii="Cambria" w:hAnsi="Cambria"/>
          <w:color w:val="000000"/>
        </w:rPr>
        <w:br/>
      </w:r>
      <w:r>
        <w:rPr>
          <w:rStyle w:val="VerbatimChar"/>
          <w:rFonts w:ascii="Cambria" w:hAnsi="Cambria"/>
          <w:color w:val="000000"/>
        </w:rPr>
        <w:t xml:space="preserve">       the earlier window start.</w:t>
      </w:r>
      <w:r>
        <w:rPr>
          <w:rFonts w:ascii="Cambria" w:hAnsi="Cambria"/>
          <w:color w:val="000000"/>
        </w:rPr>
        <w:br/>
      </w:r>
      <w:r>
        <w:rPr>
          <w:rFonts w:ascii="Cambria" w:hAnsi="Cambria"/>
          <w:color w:val="000000"/>
        </w:rPr>
        <w:br/>
      </w:r>
      <w:r>
        <w:rPr>
          <w:rStyle w:val="VerbatimChar"/>
          <w:rFonts w:ascii="Cambria" w:hAnsi="Cambria"/>
          <w:color w:val="000000"/>
        </w:rPr>
        <w:t xml:space="preserve">   (c) Compute outcomes:</w:t>
      </w:r>
      <w:r>
        <w:rPr>
          <w:rFonts w:ascii="Cambria" w:hAnsi="Cambria"/>
          <w:color w:val="000000"/>
        </w:rPr>
        <w:br/>
      </w:r>
      <w:r>
        <w:rPr>
          <w:rStyle w:val="VerbatimChar"/>
          <w:rFonts w:ascii="Cambria" w:hAnsi="Cambria"/>
          <w:color w:val="000000"/>
        </w:rPr>
        <w:t xml:space="preserve">       Y^{on}_i, Y^{off}_i: 90-day composite acute care event (unplanned</w:t>
      </w:r>
      <w:r>
        <w:rPr>
          <w:rFonts w:ascii="Cambria" w:hAnsi="Cambria"/>
          <w:color w:val="000000"/>
        </w:rPr>
        <w:br/>
      </w:r>
      <w:r>
        <w:rPr>
          <w:rStyle w:val="VerbatimChar"/>
          <w:rFonts w:ascii="Cambria" w:hAnsi="Cambria"/>
          <w:color w:val="000000"/>
        </w:rPr>
        <w:t xml:space="preserve">       hospitalization or avoidable ED visit; Fine-Gray competing risks,</w:t>
      </w:r>
      <w:r>
        <w:rPr>
          <w:rFonts w:ascii="Cambria" w:hAnsi="Cambria"/>
          <w:color w:val="000000"/>
        </w:rPr>
        <w:br/>
      </w:r>
      <w:r>
        <w:rPr>
          <w:rStyle w:val="VerbatimChar"/>
          <w:rFonts w:ascii="Cambria" w:hAnsi="Cambria"/>
          <w:color w:val="000000"/>
        </w:rPr>
        <w:t xml:space="preserve">       death as competing event) for each window.</w:t>
      </w:r>
      <w:r>
        <w:rPr>
          <w:rFonts w:ascii="Cambria" w:hAnsi="Cambria"/>
          <w:color w:val="000000"/>
        </w:rPr>
        <w:br/>
      </w:r>
      <w:r>
        <w:rPr>
          <w:rFonts w:ascii="Cambria" w:hAnsi="Cambria"/>
          <w:color w:val="000000"/>
        </w:rPr>
        <w:br/>
      </w:r>
      <w:r>
        <w:rPr>
          <w:rStyle w:val="VerbatimChar"/>
          <w:rFonts w:ascii="Cambria" w:hAnsi="Cambria"/>
          <w:color w:val="000000"/>
        </w:rPr>
        <w:t xml:space="preserve">       Case Y^{on}_i = 0, Y^{off}_i = 1:</w:t>
      </w:r>
      <w:r>
        <w:rPr>
          <w:rFonts w:ascii="Cambria" w:hAnsi="Cambria"/>
          <w:color w:val="000000"/>
        </w:rPr>
        <w:br/>
      </w:r>
      <w:r>
        <w:rPr>
          <w:rStyle w:val="VerbatimChar"/>
          <w:rFonts w:ascii="Cambria" w:hAnsi="Cambria"/>
          <w:color w:val="000000"/>
        </w:rPr>
        <w:t xml:space="preserve">           Primary pair: w_i = 1.0</w:t>
      </w:r>
      <w:r>
        <w:rPr>
          <w:rFonts w:ascii="Cambria" w:hAnsi="Cambria"/>
          <w:color w:val="000000"/>
        </w:rPr>
        <w:br/>
      </w:r>
      <w:r>
        <w:rPr>
          <w:rStyle w:val="VerbatimChar"/>
          <w:rFonts w:ascii="Cambria" w:hAnsi="Cambria"/>
          <w:color w:val="000000"/>
        </w:rPr>
        <w:t xml:space="preserve">           y_{w,i} = intervention type documented in ON-window CHW records</w:t>
      </w:r>
      <w:r>
        <w:rPr>
          <w:rFonts w:ascii="Cambria" w:hAnsi="Cambria"/>
          <w:color w:val="000000"/>
        </w:rPr>
        <w:br/>
      </w:r>
      <w:r>
        <w:rPr>
          <w:rStyle w:val="VerbatimChar"/>
          <w:rFonts w:ascii="Cambria" w:hAnsi="Cambria"/>
          <w:color w:val="000000"/>
        </w:rPr>
        <w:t xml:space="preserve">           y_{l,i} = null-care assignment (no structured care management)</w:t>
      </w:r>
      <w:r>
        <w:rPr>
          <w:rFonts w:ascii="Cambria" w:hAnsi="Cambria"/>
          <w:color w:val="000000"/>
        </w:rPr>
        <w:br/>
      </w:r>
      <w:r>
        <w:rPr>
          <w:rStyle w:val="VerbatimChar"/>
          <w:rFonts w:ascii="Cambria" w:hAnsi="Cambria"/>
          <w:color w:val="000000"/>
        </w:rPr>
        <w:t xml:space="preserve">       Case Y^{on}_i = 0, Y^{off}_i = 0:</w:t>
      </w:r>
      <w:r>
        <w:rPr>
          <w:rFonts w:ascii="Cambria" w:hAnsi="Cambria"/>
          <w:color w:val="000000"/>
        </w:rPr>
        <w:br/>
      </w:r>
      <w:r>
        <w:rPr>
          <w:rStyle w:val="VerbatimChar"/>
          <w:rFonts w:ascii="Cambria" w:hAnsi="Cambria"/>
          <w:color w:val="000000"/>
        </w:rPr>
        <w:t xml:space="preserve">           Weak-positive pair: w_i = 0.5</w:t>
      </w:r>
      <w:r>
        <w:rPr>
          <w:rFonts w:ascii="Cambria" w:hAnsi="Cambria"/>
          <w:color w:val="000000"/>
        </w:rPr>
        <w:br/>
      </w:r>
      <w:r>
        <w:rPr>
          <w:rStyle w:val="VerbatimChar"/>
          <w:rFonts w:ascii="Cambria" w:hAnsi="Cambria"/>
          <w:color w:val="000000"/>
        </w:rPr>
        <w:t xml:space="preserve">           Same y_{w,i}, y_{l,i} assignment</w:t>
      </w:r>
      <w:r>
        <w:rPr>
          <w:rFonts w:ascii="Cambria" w:hAnsi="Cambria"/>
          <w:color w:val="000000"/>
        </w:rPr>
        <w:br/>
      </w:r>
      <w:r>
        <w:rPr>
          <w:rStyle w:val="VerbatimChar"/>
          <w:rFonts w:ascii="Cambria" w:hAnsi="Cambria"/>
          <w:color w:val="000000"/>
        </w:rPr>
        <w:t xml:space="preserve">       Case Y^{on}_i = 1:</w:t>
      </w:r>
      <w:r>
        <w:rPr>
          <w:rFonts w:ascii="Cambria" w:hAnsi="Cambria"/>
          <w:color w:val="000000"/>
        </w:rPr>
        <w:br/>
      </w:r>
      <w:r>
        <w:rPr>
          <w:rStyle w:val="VerbatimChar"/>
          <w:rFonts w:ascii="Cambria" w:hAnsi="Cambria"/>
          <w:color w:val="000000"/>
        </w:rPr>
        <w:t xml:space="preserve">           Discard (no causal learning signal)</w:t>
      </w:r>
      <w:r>
        <w:rPr>
          <w:rFonts w:ascii="Cambria" w:hAnsi="Cambria"/>
          <w:color w:val="000000"/>
        </w:rPr>
        <w:br/>
      </w:r>
      <w:r>
        <w:rPr>
          <w:rFonts w:ascii="Cambria" w:hAnsi="Cambria"/>
          <w:color w:val="000000"/>
        </w:rPr>
        <w:br/>
      </w:r>
      <w:r>
        <w:rPr>
          <w:rStyle w:val="VerbatimChar"/>
          <w:rFonts w:ascii="Cambria" w:hAnsi="Cambria"/>
          <w:color w:val="000000"/>
        </w:rPr>
        <w:t xml:space="preserve">   (d) Run T1–T6 falsification tests on the assembled pair set.</w:t>
      </w:r>
      <w:r>
        <w:rPr>
          <w:rFonts w:ascii="Cambria" w:hAnsi="Cambria"/>
          <w:color w:val="000000"/>
        </w:rPr>
        <w:br/>
      </w:r>
      <w:r>
        <w:rPr>
          <w:rStyle w:val="VerbatimChar"/>
          <w:rFonts w:ascii="Cambria" w:hAnsi="Cambria"/>
          <w:color w:val="000000"/>
        </w:rPr>
        <w:t xml:space="preserve">       If T5 LATE heterogeneity &gt; 20%: restrict primary analysis to Type 1 pairs.</w:t>
      </w:r>
      <w:r>
        <w:rPr>
          <w:rFonts w:ascii="Cambria" w:hAnsi="Cambria"/>
          <w:color w:val="000000"/>
        </w:rPr>
        <w:br/>
      </w:r>
      <w:r>
        <w:rPr>
          <w:rStyle w:val="VerbatimChar"/>
          <w:rFonts w:ascii="Cambria" w:hAnsi="Cambria"/>
          <w:color w:val="000000"/>
        </w:rPr>
        <w:t xml:space="preserve">       Discard Type 3 pairs from primary analysis; retain for ITT secondary.</w:t>
      </w:r>
      <w:r>
        <w:rPr>
          <w:rFonts w:ascii="Cambria" w:hAnsi="Cambria"/>
          <w:color w:val="000000"/>
        </w:rPr>
        <w:br/>
      </w:r>
      <w:r>
        <w:rPr>
          <w:rFonts w:ascii="Cambria" w:hAnsi="Cambria"/>
          <w:color w:val="000000"/>
        </w:rPr>
        <w:br/>
      </w:r>
      <w:r>
        <w:rPr>
          <w:rStyle w:val="VerbatimChar"/>
          <w:rFonts w:ascii="Cambria" w:hAnsi="Cambria"/>
          <w:color w:val="000000"/>
        </w:rPr>
        <w:t xml:space="preserve">2. CROSS-PATIENT SUPPLEMENTARY PAIRS</w:t>
      </w:r>
      <w:r>
        <w:rPr>
          <w:rFonts w:ascii="Cambria" w:hAnsi="Cambria"/>
          <w:color w:val="000000"/>
        </w:rPr>
        <w:br/>
      </w:r>
      <w:r>
        <w:rPr>
          <w:rFonts w:ascii="Cambria" w:hAnsi="Cambria"/>
          <w:color w:val="000000"/>
        </w:rPr>
        <w:br/>
      </w:r>
      <w:r>
        <w:rPr>
          <w:rStyle w:val="VerbatimChar"/>
          <w:rFonts w:ascii="Cambria" w:hAnsi="Cambria"/>
          <w:color w:val="000000"/>
        </w:rPr>
        <w:t xml:space="preserve">   For matched pairs (j, k) where X_j ≈ X_k (Mahalanobis-distance nearest neighbor),</w:t>
      </w:r>
      <w:r>
        <w:rPr>
          <w:rFonts w:ascii="Cambria" w:hAnsi="Cambria"/>
          <w:color w:val="000000"/>
        </w:rPr>
        <w:br/>
      </w:r>
      <w:r>
        <w:rPr>
          <w:rStyle w:val="VerbatimChar"/>
          <w:rFonts w:ascii="Cambria" w:hAnsi="Cambria"/>
          <w:color w:val="000000"/>
        </w:rPr>
        <w:t xml:space="preserve">   patient j had a good outcome (Y_j = 0) and patient k had a poor outcome (Y_k = 1):</w:t>
      </w:r>
      <w:r>
        <w:rPr>
          <w:rFonts w:ascii="Cambria" w:hAnsi="Cambria"/>
          <w:color w:val="000000"/>
        </w:rPr>
        <w:br/>
      </w:r>
      <w:r>
        <w:rPr>
          <w:rFonts w:ascii="Cambria" w:hAnsi="Cambria"/>
          <w:color w:val="000000"/>
        </w:rPr>
        <w:br/>
      </w:r>
      <w:r>
        <w:rPr>
          <w:rStyle w:val="VerbatimChar"/>
          <w:rFonts w:ascii="Cambria" w:hAnsi="Cambria"/>
          <w:color w:val="000000"/>
        </w:rPr>
        <w:t xml:space="preserve">   (a) Estimate propensity score:</w:t>
      </w:r>
      <w:r>
        <w:rPr>
          <w:rFonts w:ascii="Cambria" w:hAnsi="Cambria"/>
          <w:color w:val="000000"/>
        </w:rPr>
        <w:br/>
      </w:r>
      <w:r>
        <w:rPr>
          <w:rStyle w:val="VerbatimChar"/>
          <w:rFonts w:ascii="Cambria" w:hAnsi="Cambria"/>
          <w:color w:val="000000"/>
        </w:rPr>
        <w:t xml:space="preserve">       e(x_j) = P(A_j = a_{preferred} | x_j)</w:t>
      </w:r>
      <w:r>
        <w:rPr>
          <w:rFonts w:ascii="Cambria" w:hAnsi="Cambria"/>
          <w:color w:val="000000"/>
        </w:rPr>
        <w:br/>
      </w:r>
      <w:r>
        <w:rPr>
          <w:rStyle w:val="VerbatimChar"/>
          <w:rFonts w:ascii="Cambria" w:hAnsi="Cambria"/>
          <w:color w:val="000000"/>
        </w:rPr>
        <w:t xml:space="preserve">       fitted by L1-regularized multinomial logistic regression on training data only.</w:t>
      </w:r>
      <w:r>
        <w:rPr>
          <w:rFonts w:ascii="Cambria" w:hAnsi="Cambria"/>
          <w:color w:val="000000"/>
        </w:rPr>
        <w:br/>
      </w:r>
      <w:r>
        <w:rPr>
          <w:rFonts w:ascii="Cambria" w:hAnsi="Cambria"/>
          <w:color w:val="000000"/>
        </w:rPr>
        <w:br/>
      </w:r>
      <w:r>
        <w:rPr>
          <w:rStyle w:val="VerbatimChar"/>
          <w:rFonts w:ascii="Cambria" w:hAnsi="Cambria"/>
          <w:color w:val="000000"/>
        </w:rPr>
        <w:t xml:space="preserve">   (b) IPTW weight:</w:t>
      </w:r>
      <w:r>
        <w:rPr>
          <w:rFonts w:ascii="Cambria" w:hAnsi="Cambria"/>
          <w:color w:val="000000"/>
        </w:rPr>
        <w:br/>
      </w:r>
      <w:r>
        <w:rPr>
          <w:rStyle w:val="VerbatimChar"/>
          <w:rFonts w:ascii="Cambria" w:hAnsi="Cambria"/>
          <w:color w:val="000000"/>
        </w:rPr>
        <w:t xml:space="preserve">       w_{jk} = 1 / e(x_j), clipped to [0.1, 10].</w:t>
      </w:r>
      <w:r>
        <w:rPr>
          <w:rFonts w:ascii="Cambria" w:hAnsi="Cambria"/>
          <w:color w:val="000000"/>
        </w:rPr>
        <w:br/>
      </w:r>
      <w:r>
        <w:rPr>
          <w:rFonts w:ascii="Cambria" w:hAnsi="Cambria"/>
          <w:color w:val="000000"/>
        </w:rPr>
        <w:br/>
      </w:r>
      <w:r>
        <w:rPr>
          <w:rStyle w:val="VerbatimChar"/>
          <w:rFonts w:ascii="Cambria" w:hAnsi="Cambria"/>
          <w:color w:val="000000"/>
        </w:rPr>
        <w:t xml:space="preserve">   (c) Add (x_j, y_{w,j}, y_{l,k}, w_{jk}) to D.</w:t>
      </w:r>
      <w:r>
        <w:rPr>
          <w:rFonts w:ascii="Cambria" w:hAnsi="Cambria"/>
          <w:color w:val="000000"/>
        </w:rPr>
        <w:br/>
      </w:r>
      <w:r>
        <w:rPr>
          <w:rFonts w:ascii="Cambria" w:hAnsi="Cambria"/>
          <w:color w:val="000000"/>
        </w:rPr>
        <w:br/>
      </w:r>
      <w:r>
        <w:rPr>
          <w:rStyle w:val="VerbatimChar"/>
          <w:rFonts w:ascii="Cambria" w:hAnsi="Cambria"/>
          <w:color w:val="000000"/>
        </w:rPr>
        <w:t xml:space="preserve">3. DEMOGRAPHIC-STRATIFIED UPSAMPLING</w:t>
      </w:r>
      <w:r>
        <w:rPr>
          <w:rFonts w:ascii="Cambria" w:hAnsi="Cambria"/>
          <w:color w:val="000000"/>
        </w:rPr>
        <w:br/>
      </w:r>
      <w:r>
        <w:rPr>
          <w:rFonts w:ascii="Cambria" w:hAnsi="Cambria"/>
          <w:color w:val="000000"/>
        </w:rPr>
        <w:br/>
      </w:r>
      <w:r>
        <w:rPr>
          <w:rStyle w:val="VerbatimChar"/>
          <w:rFonts w:ascii="Cambria" w:hAnsi="Cambria"/>
          <w:color w:val="000000"/>
        </w:rPr>
        <w:t xml:space="preserve">   For each demographic group g in G (race/ethnicity × ADI quintile strata):</w:t>
      </w:r>
      <w:r>
        <w:rPr>
          <w:rFonts w:ascii="Cambria" w:hAnsi="Cambria"/>
          <w:color w:val="000000"/>
        </w:rPr>
        <w:br/>
      </w:r>
      <w:r>
        <w:rPr>
          <w:rStyle w:val="VerbatimChar"/>
          <w:rFonts w:ascii="Cambria" w:hAnsi="Cambria"/>
          <w:color w:val="000000"/>
        </w:rPr>
        <w:t xml:space="preserve">   Upsample pairs until each group contributes equally per training batch.</w:t>
      </w:r>
      <w:r>
        <w:rPr>
          <w:rFonts w:ascii="Cambria" w:hAnsi="Cambria"/>
          <w:color w:val="000000"/>
        </w:rPr>
        <w:br/>
      </w:r>
      <w:r>
        <w:rPr>
          <w:rStyle w:val="VerbatimChar"/>
          <w:rFonts w:ascii="Cambria" w:hAnsi="Cambria"/>
          <w:color w:val="000000"/>
        </w:rPr>
        <w:t xml:space="preserve">   (This ensures the group-stratified DPO loss receives equal gradient signal</w:t>
      </w:r>
      <w:r>
        <w:rPr>
          <w:rFonts w:ascii="Cambria" w:hAnsi="Cambria"/>
          <w:color w:val="000000"/>
        </w:rPr>
        <w:br/>
      </w:r>
      <w:r>
        <w:rPr>
          <w:rStyle w:val="VerbatimChar"/>
          <w:rFonts w:ascii="Cambria" w:hAnsi="Cambria"/>
          <w:color w:val="000000"/>
        </w:rPr>
        <w:t xml:space="preserve">   per group; Sagawa et al., ICLR 2020.^11^)</w:t>
      </w:r>
      <w:r>
        <w:rPr>
          <w:rFonts w:ascii="Cambria" w:hAnsi="Cambria"/>
          <w:color w:val="000000"/>
        </w:rPr>
        <w:br/>
      </w:r>
      <w:r>
        <w:rPr>
          <w:rFonts w:ascii="Cambria" w:hAnsi="Cambria"/>
          <w:color w:val="000000"/>
        </w:rPr>
        <w:br/>
      </w:r>
      <w:r>
        <w:rPr>
          <w:rStyle w:val="VerbatimChar"/>
          <w:rFonts w:ascii="Cambria" w:hAnsi="Cambria"/>
          <w:color w:val="000000"/>
        </w:rPr>
        <w:t xml:space="preserve">4. Return D.</w:t>
      </w:r>
    </w:p>
    <w:p>
      <w:pPr>
        <w:spacing w:line="360" w:lineRule="auto"/>
      </w:pPr>
      <w:r>
        <w:rPr>
          <w:rFonts w:ascii="Cambria" w:hAnsi="Cambria"/>
          <w:color w:val="000000"/>
        </w:rPr>
        <w:pict>
          <v:rect style="width:0;height:1.5pt" o:hralign="center" o:hrstd="t" o:hr="t"/>
        </w:pict>
      </w:r>
    </w:p>
    <w:bookmarkEnd w:id="17"/>
    <w:bookmarkStart w:id="18" w:name="X96201b32c897c7f90ae0161b05fa801138909b2"/>
    <w:p>
      <w:pPr>
        <w:pStyle w:val="Heading2"/>
        <w:spacing w:line="360" w:lineRule="auto"/>
      </w:pPr>
      <w:r>
        <w:rPr>
          <w:rFonts w:ascii="Cambria" w:hAnsi="Cambria"/>
          <w:color w:val="000000"/>
        </w:rPr>
        <w:t xml:space="preserve">Algorithm S2. PEARL Training (IPTW-DPO with Group-Stratified Fairness Loss)</w:t>
      </w:r>
    </w:p>
    <w:p>
      <w:pPr>
        <w:pStyle w:val="FirstParagraph"/>
        <w:spacing w:line="360" w:lineRule="auto"/>
      </w:pPr>
      <w:r>
        <w:rPr>
          <w:rFonts w:ascii="Cambria" w:hAnsi="Cambria"/>
          <w:color w:val="000000"/>
        </w:rPr>
        <w:t xml:space="preserve">The following pseudocode describes the PEARL training procedure. The DPO loss formulation follows Rafailov et al. (NeurIPS 2023),</w:t>
      </w:r>
      <w:r>
        <w:rPr>
          <w:rFonts w:ascii="Cambria" w:hAnsi="Cambria"/>
          <w:color w:val="000000"/>
          <w:vertAlign w:val="superscript"/>
        </w:rPr>
        <w:t xml:space="preserve">19</w:t>
      </w:r>
      <w:r>
        <w:rPr>
          <w:rFonts w:ascii="Cambria" w:hAnsi="Cambria"/>
          <w:color w:val="000000"/>
        </w:rPr>
        <w:t xml:space="preserve"> </w:t>
      </w:r>
      <w:r>
        <w:rPr>
          <w:rFonts w:ascii="Cambria" w:hAnsi="Cambria"/>
          <w:color w:val="000000"/>
        </w:rPr>
        <w:t xml:space="preserve">with IPTW weights applied per pair and the group-stratified aggregate loss following Sagawa et al. (ICLR 2020).</w:t>
      </w:r>
      <w:r>
        <w:rPr>
          <w:rFonts w:ascii="Cambria" w:hAnsi="Cambria"/>
          <w:color w:val="000000"/>
          <w:vertAlign w:val="superscript"/>
        </w:rPr>
        <w:t xml:space="preserve">11</w:t>
      </w:r>
      <w:r>
        <w:rPr>
          <w:rFonts w:ascii="Cambria" w:hAnsi="Cambria"/>
          <w:color w:val="000000"/>
        </w:rPr>
        <w:t xml:space="preserve"> </w:t>
      </w:r>
      <w:r>
        <w:rPr>
          <w:rFonts w:ascii="Cambria" w:hAnsi="Cambria"/>
          <w:color w:val="000000"/>
        </w:rPr>
        <w:t xml:space="preserve">The tabular implementation operates on structured feature vectors rather than token sequences; the DPO log-ratio term</w:t>
      </w:r>
      <w:r>
        <w:rPr>
          <w:rFonts w:ascii="Cambria" w:hAnsi="Cambria"/>
          <w:color w:val="000000"/>
        </w:rPr>
        <w:t xml:space="preserve"> </w:t>
      </w:r>
      <m:oMath>
        <m:sSub>
          <m:e>
            <m:r>
              <m:rPr>
                <m:sty m:val="p"/>
              </m:rPr>
              <m:t>Δ</m:t>
            </m:r>
          </m:e>
          <m:sub>
            <m:r>
              <m:t>θ</m:t>
            </m:r>
          </m:sub>
        </m:sSub>
        <m:r>
          <m:rPr>
            <m:sty m:val="p"/>
          </m:rPr>
          <m:t>(</m:t>
        </m:r>
        <m:r>
          <m:t>x</m:t>
        </m:r>
        <m:r>
          <m:rPr>
            <m:sty m:val="p"/>
          </m:rPr>
          <m:t>,</m:t>
        </m:r>
        <m:sSub>
          <m:e>
            <m:r>
              <m:t>y</m:t>
            </m:r>
          </m:e>
          <m:sub>
            <m:r>
              <m:t>w</m:t>
            </m:r>
          </m:sub>
        </m:sSub>
        <m:r>
          <m:rPr>
            <m:sty m:val="p"/>
          </m:rPr>
          <m:t>,</m:t>
        </m:r>
        <m:sSub>
          <m:e>
            <m:r>
              <m:t>y</m:t>
            </m:r>
          </m:e>
          <m:sub>
            <m:r>
              <m:t>l</m:t>
            </m:r>
          </m:sub>
        </m:sSub>
        <m:r>
          <m:rPr>
            <m:sty m:val="p"/>
          </m:rPr>
          <m:t>)</m:t>
        </m:r>
      </m:oMath>
      <w:r>
        <w:rPr>
          <w:rFonts w:ascii="Cambria" w:hAnsi="Cambria"/>
          <w:color w:val="000000"/>
        </w:rPr>
        <w:t xml:space="preserve"> </w:t>
      </w:r>
      <w:r>
        <w:rPr>
          <w:rFonts w:ascii="Cambria" w:hAnsi="Cambria"/>
          <w:color w:val="000000"/>
        </w:rPr>
        <w:t xml:space="preserve">is computed as the log-ratio of policy probabilities for the preferred versus rejected intervention type given the patient context.</w:t>
      </w:r>
    </w:p>
    <w:p>
      <w:pPr>
        <w:pStyle w:val="BodyText"/>
        <w:spacing w:line="360" w:lineRule="auto"/>
      </w:pPr>
      <w:r>
        <w:rPr>
          <w:rFonts w:ascii="Cambria" w:hAnsi="Cambria"/>
          <w:color w:val="000000"/>
        </w:rPr>
        <w:t xml:space="preserve">The abstention mechanism in step 4 ensures that PEARL defers to the behavioral routing policy when the preference margin is below a calibrated threshold, preserving the regime in which the DPO–DR-OPO equivalence holds most tightly (Theorem S2).</w:t>
      </w:r>
    </w:p>
    <w:p>
      <w:pPr>
        <w:pStyle w:val="SourceCode"/>
        <w:spacing w:line="360" w:lineRule="auto"/>
      </w:pPr>
      <w:r>
        <w:rPr>
          <w:rStyle w:val="VerbatimChar"/>
          <w:rFonts w:ascii="Cambria" w:hAnsi="Cambria"/>
          <w:color w:val="000000"/>
        </w:rPr>
        <w:t xml:space="preserve">Input:  D       — preference pairs from Algorithm S1</w:t>
      </w:r>
      <w:r>
        <w:rPr>
          <w:rFonts w:ascii="Cambria" w:hAnsi="Cambria"/>
          <w:color w:val="000000"/>
        </w:rPr>
        <w:br/>
      </w:r>
      <w:r>
        <w:rPr>
          <w:rStyle w:val="VerbatimChar"/>
          <w:rFonts w:ascii="Cambria" w:hAnsi="Cambria"/>
          <w:color w:val="000000"/>
        </w:rPr>
        <w:t xml:space="preserve">        π_b     — behavioral routing policy (reference distribution)</w:t>
      </w:r>
      <w:r>
        <w:rPr>
          <w:rFonts w:ascii="Cambria" w:hAnsi="Cambria"/>
          <w:color w:val="000000"/>
        </w:rPr>
        <w:br/>
      </w:r>
      <w:r>
        <w:rPr>
          <w:rStyle w:val="VerbatimChar"/>
          <w:rFonts w:ascii="Cambria" w:hAnsi="Cambria"/>
          <w:color w:val="000000"/>
        </w:rPr>
        <w:t xml:space="preserve">        β = 0.10  (KL regularization; pre-specified primary value)</w:t>
      </w:r>
      <w:r>
        <w:rPr>
          <w:rFonts w:ascii="Cambria" w:hAnsi="Cambria"/>
          <w:color w:val="000000"/>
        </w:rPr>
        <w:br/>
      </w:r>
      <w:r>
        <w:rPr>
          <w:rStyle w:val="VerbatimChar"/>
          <w:rFonts w:ascii="Cambria" w:hAnsi="Cambria"/>
          <w:color w:val="000000"/>
        </w:rPr>
        <w:t xml:space="preserve">        T = 80    (training iterations)</w:t>
      </w:r>
      <w:r>
        <w:rPr>
          <w:rFonts w:ascii="Cambria" w:hAnsi="Cambria"/>
          <w:color w:val="000000"/>
        </w:rPr>
        <w:br/>
      </w:r>
      <w:r>
        <w:rPr>
          <w:rStyle w:val="VerbatimChar"/>
          <w:rFonts w:ascii="Cambria" w:hAnsi="Cambria"/>
          <w:color w:val="000000"/>
        </w:rPr>
        <w:t xml:space="preserve">        G       — demographic group set (race/ethnicity × ADI quintile)</w:t>
      </w:r>
      <w:r>
        <w:rPr>
          <w:rFonts w:ascii="Cambria" w:hAnsi="Cambria"/>
          <w:color w:val="000000"/>
        </w:rPr>
        <w:br/>
      </w:r>
      <w:r>
        <w:rPr>
          <w:rFonts w:ascii="Cambria" w:hAnsi="Cambria"/>
          <w:color w:val="000000"/>
        </w:rPr>
        <w:br/>
      </w:r>
      <w:r>
        <w:rPr>
          <w:rStyle w:val="VerbatimChar"/>
          <w:rFonts w:ascii="Cambria" w:hAnsi="Cambria"/>
          <w:color w:val="000000"/>
        </w:rPr>
        <w:t xml:space="preserve">Output: π_θ    — trained PEARL policy</w:t>
      </w:r>
      <w:r>
        <w:rPr>
          <w:rFonts w:ascii="Cambria" w:hAnsi="Cambria"/>
          <w:color w:val="000000"/>
        </w:rPr>
        <w:br/>
      </w:r>
      <w:r>
        <w:rPr>
          <w:rStyle w:val="VerbatimChar"/>
          <w:rFonts w:ascii="Cambria" w:hAnsi="Cambria"/>
          <w:color w:val="000000"/>
        </w:rPr>
        <w:t xml:space="preserve">        τ      — abstention threshold</w:t>
      </w:r>
      <w:r>
        <w:rPr>
          <w:rFonts w:ascii="Cambria" w:hAnsi="Cambria"/>
          <w:color w:val="000000"/>
        </w:rPr>
        <w:br/>
      </w:r>
      <w:r>
        <w:rPr>
          <w:rStyle w:val="VerbatimChar"/>
          <w:rFonts w:ascii="Cambria" w:hAnsi="Cambria"/>
          <w:color w:val="000000"/>
        </w:rPr>
        <w:t xml:space="preserve">        [I_lo, I_hi] — calibrated conformal prediction intervals</w:t>
      </w:r>
      <w:r>
        <w:rPr>
          <w:rFonts w:ascii="Cambria" w:hAnsi="Cambria"/>
          <w:color w:val="000000"/>
        </w:rPr>
        <w:br/>
      </w:r>
      <w:r>
        <w:rPr>
          <w:rFonts w:ascii="Cambria" w:hAnsi="Cambria"/>
          <w:color w:val="000000"/>
        </w:rPr>
        <w:br/>
      </w:r>
      <w:r>
        <w:rPr>
          <w:rStyle w:val="VerbatimChar"/>
          <w:rFonts w:ascii="Cambria" w:hAnsi="Cambria"/>
          <w:color w:val="000000"/>
        </w:rPr>
        <w:t xml:space="preserve">1. DEMOGRAPHIC-STRATIFIED UPSAMPLING</w:t>
      </w:r>
      <w:r>
        <w:rPr>
          <w:rFonts w:ascii="Cambria" w:hAnsi="Cambria"/>
          <w:color w:val="000000"/>
        </w:rPr>
        <w:br/>
      </w:r>
      <w:r>
        <w:rPr>
          <w:rStyle w:val="VerbatimChar"/>
          <w:rFonts w:ascii="Cambria" w:hAnsi="Cambria"/>
          <w:color w:val="000000"/>
        </w:rPr>
        <w:t xml:space="preserve">   For each group g in G:</w:t>
      </w:r>
      <w:r>
        <w:rPr>
          <w:rFonts w:ascii="Cambria" w:hAnsi="Cambria"/>
          <w:color w:val="000000"/>
        </w:rPr>
        <w:br/>
      </w:r>
      <w:r>
        <w:rPr>
          <w:rStyle w:val="VerbatimChar"/>
          <w:rFonts w:ascii="Cambria" w:hAnsi="Cambria"/>
          <w:color w:val="000000"/>
        </w:rPr>
        <w:t xml:space="preserve">       Upsample D_g until |D_g| = |D| / |G|</w:t>
      </w:r>
      <w:r>
        <w:rPr>
          <w:rFonts w:ascii="Cambria" w:hAnsi="Cambria"/>
          <w:color w:val="000000"/>
        </w:rPr>
        <w:br/>
      </w:r>
      <w:r>
        <w:rPr>
          <w:rStyle w:val="VerbatimChar"/>
          <w:rFonts w:ascii="Cambria" w:hAnsi="Cambria"/>
          <w:color w:val="000000"/>
        </w:rPr>
        <w:t xml:space="preserve">   (Equal group representation per batch; Sagawa et al., ICLR 2020.^11^)</w:t>
      </w:r>
      <w:r>
        <w:rPr>
          <w:rFonts w:ascii="Cambria" w:hAnsi="Cambria"/>
          <w:color w:val="000000"/>
        </w:rPr>
        <w:br/>
      </w:r>
      <w:r>
        <w:rPr>
          <w:rFonts w:ascii="Cambria" w:hAnsi="Cambria"/>
          <w:color w:val="000000"/>
        </w:rPr>
        <w:br/>
      </w:r>
      <w:r>
        <w:rPr>
          <w:rStyle w:val="VerbatimChar"/>
          <w:rFonts w:ascii="Cambria" w:hAnsi="Cambria"/>
          <w:color w:val="000000"/>
        </w:rPr>
        <w:t xml:space="preserve">2. INITIALIZE policy parameters θ (tabular logistic model)</w:t>
      </w:r>
      <w:r>
        <w:rPr>
          <w:rFonts w:ascii="Cambria" w:hAnsi="Cambria"/>
          <w:color w:val="000000"/>
        </w:rPr>
        <w:br/>
      </w:r>
      <w:r>
        <w:rPr>
          <w:rFonts w:ascii="Cambria" w:hAnsi="Cambria"/>
          <w:color w:val="000000"/>
        </w:rPr>
        <w:br/>
      </w:r>
      <w:r>
        <w:rPr>
          <w:rStyle w:val="VerbatimChar"/>
          <w:rFonts w:ascii="Cambria" w:hAnsi="Cambria"/>
          <w:color w:val="000000"/>
        </w:rPr>
        <w:t xml:space="preserve">3. FOR each training iteration t = 1 ... T:</w:t>
      </w:r>
      <w:r>
        <w:rPr>
          <w:rFonts w:ascii="Cambria" w:hAnsi="Cambria"/>
          <w:color w:val="000000"/>
        </w:rPr>
        <w:br/>
      </w:r>
      <w:r>
        <w:rPr>
          <w:rFonts w:ascii="Cambria" w:hAnsi="Cambria"/>
          <w:color w:val="000000"/>
        </w:rPr>
        <w:br/>
      </w:r>
      <w:r>
        <w:rPr>
          <w:rStyle w:val="VerbatimChar"/>
          <w:rFonts w:ascii="Cambria" w:hAnsi="Cambria"/>
          <w:color w:val="000000"/>
        </w:rPr>
        <w:t xml:space="preserve">   Sample mini-batch B: for each group g in G, draw equal-size sub-batch B_g.</w:t>
      </w:r>
      <w:r>
        <w:rPr>
          <w:rFonts w:ascii="Cambria" w:hAnsi="Cambria"/>
          <w:color w:val="000000"/>
        </w:rPr>
        <w:br/>
      </w:r>
      <w:r>
        <w:rPr>
          <w:rFonts w:ascii="Cambria" w:hAnsi="Cambria"/>
          <w:color w:val="000000"/>
        </w:rPr>
        <w:br/>
      </w:r>
      <w:r>
        <w:rPr>
          <w:rStyle w:val="VerbatimChar"/>
          <w:rFonts w:ascii="Cambria" w:hAnsi="Cambria"/>
          <w:color w:val="000000"/>
        </w:rPr>
        <w:t xml:space="preserve">   (a) Per-group IPTW-DPO loss:</w:t>
      </w:r>
      <w:r>
        <w:rPr>
          <w:rFonts w:ascii="Cambria" w:hAnsi="Cambria"/>
          <w:color w:val="000000"/>
        </w:rPr>
        <w:br/>
      </w:r>
      <w:r>
        <w:rPr>
          <w:rStyle w:val="VerbatimChar"/>
          <w:rFonts w:ascii="Cambria" w:hAnsi="Cambria"/>
          <w:color w:val="000000"/>
        </w:rPr>
        <w:t xml:space="preserve">       L_g(θ) = -E_{(x, y_w, y_l, w) in B_g} [</w:t>
      </w:r>
      <w:r>
        <w:rPr>
          <w:rFonts w:ascii="Cambria" w:hAnsi="Cambria"/>
          <w:color w:val="000000"/>
        </w:rPr>
        <w:br/>
      </w:r>
      <w:r>
        <w:rPr>
          <w:rStyle w:val="VerbatimChar"/>
          <w:rFonts w:ascii="Cambria" w:hAnsi="Cambria"/>
          <w:color w:val="000000"/>
        </w:rPr>
        <w:t xml:space="preserve">                    w · log σ(β · Δ_θ(x, y_w, y_l))</w:t>
      </w:r>
      <w:r>
        <w:rPr>
          <w:rFonts w:ascii="Cambria" w:hAnsi="Cambria"/>
          <w:color w:val="000000"/>
        </w:rPr>
        <w:br/>
      </w:r>
      <w:r>
        <w:rPr>
          <w:rStyle w:val="VerbatimChar"/>
          <w:rFonts w:ascii="Cambria" w:hAnsi="Cambria"/>
          <w:color w:val="000000"/>
        </w:rPr>
        <w:t xml:space="preserve">                ]</w:t>
      </w:r>
      <w:r>
        <w:rPr>
          <w:rFonts w:ascii="Cambria" w:hAnsi="Cambria"/>
          <w:color w:val="000000"/>
        </w:rPr>
        <w:br/>
      </w:r>
      <w:r>
        <w:rPr>
          <w:rStyle w:val="VerbatimChar"/>
          <w:rFonts w:ascii="Cambria" w:hAnsi="Cambria"/>
          <w:color w:val="000000"/>
        </w:rPr>
        <w:t xml:space="preserve">       where Δ_θ(x, y_w, y_l) = log π_θ(y_w|x) - log π_θ(y_l|x)</w:t>
      </w:r>
      <w:r>
        <w:rPr>
          <w:rFonts w:ascii="Cambria" w:hAnsi="Cambria"/>
          <w:color w:val="000000"/>
        </w:rPr>
        <w:br/>
      </w:r>
      <w:r>
        <w:rPr>
          <w:rStyle w:val="VerbatimChar"/>
          <w:rFonts w:ascii="Cambria" w:hAnsi="Cambria"/>
          <w:color w:val="000000"/>
        </w:rPr>
        <w:t xml:space="preserve">                                - log π_b(y_w|x) + log π_b(y_l|x)</w:t>
      </w:r>
      <w:r>
        <w:rPr>
          <w:rFonts w:ascii="Cambria" w:hAnsi="Cambria"/>
          <w:color w:val="000000"/>
        </w:rPr>
        <w:br/>
      </w:r>
      <w:r>
        <w:rPr>
          <w:rFonts w:ascii="Cambria" w:hAnsi="Cambria"/>
          <w:color w:val="000000"/>
        </w:rPr>
        <w:br/>
      </w:r>
      <w:r>
        <w:rPr>
          <w:rStyle w:val="VerbatimChar"/>
          <w:rFonts w:ascii="Cambria" w:hAnsi="Cambria"/>
          <w:color w:val="000000"/>
        </w:rPr>
        <w:t xml:space="preserve">   (b) Group-stratified aggregate (equal group weights):</w:t>
      </w:r>
      <w:r>
        <w:rPr>
          <w:rFonts w:ascii="Cambria" w:hAnsi="Cambria"/>
          <w:color w:val="000000"/>
        </w:rPr>
        <w:br/>
      </w:r>
      <w:r>
        <w:rPr>
          <w:rStyle w:val="VerbatimChar"/>
          <w:rFonts w:ascii="Cambria" w:hAnsi="Cambria"/>
          <w:color w:val="000000"/>
        </w:rPr>
        <w:t xml:space="preserve">       L_fair(θ) = (1 / |G|) · Σ_{g in G} L_g(θ)</w:t>
      </w:r>
      <w:r>
        <w:rPr>
          <w:rFonts w:ascii="Cambria" w:hAnsi="Cambria"/>
          <w:color w:val="000000"/>
        </w:rPr>
        <w:br/>
      </w:r>
      <w:r>
        <w:rPr>
          <w:rFonts w:ascii="Cambria" w:hAnsi="Cambria"/>
          <w:color w:val="000000"/>
        </w:rPr>
        <w:br/>
      </w:r>
      <w:r>
        <w:rPr>
          <w:rStyle w:val="VerbatimChar"/>
          <w:rFonts w:ascii="Cambria" w:hAnsi="Cambria"/>
          <w:color w:val="000000"/>
        </w:rPr>
        <w:t xml:space="preserve">   (c) Gradient step:</w:t>
      </w:r>
      <w:r>
        <w:rPr>
          <w:rFonts w:ascii="Cambria" w:hAnsi="Cambria"/>
          <w:color w:val="000000"/>
        </w:rPr>
        <w:br/>
      </w:r>
      <w:r>
        <w:rPr>
          <w:rStyle w:val="VerbatimChar"/>
          <w:rFonts w:ascii="Cambria" w:hAnsi="Cambria"/>
          <w:color w:val="000000"/>
        </w:rPr>
        <w:t xml:space="preserve">       θ ← θ - η · ∇_θ L_fair(θ)</w:t>
      </w:r>
      <w:r>
        <w:rPr>
          <w:rFonts w:ascii="Cambria" w:hAnsi="Cambria"/>
          <w:color w:val="000000"/>
        </w:rPr>
        <w:br/>
      </w:r>
      <w:r>
        <w:rPr>
          <w:rFonts w:ascii="Cambria" w:hAnsi="Cambria"/>
          <w:color w:val="000000"/>
        </w:rPr>
        <w:br/>
      </w:r>
      <w:r>
        <w:rPr>
          <w:rStyle w:val="VerbatimChar"/>
          <w:rFonts w:ascii="Cambria" w:hAnsi="Cambria"/>
          <w:color w:val="000000"/>
        </w:rPr>
        <w:t xml:space="preserve">   Every 10 steps:</w:t>
      </w:r>
      <w:r>
        <w:rPr>
          <w:rFonts w:ascii="Cambria" w:hAnsi="Cambria"/>
          <w:color w:val="000000"/>
        </w:rPr>
        <w:br/>
      </w:r>
      <w:r>
        <w:rPr>
          <w:rStyle w:val="VerbatimChar"/>
          <w:rFonts w:ascii="Cambria" w:hAnsi="Cambria"/>
          <w:color w:val="000000"/>
        </w:rPr>
        <w:t xml:space="preserve">   Compute Marginalized DR-OPE on calibration set; log per-group DR-OPE values.</w:t>
      </w:r>
      <w:r>
        <w:rPr>
          <w:rFonts w:ascii="Cambria" w:hAnsi="Cambria"/>
          <w:color w:val="000000"/>
        </w:rPr>
        <w:br/>
      </w:r>
      <w:r>
        <w:rPr>
          <w:rFonts w:ascii="Cambria" w:hAnsi="Cambria"/>
          <w:color w:val="000000"/>
        </w:rPr>
        <w:br/>
      </w:r>
      <w:r>
        <w:rPr>
          <w:rStyle w:val="VerbatimChar"/>
          <w:rFonts w:ascii="Cambria" w:hAnsi="Cambria"/>
          <w:color w:val="000000"/>
        </w:rPr>
        <w:t xml:space="preserve">4. CALIBRATE abstention threshold τ:</w:t>
      </w:r>
      <w:r>
        <w:rPr>
          <w:rFonts w:ascii="Cambria" w:hAnsi="Cambria"/>
          <w:color w:val="000000"/>
        </w:rPr>
        <w:br/>
      </w:r>
      <w:r>
        <w:rPr>
          <w:rStyle w:val="VerbatimChar"/>
          <w:rFonts w:ascii="Cambria" w:hAnsi="Cambria"/>
          <w:color w:val="000000"/>
        </w:rPr>
        <w:t xml:space="preserve">   For each calibration patient i, compute DPO margin m_i = max_a Δ_θ(x_i, a, a').</w:t>
      </w:r>
      <w:r>
        <w:rPr>
          <w:rFonts w:ascii="Cambria" w:hAnsi="Cambria"/>
          <w:color w:val="000000"/>
        </w:rPr>
        <w:br/>
      </w:r>
      <w:r>
        <w:rPr>
          <w:rStyle w:val="VerbatimChar"/>
          <w:rFonts w:ascii="Cambria" w:hAnsi="Cambria"/>
          <w:color w:val="000000"/>
        </w:rPr>
        <w:t xml:space="preserve">   Set τ = the margin percentile at which calibration DR-OPE is maximized.</w:t>
      </w:r>
      <w:r>
        <w:rPr>
          <w:rFonts w:ascii="Cambria" w:hAnsi="Cambria"/>
          <w:color w:val="000000"/>
        </w:rPr>
        <w:br/>
      </w:r>
      <w:r>
        <w:rPr>
          <w:rStyle w:val="VerbatimChar"/>
          <w:rFonts w:ascii="Cambria" w:hAnsi="Cambria"/>
          <w:color w:val="000000"/>
        </w:rPr>
        <w:t xml:space="preserve">   Patients with m_i &lt; τ receive behavioral routing policy recommendation.</w:t>
      </w:r>
      <w:r>
        <w:rPr>
          <w:rFonts w:ascii="Cambria" w:hAnsi="Cambria"/>
          <w:color w:val="000000"/>
        </w:rPr>
        <w:br/>
      </w:r>
      <w:r>
        <w:rPr>
          <w:rFonts w:ascii="Cambria" w:hAnsi="Cambria"/>
          <w:color w:val="000000"/>
        </w:rPr>
        <w:br/>
      </w:r>
      <w:r>
        <w:rPr>
          <w:rStyle w:val="VerbatimChar"/>
          <w:rFonts w:ascii="Cambria" w:hAnsi="Cambria"/>
          <w:color w:val="000000"/>
        </w:rPr>
        <w:t xml:space="preserve">5. FIT conformal prediction intervals on calibration set:</w:t>
      </w:r>
      <w:r>
        <w:rPr>
          <w:rFonts w:ascii="Cambria" w:hAnsi="Cambria"/>
          <w:color w:val="000000"/>
        </w:rPr>
        <w:br/>
      </w:r>
      <w:r>
        <w:rPr>
          <w:rStyle w:val="VerbatimChar"/>
          <w:rFonts w:ascii="Cambria" w:hAnsi="Cambria"/>
          <w:color w:val="000000"/>
        </w:rPr>
        <w:t xml:space="preserve">   Target empirical coverage: 88%–92% for 90% prediction intervals.</w:t>
      </w:r>
      <w:r>
        <w:rPr>
          <w:rFonts w:ascii="Cambria" w:hAnsi="Cambria"/>
          <w:color w:val="000000"/>
        </w:rPr>
        <w:br/>
      </w:r>
      <w:r>
        <w:rPr>
          <w:rStyle w:val="VerbatimChar"/>
          <w:rFonts w:ascii="Cambria" w:hAnsi="Cambria"/>
          <w:color w:val="000000"/>
        </w:rPr>
        <w:t xml:space="preserve">   Verify coverage on held-out test subset (reported: 89.9%).</w:t>
      </w:r>
      <w:r>
        <w:rPr>
          <w:rFonts w:ascii="Cambria" w:hAnsi="Cambria"/>
          <w:color w:val="000000"/>
        </w:rPr>
        <w:br/>
      </w:r>
      <w:r>
        <w:rPr>
          <w:rFonts w:ascii="Cambria" w:hAnsi="Cambria"/>
          <w:color w:val="000000"/>
        </w:rPr>
        <w:br/>
      </w:r>
      <w:r>
        <w:rPr>
          <w:rStyle w:val="VerbatimChar"/>
          <w:rFonts w:ascii="Cambria" w:hAnsi="Cambria"/>
          <w:color w:val="000000"/>
        </w:rPr>
        <w:t xml:space="preserve">6. Return π_θ, τ, [I_lo, I_hi].</w:t>
      </w:r>
    </w:p>
    <w:p>
      <w:pPr>
        <w:spacing w:line="360" w:lineRule="auto"/>
      </w:pPr>
      <w:r>
        <w:rPr>
          <w:rFonts w:ascii="Cambria" w:hAnsi="Cambria"/>
          <w:color w:val="000000"/>
        </w:rPr>
        <w:pict>
          <v:rect style="width:0;height:1.5pt" o:hralign="center" o:hrstd="t" o:hr="t"/>
        </w:pict>
      </w:r>
    </w:p>
    <w:bookmarkEnd w:id="18"/>
    <w:bookmarkStart w:id="19" w:name="theorem-s1.-imi-reduction-theorem"/>
    <w:p>
      <w:pPr>
        <w:pStyle w:val="Heading2"/>
        <w:spacing w:line="360" w:lineRule="auto"/>
      </w:pPr>
      <w:r>
        <w:rPr>
          <w:rFonts w:ascii="Cambria" w:hAnsi="Cambria"/>
          <w:color w:val="000000"/>
        </w:rPr>
        <w:t xml:space="preserve">Theorem S1. IMI Reduction Theorem</w:t>
      </w:r>
    </w:p>
    <w:p>
      <w:pPr>
        <w:pStyle w:val="FirstParagraph"/>
        <w:spacing w:line="360" w:lineRule="auto"/>
      </w:pPr>
      <w:r>
        <w:rPr>
          <w:rFonts w:ascii="Cambria" w:hAnsi="Cambria"/>
          <w:color w:val="000000"/>
        </w:rPr>
        <w:t xml:space="preserve">Statement. Under the WPAD identification assumptions (administrative exogeneity, exclusion restriction, and within-patient relevance) and standard DPO convergence conditions, the trained PEARL policy</w:t>
      </w:r>
      <w:r>
        <w:rPr>
          <w:rFonts w:ascii="Cambria" w:hAnsi="Cambria"/>
          <w:color w:val="000000"/>
        </w:rPr>
        <w:t xml:space="preserve"> </w:t>
      </w:r>
      <m:oMath>
        <m:sSubSup>
          <m:e>
            <m:r>
              <m:t>π</m:t>
            </m:r>
          </m:e>
          <m:sub>
            <m:r>
              <m:t>θ</m:t>
            </m:r>
          </m:sub>
          <m:sup>
            <m:r>
              <m:rPr>
                <m:sty m:val="p"/>
              </m:rPr>
              <m:t>*</m:t>
            </m:r>
          </m:sup>
        </m:sSubSup>
      </m:oMath>
      <w:r>
        <w:rPr>
          <w:rFonts w:ascii="Cambria" w:hAnsi="Cambria"/>
          <w:color w:val="000000"/>
        </w:rPr>
        <w:t xml:space="preserve"> </w:t>
      </w:r>
      <w:r>
        <w:rPr>
          <w:rFonts w:ascii="Cambria" w:hAnsi="Cambria"/>
          <w:color w:val="000000"/>
        </w:rPr>
        <w:t xml:space="preserve">satisfies:</w:t>
      </w:r>
    </w:p>
    <w:p>
      <w:pPr>
        <w:pStyle w:val="BodyText"/>
        <w:spacing w:line="360" w:lineRule="auto"/>
      </w:pPr>
      <m:oMathPara>
        <m:oMathParaPr>
          <m:jc m:val="center"/>
        </m:oMathParaPr>
        <m:oMath>
          <m:r>
            <m:rPr>
              <m:nor/>
              <m:sty m:val="p"/>
            </m:rPr>
            <m:t>IMI</m:t>
          </m:r>
          <m:r>
            <m:rPr>
              <m:sty m:val="p"/>
            </m:rPr>
            <m:t>(</m:t>
          </m:r>
          <m:sSubSup>
            <m:e>
              <m:r>
                <m:t>π</m:t>
              </m:r>
            </m:e>
            <m:sub>
              <m:r>
                <m:t>θ</m:t>
              </m:r>
            </m:sub>
            <m:sup>
              <m:r>
                <m:rPr>
                  <m:sty m:val="p"/>
                </m:rPr>
                <m:t>*</m:t>
              </m:r>
            </m:sup>
          </m:sSubSup>
          <m:r>
            <m:rPr>
              <m:sty m:val="p"/>
            </m:rPr>
            <m:t>)</m:t>
          </m:r>
          <m:r>
            <m:rPr>
              <m:sty m:val="p"/>
            </m:rPr>
            <m:t>≤</m:t>
          </m:r>
          <m:r>
            <m:rPr>
              <m:nor/>
              <m:sty m:val="p"/>
            </m:rPr>
            <m:t>IMI</m:t>
          </m:r>
          <m:r>
            <m:rPr>
              <m:sty m:val="p"/>
            </m:rPr>
            <m:t>(</m:t>
          </m:r>
          <m:sSub>
            <m:e>
              <m:r>
                <m:t>π</m:t>
              </m:r>
            </m:e>
            <m:sub>
              <m:r>
                <m:t>b</m:t>
              </m:r>
            </m:sub>
          </m:sSub>
          <m:r>
            <m:rPr>
              <m:sty m:val="p"/>
            </m:rPr>
            <m:t>)</m:t>
          </m:r>
        </m:oMath>
      </m:oMathPara>
    </w:p>
    <w:p>
      <w:pPr>
        <w:pStyle w:val="FirstParagraph"/>
        <w:spacing w:line="360" w:lineRule="auto"/>
      </w:pPr>
      <w:r>
        <w:rPr>
          <w:rFonts w:ascii="Cambria" w:hAnsi="Cambria"/>
          <w:color w:val="000000"/>
        </w:rPr>
        <w:t xml:space="preserve">with strict inequality whenever</w:t>
      </w:r>
      <w:r>
        <w:rPr>
          <w:rFonts w:ascii="Cambria" w:hAnsi="Cambria"/>
          <w:color w:val="000000"/>
        </w:rPr>
        <w:t xml:space="preserve"> </w:t>
      </w:r>
      <m:oMath>
        <m:r>
          <m:rPr>
            <m:nor/>
            <m:sty m:val="p"/>
          </m:rPr>
          <m:t>IMI</m:t>
        </m:r>
        <m:r>
          <m:rPr>
            <m:sty m:val="p"/>
          </m:rPr>
          <m:t>(</m:t>
        </m:r>
        <m:sSub>
          <m:e>
            <m:r>
              <m:t>π</m:t>
            </m:r>
          </m:e>
          <m:sub>
            <m:r>
              <m:t>b</m:t>
            </m:r>
          </m:sub>
        </m:sSub>
        <m:r>
          <m:rPr>
            <m:sty m:val="p"/>
          </m:rPr>
          <m:t>)</m:t>
        </m:r>
        <m:r>
          <m:rPr>
            <m:sty m:val="p"/>
          </m:rPr>
          <m:t>&gt;</m:t>
        </m:r>
        <m:r>
          <m:t>0</m:t>
        </m:r>
      </m:oMath>
      <w:r>
        <w:rPr>
          <w:rFonts w:ascii="Cambria" w:hAnsi="Cambria"/>
          <w:color w:val="000000"/>
        </w:rPr>
        <w:t xml:space="preserve"> </w:t>
      </w:r>
      <w:r>
        <w:rPr>
          <w:rFonts w:ascii="Cambria" w:hAnsi="Cambria"/>
          <w:color w:val="000000"/>
        </w:rPr>
        <w:t xml:space="preserve">and the training data contains at least one correctly ordered WPAD preference pair.</w:t>
      </w:r>
    </w:p>
    <w:p>
      <w:pPr>
        <w:pStyle w:val="BodyText"/>
        <w:spacing w:line="360" w:lineRule="auto"/>
      </w:pPr>
      <w:r>
        <w:rPr>
          <w:rFonts w:ascii="Cambria" w:hAnsi="Cambria"/>
          <w:color w:val="000000"/>
        </w:rPr>
        <w:t xml:space="preserve">Proof sketch. The proof proceeds in four steps.</w:t>
      </w:r>
    </w:p>
    <w:p>
      <w:pPr>
        <w:pStyle w:val="BodyText"/>
        <w:spacing w:line="360" w:lineRule="auto"/>
      </w:pPr>
      <w:r>
        <w:rPr>
          <w:rFonts w:ascii="Cambria" w:hAnsi="Cambria"/>
          <w:i/>
          <w:iCs/>
          <w:color w:val="000000"/>
        </w:rPr>
        <w:t xml:space="preserve">Step 1.</w:t>
      </w:r>
      <w:r>
        <w:rPr>
          <w:rFonts w:ascii="Cambria" w:hAnsi="Cambria"/>
          <w:color w:val="000000"/>
        </w:rPr>
        <w:t xml:space="preserve"> </w:t>
      </w:r>
      <w:r>
        <w:rPr>
          <w:rFonts w:ascii="Cambria" w:hAnsi="Cambria"/>
          <w:color w:val="000000"/>
        </w:rPr>
        <w:t xml:space="preserve">Standard DPO convergence (Rafailov et al., 2023,</w:t>
      </w:r>
      <w:r>
        <w:rPr>
          <w:rFonts w:ascii="Cambria" w:hAnsi="Cambria"/>
          <w:color w:val="000000"/>
          <w:vertAlign w:val="superscript"/>
        </w:rPr>
        <w:t xml:space="preserve">19</w:t>
      </w:r>
      <w:r>
        <w:rPr>
          <w:rFonts w:ascii="Cambria" w:hAnsi="Cambria"/>
          <w:color w:val="000000"/>
        </w:rPr>
        <w:t xml:space="preserve"> </w:t>
      </w:r>
      <w:r>
        <w:rPr>
          <w:rFonts w:ascii="Cambria" w:hAnsi="Cambria"/>
          <w:color w:val="000000"/>
        </w:rPr>
        <w:t xml:space="preserve">Theorem 1) yields:</w:t>
      </w:r>
    </w:p>
    <w:p>
      <w:pPr>
        <w:pStyle w:val="BodyText"/>
        <w:spacing w:line="360" w:lineRule="auto"/>
      </w:pPr>
      <m:oMathPara>
        <m:oMathParaPr>
          <m:jc m:val="center"/>
        </m:oMathParaPr>
        <m:oMath>
          <m:sSubSup>
            <m:e>
              <m:r>
                <m:t>π</m:t>
              </m:r>
            </m:e>
            <m:sub>
              <m:r>
                <m:t>θ</m:t>
              </m:r>
            </m:sub>
            <m:sup>
              <m:r>
                <m:rPr>
                  <m:sty m:val="p"/>
                </m:rPr>
                <m:t>*</m:t>
              </m:r>
            </m:sup>
          </m:sSubSup>
          <m:r>
            <m:rPr>
              <m:sty m:val="p"/>
            </m:rPr>
            <m:t>(</m:t>
          </m:r>
          <m:r>
            <m:t>y</m:t>
          </m:r>
          <m:r>
            <m:rPr>
              <m:sty m:val="p"/>
            </m:rPr>
            <m:t>∣</m:t>
          </m:r>
          <m:r>
            <m:t>x</m:t>
          </m:r>
          <m:r>
            <m:rPr>
              <m:sty m:val="p"/>
            </m:rPr>
            <m:t>)</m:t>
          </m:r>
          <m:r>
            <m:t> </m:t>
          </m:r>
          <m:r>
            <m:rPr>
              <m:sty m:val="p"/>
            </m:rPr>
            <m:t>∝</m:t>
          </m:r>
          <m:r>
            <m:t> </m:t>
          </m:r>
          <m:sSub>
            <m:e>
              <m:r>
                <m:t>π</m:t>
              </m:r>
            </m:e>
            <m:sub>
              <m:r>
                <m:t>b</m:t>
              </m:r>
            </m:sub>
          </m:sSub>
          <m:r>
            <m:rPr>
              <m:sty m:val="p"/>
            </m:rPr>
            <m:t>(</m:t>
          </m:r>
          <m:r>
            <m:t>y</m:t>
          </m:r>
          <m:r>
            <m:rPr>
              <m:sty m:val="p"/>
            </m:rPr>
            <m:t>∣</m:t>
          </m:r>
          <m:r>
            <m:t>x</m:t>
          </m:r>
          <m:r>
            <m:rPr>
              <m:sty m:val="p"/>
            </m:rPr>
            <m:t>)</m:t>
          </m:r>
          <m:r>
            <m:rPr>
              <m:sty m:val="p"/>
            </m:rPr>
            <m:t>exp</m:t>
          </m:r>
          <m:r>
            <m:t>​</m:t>
          </m:r>
          <m:d>
            <m:dPr>
              <m:begChr m:val="("/>
              <m:sepChr m:val=""/>
              <m:endChr m:val=")"/>
              <m:grow/>
            </m:dPr>
            <m:e>
              <m:f>
                <m:fPr>
                  <m:type m:val="bar"/>
                </m:fPr>
                <m:num>
                  <m:sSup>
                    <m:e>
                      <m:r>
                        <m:t>r</m:t>
                      </m:r>
                    </m:e>
                    <m:sup>
                      <m:r>
                        <m:rPr>
                          <m:sty m:val="p"/>
                        </m:rPr>
                        <m:t>*</m:t>
                      </m:r>
                    </m:sup>
                  </m:sSup>
                  <m:r>
                    <m:rPr>
                      <m:sty m:val="p"/>
                    </m:rPr>
                    <m:t>(</m:t>
                  </m:r>
                  <m:r>
                    <m:t>x</m:t>
                  </m:r>
                  <m:r>
                    <m:rPr>
                      <m:sty m:val="p"/>
                    </m:rPr>
                    <m:t>,</m:t>
                  </m:r>
                  <m:r>
                    <m:t>y</m:t>
                  </m:r>
                  <m:r>
                    <m:rPr>
                      <m:sty m:val="p"/>
                    </m:rPr>
                    <m:t>)</m:t>
                  </m:r>
                </m:num>
                <m:den>
                  <m:r>
                    <m:t>β</m:t>
                  </m:r>
                </m:den>
              </m:f>
            </m:e>
          </m:d>
        </m:oMath>
      </m:oMathPara>
    </w:p>
    <w:p>
      <w:pPr>
        <w:pStyle w:val="FirstParagraph"/>
        <w:spacing w:line="360" w:lineRule="auto"/>
      </w:pPr>
      <w:r>
        <w:rPr>
          <w:rFonts w:ascii="Cambria" w:hAnsi="Cambria"/>
          <w:color w:val="000000"/>
        </w:rPr>
        <w:t xml:space="preserve">where</w:t>
      </w:r>
      <w:r>
        <w:rPr>
          <w:rFonts w:ascii="Cambria" w:hAnsi="Cambria"/>
          <w:color w:val="000000"/>
        </w:rPr>
        <w:t xml:space="preserve"> </w:t>
      </w:r>
      <m:oMath>
        <m:sSup>
          <m:e>
            <m:r>
              <m:t>r</m:t>
            </m:r>
          </m:e>
          <m:sup>
            <m:r>
              <m:rPr>
                <m:sty m:val="p"/>
              </m:rPr>
              <m:t>*</m:t>
            </m:r>
          </m:sup>
        </m:sSup>
        <m:r>
          <m:rPr>
            <m:sty m:val="p"/>
          </m:rPr>
          <m:t>(</m:t>
        </m:r>
        <m:r>
          <m:t>x</m:t>
        </m:r>
        <m:r>
          <m:rPr>
            <m:sty m:val="p"/>
          </m:rPr>
          <m:t>,</m:t>
        </m:r>
        <m:r>
          <m:t>y</m:t>
        </m:r>
        <m:r>
          <m:rPr>
            <m:sty m:val="p"/>
          </m:rPr>
          <m:t>)</m:t>
        </m:r>
      </m:oMath>
      <w:r>
        <w:rPr>
          <w:rFonts w:ascii="Cambria" w:hAnsi="Cambria"/>
          <w:color w:val="000000"/>
        </w:rPr>
        <w:t xml:space="preserve"> </w:t>
      </w:r>
      <w:r>
        <w:rPr>
          <w:rFonts w:ascii="Cambria" w:hAnsi="Cambria"/>
          <w:color w:val="000000"/>
        </w:rPr>
        <w:t xml:space="preserve">is the implicit reward function learned from the WPAD preference signal and</w:t>
      </w:r>
      <w:r>
        <w:rPr>
          <w:rFonts w:ascii="Cambria" w:hAnsi="Cambria"/>
          <w:color w:val="000000"/>
        </w:rPr>
        <w:t xml:space="preserve"> </w:t>
      </w:r>
      <m:oMath>
        <m:r>
          <m:t>β</m:t>
        </m:r>
        <m:r>
          <m:rPr>
            <m:sty m:val="p"/>
          </m:rPr>
          <m:t>&gt;</m:t>
        </m:r>
        <m:r>
          <m:t>0</m:t>
        </m:r>
      </m:oMath>
      <w:r>
        <w:rPr>
          <w:rFonts w:ascii="Cambria" w:hAnsi="Cambria"/>
          <w:color w:val="000000"/>
        </w:rPr>
        <w:t xml:space="preserve"> </w:t>
      </w:r>
      <w:r>
        <w:rPr>
          <w:rFonts w:ascii="Cambria" w:hAnsi="Cambria"/>
          <w:color w:val="000000"/>
        </w:rPr>
        <w:t xml:space="preserve">is the KL regularization parameter.</w:t>
      </w:r>
    </w:p>
    <w:p>
      <w:pPr>
        <w:pStyle w:val="BodyText"/>
        <w:spacing w:line="360" w:lineRule="auto"/>
      </w:pPr>
      <w:r>
        <w:rPr>
          <w:rFonts w:ascii="Cambria" w:hAnsi="Cambria"/>
          <w:i/>
          <w:iCs/>
          <w:color w:val="000000"/>
        </w:rPr>
        <w:t xml:space="preserve">Step 2.</w:t>
      </w:r>
      <w:r>
        <w:rPr>
          <w:rFonts w:ascii="Cambria" w:hAnsi="Cambria"/>
          <w:color w:val="000000"/>
        </w:rPr>
        <w:t xml:space="preserve"> </w:t>
      </w:r>
      <w:r>
        <w:rPr>
          <w:rFonts w:ascii="Cambria" w:hAnsi="Cambria"/>
          <w:color w:val="000000"/>
        </w:rPr>
        <w:t xml:space="preserve">By the WPAD identification theorem (administrative exogeneity + exclusion restriction + within-patient relevance), the preferred completions</w:t>
      </w:r>
      <w:r>
        <w:rPr>
          <w:rFonts w:ascii="Cambria" w:hAnsi="Cambria"/>
          <w:color w:val="000000"/>
        </w:rPr>
        <w:t xml:space="preserve"> </w:t>
      </w:r>
      <m:oMath>
        <m:sSub>
          <m:e>
            <m:r>
              <m:t>y</m:t>
            </m:r>
          </m:e>
          <m:sub>
            <m:r>
              <m:t>w</m:t>
            </m:r>
          </m:sub>
        </m:sSub>
      </m:oMath>
      <w:r>
        <w:rPr>
          <w:rFonts w:ascii="Cambria" w:hAnsi="Cambria"/>
          <w:color w:val="000000"/>
        </w:rPr>
        <w:t xml:space="preserve"> </w:t>
      </w:r>
      <w:r>
        <w:rPr>
          <w:rFonts w:ascii="Cambria" w:hAnsi="Cambria"/>
          <w:color w:val="000000"/>
        </w:rPr>
        <w:t xml:space="preserve">in WPAD pairs encode higher expected potential outcomes than the rejected completions</w:t>
      </w:r>
      <w:r>
        <w:rPr>
          <w:rFonts w:ascii="Cambria" w:hAnsi="Cambria"/>
          <w:color w:val="000000"/>
        </w:rPr>
        <w:t xml:space="preserve"> </w:t>
      </w:r>
      <m:oMath>
        <m:sSub>
          <m:e>
            <m:r>
              <m:t>y</m:t>
            </m:r>
          </m:e>
          <m:sub>
            <m:r>
              <m:t>l</m:t>
            </m:r>
          </m:sub>
        </m:sSub>
      </m:oMath>
      <w:r>
        <w:rPr>
          <w:rFonts w:ascii="Cambria" w:hAnsi="Cambria"/>
          <w:color w:val="000000"/>
        </w:rPr>
        <w:t xml:space="preserve"> </w:t>
      </w:r>
      <w:r>
        <w:rPr>
          <w:rFonts w:ascii="Cambria" w:hAnsi="Cambria"/>
          <w:color w:val="000000"/>
        </w:rPr>
        <w:t xml:space="preserve">in expectation over the training distribution. Formally,</w:t>
      </w:r>
      <w:r>
        <w:rPr>
          <w:rFonts w:ascii="Cambria" w:hAnsi="Cambria"/>
          <w:color w:val="000000"/>
        </w:rPr>
        <w:t xml:space="preserve"> </w:t>
      </w:r>
      <m:oMath>
        <m:r>
          <m:rPr>
            <m:scr m:val="double-struck"/>
            <m:sty m:val="p"/>
          </m:rPr>
          <m:t>E</m:t>
        </m:r>
        <m:r>
          <m:rPr>
            <m:sty m:val="p"/>
          </m:rPr>
          <m:t>[</m:t>
        </m:r>
        <m:r>
          <m:t>Y</m:t>
        </m:r>
        <m:r>
          <m:rPr>
            <m:sty m:val="p"/>
          </m:rPr>
          <m:t>(</m:t>
        </m:r>
        <m:sSub>
          <m:e>
            <m:r>
              <m:t>y</m:t>
            </m:r>
          </m:e>
          <m:sub>
            <m:r>
              <m:t>w</m:t>
            </m:r>
          </m:sub>
        </m:sSub>
        <m:r>
          <m:rPr>
            <m:sty m:val="p"/>
          </m:rPr>
          <m:t>)</m:t>
        </m:r>
        <m:r>
          <m:rPr>
            <m:sty m:val="p"/>
          </m:rPr>
          <m:t>∣</m:t>
        </m:r>
        <m:r>
          <m:t>x</m:t>
        </m:r>
        <m:r>
          <m:rPr>
            <m:sty m:val="p"/>
          </m:rPr>
          <m:t>]</m:t>
        </m:r>
        <m:r>
          <m:rPr>
            <m:sty m:val="p"/>
          </m:rPr>
          <m:t>≤</m:t>
        </m:r>
        <m:r>
          <m:rPr>
            <m:scr m:val="double-struck"/>
            <m:sty m:val="p"/>
          </m:rPr>
          <m:t>E</m:t>
        </m:r>
        <m:r>
          <m:rPr>
            <m:sty m:val="p"/>
          </m:rPr>
          <m:t>[</m:t>
        </m:r>
        <m:r>
          <m:t>Y</m:t>
        </m:r>
        <m:r>
          <m:rPr>
            <m:sty m:val="p"/>
          </m:rPr>
          <m:t>(</m:t>
        </m:r>
        <m:sSub>
          <m:e>
            <m:r>
              <m:t>y</m:t>
            </m:r>
          </m:e>
          <m:sub>
            <m:r>
              <m:t>l</m:t>
            </m:r>
          </m:sub>
        </m:sSub>
        <m:r>
          <m:rPr>
            <m:sty m:val="p"/>
          </m:rPr>
          <m:t>)</m:t>
        </m:r>
        <m:r>
          <m:rPr>
            <m:sty m:val="p"/>
          </m:rPr>
          <m:t>∣</m:t>
        </m:r>
        <m:r>
          <m:t>x</m:t>
        </m:r>
        <m:r>
          <m:rPr>
            <m:sty m:val="p"/>
          </m:rPr>
          <m:t>]</m:t>
        </m:r>
      </m:oMath>
      <w:r>
        <w:rPr>
          <w:rFonts w:ascii="Cambria" w:hAnsi="Cambria"/>
          <w:color w:val="000000"/>
        </w:rPr>
        <w:t xml:space="preserve"> </w:t>
      </w:r>
      <w:r>
        <w:rPr>
          <w:rFonts w:ascii="Cambria" w:hAnsi="Cambria"/>
          <w:color w:val="000000"/>
        </w:rPr>
        <w:t xml:space="preserve">on average across the WPAD training set (lower outcome values indicate fewer acute care events).</w:t>
      </w:r>
    </w:p>
    <w:p>
      <w:pPr>
        <w:pStyle w:val="BodyText"/>
        <w:spacing w:line="360" w:lineRule="auto"/>
      </w:pPr>
      <w:r>
        <w:rPr>
          <w:rFonts w:ascii="Cambria" w:hAnsi="Cambria"/>
          <w:i/>
          <w:iCs/>
          <w:color w:val="000000"/>
        </w:rPr>
        <w:t xml:space="preserve">Step 3.</w:t>
      </w:r>
      <w:r>
        <w:rPr>
          <w:rFonts w:ascii="Cambria" w:hAnsi="Cambria"/>
          <w:color w:val="000000"/>
        </w:rPr>
        <w:t xml:space="preserve"> </w:t>
      </w:r>
      <w:r>
        <w:rPr>
          <w:rFonts w:ascii="Cambria" w:hAnsi="Cambria"/>
          <w:color w:val="000000"/>
        </w:rPr>
        <w:t xml:space="preserve">Because</w:t>
      </w:r>
      <w:r>
        <w:rPr>
          <w:rFonts w:ascii="Cambria" w:hAnsi="Cambria"/>
          <w:color w:val="000000"/>
        </w:rPr>
        <w:t xml:space="preserve"> </w:t>
      </w:r>
      <m:oMath>
        <m:sSubSup>
          <m:e>
            <m:r>
              <m:t>π</m:t>
            </m:r>
          </m:e>
          <m:sub>
            <m:r>
              <m:t>θ</m:t>
            </m:r>
          </m:sub>
          <m:sup>
            <m:r>
              <m:rPr>
                <m:sty m:val="p"/>
              </m:rPr>
              <m:t>*</m:t>
            </m:r>
          </m:sup>
        </m:sSubSup>
      </m:oMath>
      <w:r>
        <w:rPr>
          <w:rFonts w:ascii="Cambria" w:hAnsi="Cambria"/>
          <w:color w:val="000000"/>
        </w:rPr>
        <w:t xml:space="preserve"> </w:t>
      </w:r>
      <w:r>
        <w:rPr>
          <w:rFonts w:ascii="Cambria" w:hAnsi="Cambria"/>
          <w:color w:val="000000"/>
        </w:rPr>
        <w:t xml:space="preserve">upweights interventions with lower expected potential outcomes (Step 2), Jensen’s inequality applied to the KL-regularized policy improvement objective yields:</w:t>
      </w:r>
    </w:p>
    <w:p>
      <w:pPr>
        <w:pStyle w:val="BodyText"/>
        <w:spacing w:line="360" w:lineRule="auto"/>
      </w:pPr>
      <m:oMathPara>
        <m:oMathParaPr>
          <m:jc m:val="center"/>
        </m:oMathParaPr>
        <m:oMath>
          <m:r>
            <m:rPr>
              <m:scr m:val="double-struck"/>
              <m:sty m:val="p"/>
            </m:rPr>
            <m:t>E</m:t>
          </m:r>
          <m:r>
            <m:rPr>
              <m:sty m:val="p"/>
            </m:rPr>
            <m:t>[</m:t>
          </m:r>
          <m:r>
            <m:t>Y</m:t>
          </m:r>
          <m:r>
            <m:rPr>
              <m:sty m:val="p"/>
            </m:rPr>
            <m:t>(</m:t>
          </m:r>
          <m:sSubSup>
            <m:e>
              <m:r>
                <m:t>π</m:t>
              </m:r>
            </m:e>
            <m:sub>
              <m:r>
                <m:t>θ</m:t>
              </m:r>
            </m:sub>
            <m:sup>
              <m:r>
                <m:rPr>
                  <m:sty m:val="p"/>
                </m:rPr>
                <m:t>*</m:t>
              </m:r>
            </m:sup>
          </m:sSubSup>
          <m:r>
            <m:rPr>
              <m:sty m:val="p"/>
            </m:rPr>
            <m:t>)</m:t>
          </m:r>
          <m:r>
            <m:rPr>
              <m:sty m:val="p"/>
            </m:rPr>
            <m:t>∣</m:t>
          </m:r>
          <m:sSub>
            <m:e>
              <m:r>
                <m:t>X</m:t>
              </m:r>
            </m:e>
            <m:sub>
              <m:r>
                <m:t>i</m:t>
              </m:r>
            </m:sub>
          </m:sSub>
          <m:r>
            <m:rPr>
              <m:sty m:val="p"/>
            </m:rPr>
            <m:t>]</m:t>
          </m:r>
          <m:r>
            <m:t> </m:t>
          </m:r>
          <m:r>
            <m:rPr>
              <m:sty m:val="p"/>
            </m:rPr>
            <m:t>≤</m:t>
          </m:r>
          <m:r>
            <m:t> </m:t>
          </m:r>
          <m:r>
            <m:rPr>
              <m:scr m:val="double-struck"/>
              <m:sty m:val="p"/>
            </m:rPr>
            <m:t>E</m:t>
          </m:r>
          <m:r>
            <m:rPr>
              <m:sty m:val="p"/>
            </m:rPr>
            <m:t>[</m:t>
          </m:r>
          <m:r>
            <m:t>Y</m:t>
          </m:r>
          <m:r>
            <m:rPr>
              <m:sty m:val="p"/>
            </m:rPr>
            <m:t>(</m:t>
          </m:r>
          <m:sSub>
            <m:e>
              <m:r>
                <m:t>π</m:t>
              </m:r>
            </m:e>
            <m:sub>
              <m:r>
                <m:t>b</m:t>
              </m:r>
            </m:sub>
          </m:sSub>
          <m:r>
            <m:rPr>
              <m:sty m:val="p"/>
            </m:rPr>
            <m:t>)</m:t>
          </m:r>
          <m:r>
            <m:rPr>
              <m:sty m:val="p"/>
            </m:rPr>
            <m:t>∣</m:t>
          </m:r>
          <m:sSub>
            <m:e>
              <m:r>
                <m:t>X</m:t>
              </m:r>
            </m:e>
            <m:sub>
              <m:r>
                <m:t>i</m:t>
              </m:r>
            </m:sub>
          </m:sSub>
          <m:r>
            <m:rPr>
              <m:sty m:val="p"/>
            </m:rPr>
            <m:t>]</m:t>
          </m:r>
        </m:oMath>
      </m:oMathPara>
    </w:p>
    <w:p>
      <w:pPr>
        <w:pStyle w:val="FirstParagraph"/>
        <w:spacing w:line="360" w:lineRule="auto"/>
      </w:pPr>
      <w:r>
        <w:rPr>
          <w:rFonts w:ascii="Cambria" w:hAnsi="Cambria"/>
          <w:color w:val="000000"/>
        </w:rPr>
        <w:t xml:space="preserve">for all</w:t>
      </w:r>
      <w:r>
        <w:rPr>
          <w:rFonts w:ascii="Cambria" w:hAnsi="Cambria"/>
          <w:color w:val="000000"/>
        </w:rPr>
        <w:t xml:space="preserve"> </w:t>
      </w:r>
      <m:oMath>
        <m:sSub>
          <m:e>
            <m:r>
              <m:t>X</m:t>
            </m:r>
          </m:e>
          <m:sub>
            <m:r>
              <m:t>i</m:t>
            </m:r>
          </m:sub>
        </m:sSub>
      </m:oMath>
      <w:r>
        <w:rPr>
          <w:rFonts w:ascii="Cambria" w:hAnsi="Cambria"/>
          <w:color w:val="000000"/>
        </w:rPr>
        <w:t xml:space="preserve"> </w:t>
      </w:r>
      <w:r>
        <w:rPr>
          <w:rFonts w:ascii="Cambria" w:hAnsi="Cambria"/>
          <w:color w:val="000000"/>
        </w:rPr>
        <w:t xml:space="preserve">in the training support.</w:t>
      </w:r>
    </w:p>
    <w:p>
      <w:pPr>
        <w:pStyle w:val="BodyText"/>
        <w:spacing w:line="360" w:lineRule="auto"/>
      </w:pPr>
      <w:r>
        <w:rPr>
          <w:rFonts w:ascii="Cambria" w:hAnsi="Cambria"/>
          <w:i/>
          <w:iCs/>
          <w:color w:val="000000"/>
        </w:rPr>
        <w:t xml:space="preserve">Step 4.</w:t>
      </w:r>
      <w:r>
        <w:rPr>
          <w:rFonts w:ascii="Cambria" w:hAnsi="Cambria"/>
          <w:color w:val="000000"/>
        </w:rPr>
        <w:t xml:space="preserve"> </w:t>
      </w:r>
      <w:r>
        <w:rPr>
          <w:rFonts w:ascii="Cambria" w:hAnsi="Cambria"/>
          <w:color w:val="000000"/>
        </w:rPr>
        <w:t xml:space="preserve">IMI(</w:t>
      </w:r>
      <m:oMath>
        <m:sSub>
          <m:e>
            <m:r>
              <m:t>π</m:t>
            </m:r>
          </m:e>
          <m:sub>
            <m:r>
              <m:t>b</m:t>
            </m:r>
          </m:sub>
        </m:sSub>
      </m:oMath>
      <w:r>
        <w:rPr>
          <w:rFonts w:ascii="Cambria" w:hAnsi="Cambria"/>
          <w:color w:val="000000"/>
        </w:rPr>
        <w:t xml:space="preserve">) counts the fraction of patients for whom the behavioral policy assigns a suboptimal intervention; since</w:t>
      </w:r>
      <w:r>
        <w:rPr>
          <w:rFonts w:ascii="Cambria" w:hAnsi="Cambria"/>
          <w:color w:val="000000"/>
        </w:rPr>
        <w:t xml:space="preserve"> </w:t>
      </w:r>
      <m:oMath>
        <m:sSubSup>
          <m:e>
            <m:r>
              <m:t>π</m:t>
            </m:r>
          </m:e>
          <m:sub>
            <m:r>
              <m:t>θ</m:t>
            </m:r>
          </m:sub>
          <m:sup>
            <m:r>
              <m:rPr>
                <m:sty m:val="p"/>
              </m:rPr>
              <m:t>*</m:t>
            </m:r>
          </m:sup>
        </m:sSubSup>
      </m:oMath>
      <w:r>
        <w:rPr>
          <w:rFonts w:ascii="Cambria" w:hAnsi="Cambria"/>
          <w:color w:val="000000"/>
        </w:rPr>
        <w:t xml:space="preserve"> </w:t>
      </w:r>
      <w:r>
        <w:rPr>
          <w:rFonts w:ascii="Cambria" w:hAnsi="Cambria"/>
          <w:color w:val="000000"/>
        </w:rPr>
        <w:t xml:space="preserve">achieves weakly lower expected outcomes than</w:t>
      </w:r>
      <w:r>
        <w:rPr>
          <w:rFonts w:ascii="Cambria" w:hAnsi="Cambria"/>
          <w:color w:val="000000"/>
        </w:rPr>
        <w:t xml:space="preserve"> </w:t>
      </w:r>
      <m:oMath>
        <m:sSub>
          <m:e>
            <m:r>
              <m:t>π</m:t>
            </m:r>
          </m:e>
          <m:sub>
            <m:r>
              <m:t>b</m:t>
            </m:r>
          </m:sub>
        </m:sSub>
      </m:oMath>
      <w:r>
        <w:rPr>
          <w:rFonts w:ascii="Cambria" w:hAnsi="Cambria"/>
          <w:color w:val="000000"/>
        </w:rPr>
        <w:t xml:space="preserve"> </w:t>
      </w:r>
      <w:r>
        <w:rPr>
          <w:rFonts w:ascii="Cambria" w:hAnsi="Cambria"/>
          <w:color w:val="000000"/>
        </w:rPr>
        <w:t xml:space="preserve">at every in-support patient profile, the fraction of patients for whom a better-matched alternative exists under</w:t>
      </w:r>
      <w:r>
        <w:rPr>
          <w:rFonts w:ascii="Cambria" w:hAnsi="Cambria"/>
          <w:color w:val="000000"/>
        </w:rPr>
        <w:t xml:space="preserve"> </w:t>
      </w:r>
      <m:oMath>
        <m:sSubSup>
          <m:e>
            <m:r>
              <m:t>π</m:t>
            </m:r>
          </m:e>
          <m:sub>
            <m:r>
              <m:t>θ</m:t>
            </m:r>
          </m:sub>
          <m:sup>
            <m:r>
              <m:rPr>
                <m:sty m:val="p"/>
              </m:rPr>
              <m:t>*</m:t>
            </m:r>
          </m:sup>
        </m:sSubSup>
      </m:oMath>
      <w:r>
        <w:rPr>
          <w:rFonts w:ascii="Cambria" w:hAnsi="Cambria"/>
          <w:color w:val="000000"/>
        </w:rPr>
        <w:t xml:space="preserve"> </w:t>
      </w:r>
      <w:r>
        <w:rPr>
          <w:rFonts w:ascii="Cambria" w:hAnsi="Cambria"/>
          <w:color w:val="000000"/>
        </w:rPr>
        <w:t xml:space="preserve">is weakly smaller. Strict inequality follows when IMI(</w:t>
      </w:r>
      <m:oMath>
        <m:sSub>
          <m:e>
            <m:r>
              <m:t>π</m:t>
            </m:r>
          </m:e>
          <m:sub>
            <m:r>
              <m:t>b</m:t>
            </m:r>
          </m:sub>
        </m:sSub>
      </m:oMath>
      <w:r>
        <w:rPr>
          <w:rFonts w:ascii="Cambria" w:hAnsi="Cambria"/>
          <w:color w:val="000000"/>
        </w:rPr>
        <w:t xml:space="preserve">) &gt; 0 and there exists at least one WPAD pair in which the preferred intervention differs from the behavioral policy assignment.</w:t>
      </w:r>
      <w:r>
        <w:rPr>
          <w:rFonts w:ascii="Cambria" w:hAnsi="Cambria"/>
          <w:color w:val="000000"/>
        </w:rPr>
        <w:t xml:space="preserve"> </w:t>
      </w:r>
      <m:oMath>
        <m:r>
          <m:rPr>
            <m:sty m:val="p"/>
          </m:rPr>
          <m:t>▫</m:t>
        </m:r>
      </m:oMath>
    </w:p>
    <w:p>
      <w:pPr>
        <w:pStyle w:val="BodyText"/>
        <w:spacing w:line="360" w:lineRule="auto"/>
      </w:pPr>
      <w:r>
        <w:rPr>
          <w:rFonts w:ascii="Cambria" w:hAnsi="Cambria"/>
          <w:color w:val="000000"/>
        </w:rPr>
        <w:t xml:space="preserve">Scope. The inequality holds in expectation over the training distribution. For patient profiles outside the training support (positivity-violating covariate regions), the improvement guarantee does not apply. Manski partial identification bounds</w:t>
      </w:r>
      <w:r>
        <w:rPr>
          <w:rFonts w:ascii="Cambria" w:hAnsi="Cambria"/>
          <w:color w:val="000000"/>
          <w:vertAlign w:val="superscript"/>
        </w:rPr>
        <w:t xml:space="preserve">18</w:t>
      </w:r>
      <w:r>
        <w:rPr>
          <w:rFonts w:ascii="Cambria" w:hAnsi="Cambria"/>
          <w:color w:val="000000"/>
        </w:rPr>
        <w:t xml:space="preserve"> </w:t>
      </w:r>
      <w:r>
        <w:rPr>
          <w:rFonts w:ascii="Cambria" w:hAnsi="Cambria"/>
          <w:color w:val="000000"/>
        </w:rPr>
        <w:t xml:space="preserve">and conformal prediction intervals</w:t>
      </w:r>
      <w:r>
        <w:rPr>
          <w:rFonts w:ascii="Cambria" w:hAnsi="Cambria"/>
          <w:color w:val="000000"/>
          <w:vertAlign w:val="superscript"/>
        </w:rPr>
        <w:t xml:space="preserve">24</w:t>
      </w:r>
      <w:r>
        <w:rPr>
          <w:rFonts w:ascii="Cambria" w:hAnsi="Cambria"/>
          <w:color w:val="000000"/>
        </w:rPr>
        <w:t xml:space="preserve"> </w:t>
      </w:r>
      <w:r>
        <w:rPr>
          <w:rFonts w:ascii="Cambria" w:hAnsi="Cambria"/>
          <w:color w:val="000000"/>
        </w:rPr>
        <w:t xml:space="preserve">are provided in the main analysis to quantify uncertainty for these patients.</w:t>
      </w:r>
    </w:p>
    <w:p>
      <w:pPr>
        <w:spacing w:line="360" w:lineRule="auto"/>
      </w:pPr>
      <w:r>
        <w:rPr>
          <w:rFonts w:ascii="Cambria" w:hAnsi="Cambria"/>
          <w:color w:val="000000"/>
        </w:rPr>
        <w:pict>
          <v:rect style="width:0;height:1.5pt" o:hralign="center" o:hrstd="t" o:hr="t"/>
        </w:pict>
      </w:r>
    </w:p>
    <w:bookmarkEnd w:id="19"/>
    <w:bookmarkStart w:id="20" w:name="Xd00796bbbf9c9d697a93236f3c8abbcca1ff49a"/>
    <w:p>
      <w:pPr>
        <w:pStyle w:val="Heading2"/>
        <w:spacing w:line="360" w:lineRule="auto"/>
      </w:pPr>
      <w:r>
        <w:rPr>
          <w:rFonts w:ascii="Cambria" w:hAnsi="Cambria"/>
          <w:color w:val="000000"/>
        </w:rPr>
        <w:t xml:space="preserve">Theorem S2. DPO–DR-OPO Equivalence Theorem</w:t>
      </w:r>
    </w:p>
    <w:p>
      <w:pPr>
        <w:pStyle w:val="FirstParagraph"/>
        <w:spacing w:line="360" w:lineRule="auto"/>
      </w:pPr>
      <w:r>
        <w:rPr>
          <w:rFonts w:ascii="Cambria" w:hAnsi="Cambria"/>
          <w:color w:val="000000"/>
        </w:rPr>
        <w:t xml:space="preserve">Statement (informal). IPTW-weighted DPO, with the behavioral policy</w:t>
      </w:r>
      <w:r>
        <w:rPr>
          <w:rFonts w:ascii="Cambria" w:hAnsi="Cambria"/>
          <w:color w:val="000000"/>
        </w:rPr>
        <w:t xml:space="preserve"> </w:t>
      </w:r>
      <m:oMath>
        <m:sSub>
          <m:e>
            <m:r>
              <m:t>π</m:t>
            </m:r>
          </m:e>
          <m:sub>
            <m:r>
              <m:t>b</m:t>
            </m:r>
          </m:sub>
        </m:sSub>
      </m:oMath>
      <w:r>
        <w:rPr>
          <w:rFonts w:ascii="Cambria" w:hAnsi="Cambria"/>
          <w:color w:val="000000"/>
        </w:rPr>
        <w:t xml:space="preserve"> </w:t>
      </w:r>
      <w:r>
        <w:rPr>
          <w:rFonts w:ascii="Cambria" w:hAnsi="Cambria"/>
          <w:color w:val="000000"/>
        </w:rPr>
        <w:t xml:space="preserve">as the reference distribution, is equivalent to doubly robust off-policy optimization (DR-OPO) at the policy initialization point</w:t>
      </w:r>
      <w:r>
        <w:rPr>
          <w:rFonts w:ascii="Cambria" w:hAnsi="Cambria"/>
          <w:color w:val="000000"/>
        </w:rPr>
        <w:t xml:space="preserve"> </w:t>
      </w:r>
      <m:oMath>
        <m:sSub>
          <m:e>
            <m:r>
              <m:t>π</m:t>
            </m:r>
          </m:e>
          <m:sub>
            <m:r>
              <m:t>θ</m:t>
            </m:r>
          </m:sub>
        </m:sSub>
        <m:r>
          <m:rPr>
            <m:sty m:val="p"/>
          </m:rPr>
          <m:t>=</m:t>
        </m:r>
        <m:sSub>
          <m:e>
            <m:r>
              <m:t>π</m:t>
            </m:r>
          </m:e>
          <m:sub>
            <m:r>
              <m:t>b</m:t>
            </m:r>
          </m:sub>
        </m:sSub>
      </m:oMath>
      <w:r>
        <w:rPr>
          <w:rFonts w:ascii="Cambria" w:hAnsi="Cambria"/>
          <w:color w:val="000000"/>
        </w:rPr>
        <w:t xml:space="preserve">, and approximates DR-OPO throughout training to order</w:t>
      </w:r>
      <w:r>
        <w:rPr>
          <w:rFonts w:ascii="Cambria" w:hAnsi="Cambria"/>
          <w:color w:val="000000"/>
        </w:rPr>
        <w:t xml:space="preserve"> </w:t>
      </w:r>
      <m:oMath>
        <m:r>
          <m:t>O</m:t>
        </m:r>
        <m:r>
          <m:rPr>
            <m:sty m:val="p"/>
          </m:rPr>
          <m:t>(</m:t>
        </m:r>
        <m:r>
          <m:rPr>
            <m:nor/>
            <m:sty m:val="p"/>
          </m:rPr>
          <m:t>KL</m:t>
        </m:r>
        <m:r>
          <m:rPr>
            <m:sty m:val="p"/>
          </m:rPr>
          <m:t>(</m:t>
        </m:r>
        <m:sSub>
          <m:e>
            <m:r>
              <m:t>π</m:t>
            </m:r>
          </m:e>
          <m:sub>
            <m:r>
              <m:t>θ</m:t>
            </m:r>
          </m:sub>
        </m:sSub>
        <m:r>
          <m:rPr>
            <m:sty m:val="p"/>
          </m:rPr>
          <m:t>∥</m:t>
        </m:r>
        <m:sSub>
          <m:e>
            <m:r>
              <m:t>π</m:t>
            </m:r>
          </m:e>
          <m:sub>
            <m:r>
              <m:t>b</m:t>
            </m:r>
          </m:sub>
        </m:sSub>
        <m:r>
          <m:rPr>
            <m:sty m:val="p"/>
          </m:rPr>
          <m:t>)</m:t>
        </m:r>
        <m:r>
          <m:rPr>
            <m:sty m:val="p"/>
          </m:rPr>
          <m:t>)</m:t>
        </m:r>
      </m:oMath>
      <w:r>
        <w:rPr>
          <w:rFonts w:ascii="Cambria" w:hAnsi="Cambria"/>
          <w:color w:val="000000"/>
        </w:rPr>
        <w:t xml:space="preserve">.</w:t>
      </w:r>
    </w:p>
    <w:p>
      <w:pPr>
        <w:pStyle w:val="BodyText"/>
        <w:spacing w:line="360" w:lineRule="auto"/>
      </w:pPr>
      <w:r>
        <w:rPr>
          <w:rFonts w:ascii="Cambria" w:hAnsi="Cambria"/>
          <w:color w:val="000000"/>
        </w:rPr>
        <w:t xml:space="preserve">Intuition. DPO’s implicit reward function is</w:t>
      </w:r>
      <w:r>
        <w:rPr>
          <w:rFonts w:ascii="Cambria" w:hAnsi="Cambria"/>
          <w:color w:val="000000"/>
        </w:rPr>
        <w:t xml:space="preserve"> </w:t>
      </w:r>
      <m:oMath>
        <m:sSub>
          <m:e>
            <m:r>
              <m:t>r</m:t>
            </m:r>
          </m:e>
          <m:sub>
            <m:r>
              <m:t>θ</m:t>
            </m:r>
          </m:sub>
        </m:sSub>
        <m:r>
          <m:rPr>
            <m:sty m:val="p"/>
          </m:rPr>
          <m:t>(</m:t>
        </m:r>
        <m:r>
          <m:t>x</m:t>
        </m:r>
        <m:r>
          <m:rPr>
            <m:sty m:val="p"/>
          </m:rPr>
          <m:t>,</m:t>
        </m:r>
        <m:r>
          <m:t>y</m:t>
        </m:r>
        <m:r>
          <m:rPr>
            <m:sty m:val="p"/>
          </m:rPr>
          <m:t>)</m:t>
        </m:r>
        <m:r>
          <m:rPr>
            <m:sty m:val="p"/>
          </m:rPr>
          <m:t>=</m:t>
        </m:r>
        <m:r>
          <m:t>β</m:t>
        </m:r>
        <m:r>
          <m:rPr>
            <m:sty m:val="p"/>
          </m:rPr>
          <m:t>log</m:t>
        </m:r>
        <m:r>
          <m:rPr>
            <m:sty m:val="p"/>
          </m:rPr>
          <m:t>(</m:t>
        </m:r>
        <m:sSub>
          <m:e>
            <m:r>
              <m:t>π</m:t>
            </m:r>
          </m:e>
          <m:sub>
            <m:r>
              <m:t>θ</m:t>
            </m:r>
          </m:sub>
        </m:sSub>
        <m:r>
          <m:rPr>
            <m:sty m:val="p"/>
          </m:rPr>
          <m:t>(</m:t>
        </m:r>
        <m:r>
          <m:t>y</m:t>
        </m:r>
        <m:r>
          <m:rPr>
            <m:sty m:val="p"/>
          </m:rPr>
          <m:t>∣</m:t>
        </m:r>
        <m:r>
          <m:t>x</m:t>
        </m:r>
        <m:r>
          <m:rPr>
            <m:sty m:val="p"/>
          </m:rPr>
          <m:t>)</m:t>
        </m:r>
        <m:r>
          <m:rPr>
            <m:sty m:val="p"/>
          </m:rPr>
          <m:t>/</m:t>
        </m:r>
        <m:sSub>
          <m:e>
            <m:r>
              <m:t>π</m:t>
            </m:r>
          </m:e>
          <m:sub>
            <m:r>
              <m:t>b</m:t>
            </m:r>
          </m:sub>
        </m:sSub>
        <m:r>
          <m:rPr>
            <m:sty m:val="p"/>
          </m:rPr>
          <m:t>(</m:t>
        </m:r>
        <m:r>
          <m:t>y</m:t>
        </m:r>
        <m:r>
          <m:rPr>
            <m:sty m:val="p"/>
          </m:rPr>
          <m:t>∣</m:t>
        </m:r>
        <m:r>
          <m:t>x</m:t>
        </m:r>
        <m:r>
          <m:rPr>
            <m:sty m:val="p"/>
          </m:rPr>
          <m:t>)</m:t>
        </m:r>
        <m:r>
          <m:rPr>
            <m:sty m:val="p"/>
          </m:rPr>
          <m:t>)</m:t>
        </m:r>
      </m:oMath>
      <w:r>
        <w:rPr>
          <w:rFonts w:ascii="Cambria" w:hAnsi="Cambria"/>
          <w:color w:val="000000"/>
        </w:rPr>
        <w:t xml:space="preserve">. This log-ratio is precisely the importance-sampling weight used in policy gradient estimators for off-policy evaluation. At initialization (</w:t>
      </w:r>
      <m:oMath>
        <m:sSub>
          <m:e>
            <m:r>
              <m:t>π</m:t>
            </m:r>
          </m:e>
          <m:sub>
            <m:r>
              <m:t>θ</m:t>
            </m:r>
          </m:sub>
        </m:sSub>
        <m:r>
          <m:rPr>
            <m:sty m:val="p"/>
          </m:rPr>
          <m:t>=</m:t>
        </m:r>
        <m:sSub>
          <m:e>
            <m:r>
              <m:t>π</m:t>
            </m:r>
          </m:e>
          <m:sub>
            <m:r>
              <m:t>b</m:t>
            </m:r>
          </m:sub>
        </m:sSub>
      </m:oMath>
      <w:r>
        <w:rPr>
          <w:rFonts w:ascii="Cambria" w:hAnsi="Cambria"/>
          <w:color w:val="000000"/>
        </w:rPr>
        <w:t xml:space="preserve">), the importance-sampling weights are 1 and the DPO gradient is equal to the DR-OPO gradient, where the preference signal serves as the outcome model and the IPTW propensity estimates serve as the density ratio correction. The</w:t>
      </w:r>
      <w:r>
        <w:rPr>
          <w:rFonts w:ascii="Cambria" w:hAnsi="Cambria"/>
          <w:color w:val="000000"/>
        </w:rPr>
        <w:t xml:space="preserve"> </w:t>
      </w:r>
      <m:oMath>
        <m:r>
          <m:t>β</m:t>
        </m:r>
      </m:oMath>
      <w:r>
        <w:rPr>
          <w:rFonts w:ascii="Cambria" w:hAnsi="Cambria"/>
          <w:color w:val="000000"/>
        </w:rPr>
        <w:t xml:space="preserve"> </w:t>
      </w:r>
      <w:r>
        <w:rPr>
          <w:rFonts w:ascii="Cambria" w:hAnsi="Cambria"/>
          <w:color w:val="000000"/>
        </w:rPr>
        <w:t xml:space="preserve">regularization parameter acts as the bias-variance tradeoff in the doubly robust estimator: larger</w:t>
      </w:r>
      <w:r>
        <w:rPr>
          <w:rFonts w:ascii="Cambria" w:hAnsi="Cambria"/>
          <w:color w:val="000000"/>
        </w:rPr>
        <w:t xml:space="preserve"> </w:t>
      </w:r>
      <m:oMath>
        <m:r>
          <m:t>β</m:t>
        </m:r>
      </m:oMath>
      <w:r>
        <w:rPr>
          <w:rFonts w:ascii="Cambria" w:hAnsi="Cambria"/>
          <w:color w:val="000000"/>
        </w:rPr>
        <w:t xml:space="preserve"> </w:t>
      </w:r>
      <w:r>
        <w:rPr>
          <w:rFonts w:ascii="Cambria" w:hAnsi="Cambria"/>
          <w:color w:val="000000"/>
        </w:rPr>
        <w:t xml:space="preserve">constrains</w:t>
      </w:r>
      <w:r>
        <w:rPr>
          <w:rFonts w:ascii="Cambria" w:hAnsi="Cambria"/>
          <w:color w:val="000000"/>
        </w:rPr>
        <w:t xml:space="preserve"> </w:t>
      </w:r>
      <m:oMath>
        <m:sSub>
          <m:e>
            <m:r>
              <m:t>π</m:t>
            </m:r>
          </m:e>
          <m:sub>
            <m:r>
              <m:t>θ</m:t>
            </m:r>
          </m:sub>
        </m:sSub>
      </m:oMath>
      <w:r>
        <w:rPr>
          <w:rFonts w:ascii="Cambria" w:hAnsi="Cambria"/>
          <w:color w:val="000000"/>
        </w:rPr>
        <w:t xml:space="preserve"> </w:t>
      </w:r>
      <w:r>
        <w:rPr>
          <w:rFonts w:ascii="Cambria" w:hAnsi="Cambria"/>
          <w:color w:val="000000"/>
        </w:rPr>
        <w:t xml:space="preserve">close to</w:t>
      </w:r>
      <w:r>
        <w:rPr>
          <w:rFonts w:ascii="Cambria" w:hAnsi="Cambria"/>
          <w:color w:val="000000"/>
        </w:rPr>
        <w:t xml:space="preserve"> </w:t>
      </w:r>
      <m:oMath>
        <m:sSub>
          <m:e>
            <m:r>
              <m:t>π</m:t>
            </m:r>
          </m:e>
          <m:sub>
            <m:r>
              <m:t>b</m:t>
            </m:r>
          </m:sub>
        </m:sSub>
      </m:oMath>
      <w:r>
        <w:rPr>
          <w:rFonts w:ascii="Cambria" w:hAnsi="Cambria"/>
          <w:color w:val="000000"/>
        </w:rPr>
        <w:t xml:space="preserve"> </w:t>
      </w:r>
      <w:r>
        <w:rPr>
          <w:rFonts w:ascii="Cambria" w:hAnsi="Cambria"/>
          <w:color w:val="000000"/>
        </w:rPr>
        <w:t xml:space="preserve">(lower variance, higher bias toward behavioral policy performance); smaller</w:t>
      </w:r>
      <w:r>
        <w:rPr>
          <w:rFonts w:ascii="Cambria" w:hAnsi="Cambria"/>
          <w:color w:val="000000"/>
        </w:rPr>
        <w:t xml:space="preserve"> </w:t>
      </w:r>
      <m:oMath>
        <m:r>
          <m:t>β</m:t>
        </m:r>
      </m:oMath>
      <w:r>
        <w:rPr>
          <w:rFonts w:ascii="Cambria" w:hAnsi="Cambria"/>
          <w:color w:val="000000"/>
        </w:rPr>
        <w:t xml:space="preserve"> </w:t>
      </w:r>
      <w:r>
        <w:rPr>
          <w:rFonts w:ascii="Cambria" w:hAnsi="Cambria"/>
          <w:color w:val="000000"/>
        </w:rPr>
        <w:t xml:space="preserve">allows larger policy deviation (lower bias, higher variance from distribution mismatch).</w:t>
      </w:r>
    </w:p>
    <w:p>
      <w:pPr>
        <w:pStyle w:val="BodyText"/>
        <w:spacing w:line="360" w:lineRule="auto"/>
      </w:pPr>
      <w:r>
        <w:rPr>
          <w:rFonts w:ascii="Cambria" w:hAnsi="Cambria"/>
          <w:color w:val="000000"/>
        </w:rPr>
        <w:t xml:space="preserve">As training progresses and</w:t>
      </w:r>
      <w:r>
        <w:rPr>
          <w:rFonts w:ascii="Cambria" w:hAnsi="Cambria"/>
          <w:color w:val="000000"/>
        </w:rPr>
        <w:t xml:space="preserve"> </w:t>
      </w:r>
      <m:oMath>
        <m:sSub>
          <m:e>
            <m:r>
              <m:t>π</m:t>
            </m:r>
          </m:e>
          <m:sub>
            <m:r>
              <m:t>θ</m:t>
            </m:r>
          </m:sub>
        </m:sSub>
      </m:oMath>
      <w:r>
        <w:rPr>
          <w:rFonts w:ascii="Cambria" w:hAnsi="Cambria"/>
          <w:color w:val="000000"/>
        </w:rPr>
        <w:t xml:space="preserve"> </w:t>
      </w:r>
      <w:r>
        <w:rPr>
          <w:rFonts w:ascii="Cambria" w:hAnsi="Cambria"/>
          <w:color w:val="000000"/>
        </w:rPr>
        <w:t xml:space="preserve">diverges from</w:t>
      </w:r>
      <w:r>
        <w:rPr>
          <w:rFonts w:ascii="Cambria" w:hAnsi="Cambria"/>
          <w:color w:val="000000"/>
        </w:rPr>
        <w:t xml:space="preserve"> </w:t>
      </w:r>
      <m:oMath>
        <m:sSub>
          <m:e>
            <m:r>
              <m:t>π</m:t>
            </m:r>
          </m:e>
          <m:sub>
            <m:r>
              <m:t>b</m:t>
            </m:r>
          </m:sub>
        </m:sSub>
      </m:oMath>
      <w:r>
        <w:rPr>
          <w:rFonts w:ascii="Cambria" w:hAnsi="Cambria"/>
          <w:color w:val="000000"/>
        </w:rPr>
        <w:t xml:space="preserve">, the IS-weight correction grows, and the approximation degrades proportionally to</w:t>
      </w:r>
      <w:r>
        <w:rPr>
          <w:rFonts w:ascii="Cambria" w:hAnsi="Cambria"/>
          <w:color w:val="000000"/>
        </w:rPr>
        <w:t xml:space="preserve"> </w:t>
      </w:r>
      <m:oMath>
        <m:r>
          <m:rPr>
            <m:nor/>
            <m:sty m:val="p"/>
          </m:rPr>
          <m:t>KL</m:t>
        </m:r>
        <m:r>
          <m:rPr>
            <m:sty m:val="p"/>
          </m:rPr>
          <m:t>(</m:t>
        </m:r>
        <m:sSub>
          <m:e>
            <m:r>
              <m:t>π</m:t>
            </m:r>
          </m:e>
          <m:sub>
            <m:r>
              <m:t>θ</m:t>
            </m:r>
          </m:sub>
        </m:sSub>
        <m:r>
          <m:rPr>
            <m:sty m:val="p"/>
          </m:rPr>
          <m:t>∥</m:t>
        </m:r>
        <m:sSub>
          <m:e>
            <m:r>
              <m:t>π</m:t>
            </m:r>
          </m:e>
          <m:sub>
            <m:r>
              <m:t>b</m:t>
            </m:r>
          </m:sub>
        </m:sSub>
        <m:r>
          <m:rPr>
            <m:sty m:val="p"/>
          </m:rPr>
          <m:t>)</m:t>
        </m:r>
      </m:oMath>
      <w:r>
        <w:rPr>
          <w:rFonts w:ascii="Cambria" w:hAnsi="Cambria"/>
          <w:color w:val="000000"/>
        </w:rPr>
        <w:t xml:space="preserve">. The abstention mechanism (Algorithm S2, step 4) preserves the regime in which the KL divergence is small — the regime in which the DPO–DR-OPO correspondence holds most tightly — by deferring to behavioral routing when the preference margin is low.</w:t>
      </w:r>
    </w:p>
    <w:p>
      <w:pPr>
        <w:pStyle w:val="BodyText"/>
        <w:spacing w:line="360" w:lineRule="auto"/>
      </w:pPr>
      <w:r>
        <w:rPr>
          <w:rFonts w:ascii="Cambria" w:hAnsi="Cambria"/>
          <w:color w:val="000000"/>
        </w:rPr>
        <w:t xml:space="preserve">Formal grounding. The doubly robust policy gradient derivation follows Dudík et al. (2011)</w:t>
      </w:r>
      <w:r>
        <w:rPr>
          <w:rFonts w:ascii="Cambria" w:hAnsi="Cambria"/>
          <w:color w:val="000000"/>
          <w:vertAlign w:val="superscript"/>
        </w:rPr>
        <w:t xml:space="preserve">25</w:t>
      </w:r>
      <w:r>
        <w:rPr>
          <w:rFonts w:ascii="Cambria" w:hAnsi="Cambria"/>
          <w:color w:val="000000"/>
        </w:rPr>
        <w:t xml:space="preserve"> </w:t>
      </w:r>
      <w:r>
        <w:rPr>
          <w:rFonts w:ascii="Cambria" w:hAnsi="Cambria"/>
          <w:color w:val="000000"/>
        </w:rPr>
        <w:t xml:space="preserve">and Farajtabar et al. (2018);</w:t>
      </w:r>
      <w:r>
        <w:rPr>
          <w:rFonts w:ascii="Cambria" w:hAnsi="Cambria"/>
          <w:color w:val="000000"/>
          <w:vertAlign w:val="superscript"/>
        </w:rPr>
        <w:t xml:space="preserve">26</w:t>
      </w:r>
      <w:r>
        <w:rPr>
          <w:rFonts w:ascii="Cambria" w:hAnsi="Cambria"/>
          <w:color w:val="000000"/>
        </w:rPr>
        <w:t xml:space="preserve"> </w:t>
      </w:r>
      <w:r>
        <w:rPr>
          <w:rFonts w:ascii="Cambria" w:hAnsi="Cambria"/>
          <w:color w:val="000000"/>
        </w:rPr>
        <w:t xml:space="preserve">the DPO equivalence follows from extension of Rafailov et al. (2023) Theorem 1</w:t>
      </w:r>
      <w:r>
        <w:rPr>
          <w:rFonts w:ascii="Cambria" w:hAnsi="Cambria"/>
          <w:color w:val="000000"/>
          <w:vertAlign w:val="superscript"/>
        </w:rPr>
        <w:t xml:space="preserve">19</w:t>
      </w:r>
      <w:r>
        <w:rPr>
          <w:rFonts w:ascii="Cambria" w:hAnsi="Cambria"/>
          <w:color w:val="000000"/>
        </w:rPr>
        <w:t xml:space="preserve"> </w:t>
      </w:r>
      <w:r>
        <w:rPr>
          <w:rFonts w:ascii="Cambria" w:hAnsi="Cambria"/>
          <w:color w:val="000000"/>
        </w:rPr>
        <w:t xml:space="preserve">to importance-weighted preference pairs. The formal statement and full proof are available in the public code repository.</w:t>
      </w:r>
    </w:p>
    <w:p>
      <w:pPr>
        <w:pStyle w:val="BodyText"/>
        <w:spacing w:line="360" w:lineRule="auto"/>
      </w:pPr>
      <w:r>
        <w:rPr>
          <w:rFonts w:ascii="Cambria" w:hAnsi="Cambria"/>
          <w:color w:val="000000"/>
        </w:rPr>
        <w:t xml:space="preserve">Implication for PEARL. Because IPTW-DPO inherits the convergence guarantees of DR-OPO at initialization, PEARL does not require separate Bellman iteration or online policy rollouts, which are computationally expensive and ethically problematic in a clinical setting (requiring intentional exploration over patients). The DPO training procedure achieves the same theoretical guarantees via offline preference learning from pre-collected WPAD pairs.</w:t>
      </w:r>
    </w:p>
    <w:p>
      <w:pPr>
        <w:spacing w:line="360" w:lineRule="auto"/>
      </w:pPr>
      <w:r>
        <w:rPr>
          <w:rFonts w:ascii="Cambria" w:hAnsi="Cambria"/>
          <w:color w:val="000000"/>
        </w:rPr>
        <w:pict>
          <v:rect style="width:0;height:1.5pt" o:hralign="center" o:hrstd="t" o:hr="t"/>
        </w:pict>
      </w:r>
    </w:p>
    <w:bookmarkEnd w:id="20"/>
    <w:bookmarkStart w:id="21" w:name="appendix-figure-legends"/>
    <w:p>
      <w:pPr>
        <w:pStyle w:val="Heading2"/>
        <w:spacing w:line="360" w:lineRule="auto"/>
      </w:pPr>
      <w:r>
        <w:rPr>
          <w:rFonts w:ascii="Cambria" w:hAnsi="Cambria"/>
          <w:color w:val="000000"/>
        </w:rPr>
        <w:t xml:space="preserve">Appendix Figure Legends</w:t>
      </w:r>
    </w:p>
    <w:p>
      <w:pPr>
        <w:pStyle w:val="FirstParagraph"/>
        <w:spacing w:line="360" w:lineRule="auto"/>
      </w:pPr>
      <w:r>
        <w:rPr>
          <w:rFonts w:ascii="Cambria" w:hAnsi="Cambria"/>
          <w:color w:val="000000"/>
        </w:rPr>
        <w:t xml:space="preserve">Appendix Figure 1. Patient flow diagram. Patients were drawn from the predicted-risk rising stratum (70th–90th percentile of 12-month cost trajectory, 2023–2025). Of 39,317 patients assessed, 34,971 (89.0%) had complete administrative identifier linkage and were included; 4,346 were excluded for incomplete linkage and did not differ significantly from included patients on clinical characteristics. The included cohort was split 80/20 into a training set (N = 27,976) and a held-out test set (N = 6,995) with no model fitting performed on the test set. Within the training set, staggered ACO onboarding (Type 1 WPAD) yielded 1,707 eligible patient-window pairs; 622 met the primary pair criteria (Y</w:t>
      </w:r>
      <w:r>
        <w:rPr>
          <w:rFonts w:ascii="Cambria" w:hAnsi="Cambria"/>
          <w:color w:val="000000"/>
          <w:vertAlign w:val="subscript"/>
        </w:rPr>
        <w:t xml:space="preserve">on</w:t>
      </w:r>
      <w:r>
        <w:rPr>
          <w:rFonts w:ascii="Cambria" w:hAnsi="Cambria"/>
          <w:color w:val="000000"/>
        </w:rPr>
        <w:t xml:space="preserve"> </w:t>
      </w:r>
      <w:r>
        <w:rPr>
          <w:rFonts w:ascii="Cambria" w:hAnsi="Cambria"/>
          <w:color w:val="000000"/>
        </w:rPr>
        <w:t xml:space="preserve">= 0, Y</w:t>
      </w:r>
      <w:r>
        <w:rPr>
          <w:rFonts w:ascii="Cambria" w:hAnsi="Cambria"/>
          <w:color w:val="000000"/>
          <w:vertAlign w:val="subscript"/>
        </w:rPr>
        <w:t xml:space="preserve">off</w:t>
      </w:r>
      <w:r>
        <w:rPr>
          <w:rFonts w:ascii="Cambria" w:hAnsi="Cambria"/>
          <w:color w:val="000000"/>
        </w:rPr>
        <w:t xml:space="preserve"> </w:t>
      </w:r>
      <w:r>
        <w:rPr>
          <w:rFonts w:ascii="Cambria" w:hAnsi="Cambria"/>
          <w:color w:val="000000"/>
        </w:rPr>
        <w:t xml:space="preserve">= 1) and 1,085 were weak-positive pairs (Y</w:t>
      </w:r>
      <w:r>
        <w:rPr>
          <w:rFonts w:ascii="Cambria" w:hAnsi="Cambria"/>
          <w:color w:val="000000"/>
          <w:vertAlign w:val="subscript"/>
        </w:rPr>
        <w:t xml:space="preserve">on</w:t>
      </w:r>
      <w:r>
        <w:rPr>
          <w:rFonts w:ascii="Cambria" w:hAnsi="Cambria"/>
          <w:color w:val="000000"/>
        </w:rPr>
        <w:t xml:space="preserve"> </w:t>
      </w:r>
      <w:r>
        <w:rPr>
          <w:rFonts w:ascii="Cambria" w:hAnsi="Cambria"/>
          <w:color w:val="000000"/>
        </w:rPr>
        <w:t xml:space="preserve">= 0, Y</w:t>
      </w:r>
      <w:r>
        <w:rPr>
          <w:rFonts w:ascii="Cambria" w:hAnsi="Cambria"/>
          <w:color w:val="000000"/>
          <w:vertAlign w:val="subscript"/>
        </w:rPr>
        <w:t xml:space="preserve">off</w:t>
      </w:r>
      <w:r>
        <w:rPr>
          <w:rFonts w:ascii="Cambria" w:hAnsi="Cambria"/>
          <w:color w:val="000000"/>
        </w:rPr>
        <w:t xml:space="preserve"> </w:t>
      </w:r>
      <w:r>
        <w:rPr>
          <w:rFonts w:ascii="Cambria" w:hAnsi="Cambria"/>
          <w:color w:val="000000"/>
        </w:rPr>
        <w:t xml:space="preserve">= 0). CHW waitlist pairs (Type 2) all overlapped with Type 1 and were excluded. Medicaid eligibility churn (Type 3) yielded 221 intent-to-treat secondary pairs. Cross-patient IPTW-weighted supplementary pairs totaled 14,380. The T5 falsification test triggered restriction of the primary analysis to Type 1 pairs; all other falsification tests (T1–T4) passed. WPAD = Within-Patient Administrative Discontinuity; IPTW = inverse probability of treatment weighting; DR-OPE = doubly robust off-policy evaluation; ESS = effective sample size.</w:t>
      </w:r>
    </w:p>
    <w:p>
      <w:pPr>
        <w:spacing w:line="360" w:lineRule="auto"/>
        <w:jc w:val="center"/>
      </w:pPr>
      <w:r>
        <w:drawing>
          <wp:inline>
            <wp:extent cx="5486400" cy="7135491"/>
            <wp:docPr id="1" name="Picture 1"/>
            <wp:cNvGraphicFramePr>
              <a:graphicFrameLocks noChangeAspect="1"/>
            </wp:cNvGraphicFramePr>
            <a:graphic>
              <a:graphicData uri="http://schemas.openxmlformats.org/drawingml/2006/picture">
                <pic:pic>
                  <pic:nvPicPr>
                    <pic:cNvPr id="0" name="fig_patient_flow.png"/>
                    <pic:cNvPicPr/>
                  </pic:nvPicPr>
                  <pic:blipFill>
                    <a:blip r:embed="rId9"/>
                    <a:stretch>
                      <a:fillRect/>
                    </a:stretch>
                  </pic:blipFill>
                  <pic:spPr>
                    <a:xfrm>
                      <a:off x="0" y="0"/>
                      <a:ext cx="5486400" cy="7135491"/>
                    </a:xfrm>
                    <a:prstGeom prst="rect"/>
                  </pic:spPr>
                </pic:pic>
              </a:graphicData>
            </a:graphic>
          </wp:inline>
        </w:drawing>
      </w:r>
    </w:p>
    <w:p>
      <w:pPr>
        <w:pStyle w:val="BodyText"/>
        <w:spacing w:line="360" w:lineRule="auto"/>
      </w:pPr>
      <w:r>
        <w:rPr>
          <w:rFonts w:ascii="Cambria" w:hAnsi="Cambria"/>
          <w:color w:val="000000"/>
        </w:rPr>
        <w:t xml:space="preserve">Appendix Figure 2. Intervention misalignment index (IMI) by area deprivation index (ADI) quintile (N = 4,087 held-out test patients with residential ADI linkage). IMI is the fraction of patients for whom the behavioral routing policy assigns a care management intervention type for which a better-matched alternative exists by a margin of at least 2 percentage points in predicted 90-day acute care event probability (ε = 0.02; lower IMI indicates better next best action selection). ADI quintile 1 represents the least socioeconomically deprived patients; quintile 5 represents the most deprived. IMI follows a non-monotonic pattern across ADI quintiles: 30.5% (Q1), 30.2% (Q2), 30.5% (Q3), 17.7% (Q4), 25.1% (Q5); the Kruskal-Wallis test was significant at q &lt; 0.05 after Benjamini-Hochberg correction, reflecting significant variation that is not explained by a simple socioeconomic gradient. Error bars represent 2,000-resample bootstrap 95% confidence intervals for the overall IMI (27.0%; 95% CI, 25.9%–28.1%); CIs for individual quintile estimates are reported in Appendix Table 1. Patients without residential ADI linkage (2,908 of 6,995 test-set patients; 41.6%) are excluded from this figure.</w:t>
      </w:r>
    </w:p>
    <w:p>
      <w:pPr>
        <w:spacing w:line="360" w:lineRule="auto"/>
        <w:jc w:val="center"/>
      </w:pPr>
      <w:r>
        <w:drawing>
          <wp:inline>
            <wp:extent cx="5486400" cy="3515671"/>
            <wp:docPr id="2" name="Picture 2"/>
            <wp:cNvGraphicFramePr>
              <a:graphicFrameLocks noChangeAspect="1"/>
            </wp:cNvGraphicFramePr>
            <a:graphic>
              <a:graphicData uri="http://schemas.openxmlformats.org/drawingml/2006/picture">
                <pic:pic>
                  <pic:nvPicPr>
                    <pic:cNvPr id="0" name="fig3_imi_equity.png"/>
                    <pic:cNvPicPr/>
                  </pic:nvPicPr>
                  <pic:blipFill>
                    <a:blip r:embed="rId10"/>
                    <a:stretch>
                      <a:fillRect/>
                    </a:stretch>
                  </pic:blipFill>
                  <pic:spPr>
                    <a:xfrm>
                      <a:off x="0" y="0"/>
                      <a:ext cx="5486400" cy="3515671"/>
                    </a:xfrm>
                    <a:prstGeom prst="rect"/>
                  </pic:spPr>
                </pic:pic>
              </a:graphicData>
            </a:graphic>
          </wp:inline>
        </w:drawing>
      </w:r>
    </w:p>
    <w:p>
      <w:pPr>
        <w:pStyle w:val="BodyText"/>
        <w:spacing w:line="360" w:lineRule="auto"/>
      </w:pPr>
      <w:r>
        <w:rPr>
          <w:rFonts w:ascii="Cambria" w:hAnsi="Cambria"/>
          <w:color w:val="000000"/>
        </w:rPr>
        <w:t xml:space="preserve">Appendix Figure 3. Camden Coalition analog reanalysis (N = 242 rising-risk patients matching the Camden enrollment analog profile: Charlson comorbidity index ≥ 4 and prior inpatient hospitalization ≥ 2 in the prior 6 months). Panel A is a stacked bar chart comparing the intervention type distribution under the Camden uniform intensive protocol (100% clinical complexity coordination) versus PEARL’s personalized next best action recommendations (43.4% mental health/behavioral health referral, 20.2% hypertension management, 8.3% heart failure management, 6.6% housing navigation, 5.8% care access coordination, 5.0% pulmonary management, and remaining types). Panel B is a probability density plot of the AIPW-simulated 30-day readmission rate difference from 1,000 bootstrap iterations (mean difference 15.1 percentage points; 90% prediction interval, 13.5%–16.8%), showing that PEARL-recommended assignments would produce a predicted readmission rate 15.1 percentage points lower than the Camden uniform intensive protocol under the fitted AIPW outcome model. The uniform intensive protocol produced IMI of 90.9% in this subgroup; PEARL’s personalized assignments redirect 90.9% of Camden-analog patients from the uniform protocol to a personalized intervention type. This simulation is an internally consistent mechanistic illustration — the outcome model was fitted on the same training population from which PEARL’s recommendations derive — and is not a counterfactual claim about the Camden trial itself.</w:t>
      </w:r>
    </w:p>
    <w:p>
      <w:pPr>
        <w:spacing w:line="360" w:lineRule="auto"/>
        <w:jc w:val="center"/>
      </w:pPr>
      <w:r>
        <w:drawing>
          <wp:inline>
            <wp:extent cx="5486400" cy="1803089"/>
            <wp:docPr id="3" name="Picture 3"/>
            <wp:cNvGraphicFramePr>
              <a:graphicFrameLocks noChangeAspect="1"/>
            </wp:cNvGraphicFramePr>
            <a:graphic>
              <a:graphicData uri="http://schemas.openxmlformats.org/drawingml/2006/picture">
                <pic:pic>
                  <pic:nvPicPr>
                    <pic:cNvPr id="0" name="fig4_camden.png"/>
                    <pic:cNvPicPr/>
                  </pic:nvPicPr>
                  <pic:blipFill>
                    <a:blip r:embed="rId11"/>
                    <a:stretch>
                      <a:fillRect/>
                    </a:stretch>
                  </pic:blipFill>
                  <pic:spPr>
                    <a:xfrm>
                      <a:off x="0" y="0"/>
                      <a:ext cx="5486400" cy="1803089"/>
                    </a:xfrm>
                    <a:prstGeom prst="rect"/>
                  </pic:spPr>
                </pic:pic>
              </a:graphicData>
            </a:graphic>
          </wp:inline>
        </w:drawing>
      </w:r>
    </w:p>
    <w:p>
      <w:pPr>
        <w:pStyle w:val="BodyText"/>
        <w:spacing w:line="360" w:lineRule="auto"/>
      </w:pPr>
      <w:r>
        <w:rPr>
          <w:rFonts w:ascii="Cambria" w:hAnsi="Cambria"/>
          <w:color w:val="000000"/>
        </w:rPr>
        <w:t xml:space="preserve">Appendix Figure 4. Pre-specified sensitivity analysis forest plot across 20 analyses. Panel A plots DR-OPE policy value for PEARL (MoE Router) for each of the 20 sensitivity analyses (blue points with 95% bootstrap CIs); the dashed red vertical line indicates the primary result (0.027). Panel B plots IMI for PEARL (MoE Router) across all 20 sensitivity analyses; the dashed red vertical line indicates the primary result (2.0%). Sensitivity analyses are grouped by parameter varied (y-axis labels): T_min window length, IPTW clip threshold, DPO β, outcome window, trajectory covariate, WPAD restriction, IMI threshold ε, and cross-parameter combinations. For the two evaluation-only parameters (IPTW clip and ε), points reflect re-evaluation of the trained model on the held-out test set. The ε = 0.01 analysis (starred) is classified as a major sensitivity finding (3,990% IMI magnitude change, direction change); all other analyses preserve DR-OPE direction (PEARL better than behavioral). Horizontal lines represent 95% bootstrap confidence intervals; stars denote major sensitivity findings per the pre-specified protocol.</w:t>
      </w:r>
    </w:p>
    <w:p>
      <w:pPr>
        <w:spacing w:line="360" w:lineRule="auto"/>
        <w:jc w:val="center"/>
      </w:pPr>
      <w:r>
        <w:drawing>
          <wp:inline>
            <wp:extent cx="5486400" cy="4538382"/>
            <wp:docPr id="4" name="Picture 4"/>
            <wp:cNvGraphicFramePr>
              <a:graphicFrameLocks noChangeAspect="1"/>
            </wp:cNvGraphicFramePr>
            <a:graphic>
              <a:graphicData uri="http://schemas.openxmlformats.org/drawingml/2006/picture">
                <pic:pic>
                  <pic:nvPicPr>
                    <pic:cNvPr id="0" name="fig5_sensitivity.png"/>
                    <pic:cNvPicPr/>
                  </pic:nvPicPr>
                  <pic:blipFill>
                    <a:blip r:embed="rId12"/>
                    <a:stretch>
                      <a:fillRect/>
                    </a:stretch>
                  </pic:blipFill>
                  <pic:spPr>
                    <a:xfrm>
                      <a:off x="0" y="0"/>
                      <a:ext cx="5486400" cy="4538382"/>
                    </a:xfrm>
                    <a:prstGeom prst="rect"/>
                  </pic:spPr>
                </pic:pic>
              </a:graphicData>
            </a:graphic>
          </wp:inline>
        </w:drawing>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ascii="Cambria" w:hAnsi="Cambria" w:cs="Cambria"/>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Cambria" w:hAnsi="Cambria"/>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2026-04-28T13:12:42Z</dcterms:created>
  <dcterms:modified xsi:type="dcterms:W3CDTF">2026-04-28T13:12:42Z</dcterms:modified>
</cp:coreProperties>
</file>

<file path=docProps/custom.xml><?xml version="1.0" encoding="utf-8"?>
<Properties xmlns="http://schemas.openxmlformats.org/officeDocument/2006/custom-properties" xmlns:vt="http://schemas.openxmlformats.org/officeDocument/2006/docPropsVTypes"/>
</file>