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DB" w:rsidRDefault="005A51DB" w:rsidP="005A51DB">
      <w:pPr>
        <w:spacing w:line="480" w:lineRule="auto"/>
      </w:pPr>
      <w:bookmarkStart w:id="0" w:name="_GoBack"/>
      <w:r w:rsidRPr="00B66CFE">
        <w:t>Table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2671"/>
        <w:gridCol w:w="2672"/>
        <w:gridCol w:w="2672"/>
      </w:tblGrid>
      <w:tr w:rsidR="005A51DB" w:rsidTr="00415EBC">
        <w:tc>
          <w:tcPr>
            <w:tcW w:w="1335" w:type="dxa"/>
            <w:tcBorders>
              <w:left w:val="nil"/>
              <w:bottom w:val="single" w:sz="4" w:space="0" w:color="auto"/>
            </w:tcBorders>
          </w:tcPr>
          <w:bookmarkEnd w:id="0"/>
          <w:p w:rsidR="005A51DB" w:rsidRDefault="005A51DB" w:rsidP="00415EBC">
            <w:pPr>
              <w:spacing w:line="480" w:lineRule="auto"/>
            </w:pPr>
            <w:r>
              <w:t>Modules</w:t>
            </w: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5A51DB" w:rsidRDefault="005A51DB" w:rsidP="00415EBC">
            <w:pPr>
              <w:spacing w:line="480" w:lineRule="auto"/>
            </w:pPr>
            <w:r>
              <w:t>prestress</w:t>
            </w:r>
          </w:p>
        </w:tc>
        <w:tc>
          <w:tcPr>
            <w:tcW w:w="2672" w:type="dxa"/>
            <w:tcBorders>
              <w:bottom w:val="single" w:sz="4" w:space="0" w:color="auto"/>
            </w:tcBorders>
          </w:tcPr>
          <w:p w:rsidR="005A51DB" w:rsidRDefault="005A51DB" w:rsidP="00415EBC">
            <w:pPr>
              <w:spacing w:line="480" w:lineRule="auto"/>
            </w:pPr>
            <w:r>
              <w:t>Post-control</w:t>
            </w:r>
          </w:p>
        </w:tc>
        <w:tc>
          <w:tcPr>
            <w:tcW w:w="2672" w:type="dxa"/>
            <w:tcBorders>
              <w:bottom w:val="single" w:sz="4" w:space="0" w:color="auto"/>
              <w:right w:val="nil"/>
            </w:tcBorders>
          </w:tcPr>
          <w:p w:rsidR="005A51DB" w:rsidRDefault="005A51DB" w:rsidP="00415EBC">
            <w:pPr>
              <w:spacing w:line="480" w:lineRule="auto"/>
            </w:pPr>
            <w:r>
              <w:t>Post-SPS</w:t>
            </w:r>
          </w:p>
        </w:tc>
      </w:tr>
      <w:tr w:rsidR="005A51DB" w:rsidTr="00415EBC">
        <w:tc>
          <w:tcPr>
            <w:tcW w:w="1335" w:type="dxa"/>
            <w:tcBorders>
              <w:left w:val="nil"/>
            </w:tcBorders>
          </w:tcPr>
          <w:p w:rsidR="005A51DB" w:rsidRDefault="005A51DB" w:rsidP="00415EBC">
            <w:pPr>
              <w:spacing w:line="480" w:lineRule="auto"/>
            </w:pPr>
            <w:r>
              <w:t>Anterior</w:t>
            </w:r>
          </w:p>
        </w:tc>
        <w:tc>
          <w:tcPr>
            <w:tcW w:w="2671" w:type="dxa"/>
            <w:tcBorders>
              <w:top w:val="single" w:sz="4" w:space="0" w:color="auto"/>
              <w:bottom w:val="nil"/>
              <w:right w:val="nil"/>
            </w:tcBorders>
          </w:tcPr>
          <w:p w:rsidR="005A51DB" w:rsidRDefault="005A51DB" w:rsidP="00415EBC">
            <w:pPr>
              <w:spacing w:line="480" w:lineRule="auto"/>
            </w:pPr>
            <w:proofErr w:type="spellStart"/>
            <w:r>
              <w:t>mOFC</w:t>
            </w:r>
            <w:proofErr w:type="spellEnd"/>
            <w:r>
              <w:t xml:space="preserve">, </w:t>
            </w:r>
            <w:proofErr w:type="spellStart"/>
            <w:r>
              <w:t>vOFC</w:t>
            </w:r>
            <w:proofErr w:type="spellEnd"/>
            <w:r>
              <w:t xml:space="preserve">, </w:t>
            </w:r>
            <w:proofErr w:type="spellStart"/>
            <w:r>
              <w:t>lOFC</w:t>
            </w:r>
            <w:proofErr w:type="spellEnd"/>
            <w:r>
              <w:t xml:space="preserve">, PL, ACC, </w:t>
            </w:r>
            <w:proofErr w:type="spellStart"/>
            <w:r>
              <w:t>rRSC</w:t>
            </w:r>
            <w:proofErr w:type="spellEnd"/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1DB" w:rsidRDefault="005A51DB" w:rsidP="00415EBC">
            <w:pPr>
              <w:spacing w:line="480" w:lineRule="auto"/>
            </w:pPr>
            <w:proofErr w:type="spellStart"/>
            <w:r>
              <w:t>mOFC</w:t>
            </w:r>
            <w:proofErr w:type="spellEnd"/>
            <w:r>
              <w:t xml:space="preserve">, </w:t>
            </w:r>
            <w:proofErr w:type="spellStart"/>
            <w:r>
              <w:t>vOFC</w:t>
            </w:r>
            <w:proofErr w:type="spellEnd"/>
            <w:r>
              <w:t xml:space="preserve">, </w:t>
            </w:r>
            <w:proofErr w:type="spellStart"/>
            <w:r>
              <w:t>lOFC</w:t>
            </w:r>
            <w:proofErr w:type="spellEnd"/>
            <w:r>
              <w:t>, PL,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51DB" w:rsidRDefault="005A51DB" w:rsidP="00415EBC">
            <w:pPr>
              <w:spacing w:line="480" w:lineRule="auto"/>
            </w:pPr>
            <w:proofErr w:type="spellStart"/>
            <w:r>
              <w:t>mOFC</w:t>
            </w:r>
            <w:proofErr w:type="spellEnd"/>
            <w:r>
              <w:t xml:space="preserve">, </w:t>
            </w:r>
            <w:proofErr w:type="spellStart"/>
            <w:r>
              <w:t>vOFC</w:t>
            </w:r>
            <w:proofErr w:type="spellEnd"/>
            <w:r>
              <w:t xml:space="preserve">, </w:t>
            </w:r>
            <w:proofErr w:type="spellStart"/>
            <w:r>
              <w:t>lOFC</w:t>
            </w:r>
            <w:proofErr w:type="spellEnd"/>
            <w:r>
              <w:t>, PL, ACC</w:t>
            </w:r>
          </w:p>
        </w:tc>
      </w:tr>
      <w:tr w:rsidR="005A51DB" w:rsidTr="00415EBC">
        <w:tc>
          <w:tcPr>
            <w:tcW w:w="1335" w:type="dxa"/>
            <w:tcBorders>
              <w:left w:val="nil"/>
            </w:tcBorders>
          </w:tcPr>
          <w:p w:rsidR="005A51DB" w:rsidRDefault="005A51DB" w:rsidP="00415EBC">
            <w:pPr>
              <w:spacing w:line="480" w:lineRule="auto"/>
            </w:pPr>
            <w:r>
              <w:t>Posterior</w:t>
            </w:r>
          </w:p>
        </w:tc>
        <w:tc>
          <w:tcPr>
            <w:tcW w:w="2671" w:type="dxa"/>
            <w:tcBorders>
              <w:top w:val="nil"/>
              <w:bottom w:val="nil"/>
              <w:right w:val="nil"/>
            </w:tcBorders>
          </w:tcPr>
          <w:p w:rsidR="005A51DB" w:rsidRDefault="005A51DB" w:rsidP="00415EBC">
            <w:pPr>
              <w:spacing w:line="480" w:lineRule="auto"/>
            </w:pPr>
            <w:r>
              <w:t xml:space="preserve">PC, TC, </w:t>
            </w:r>
            <w:proofErr w:type="spellStart"/>
            <w:r>
              <w:t>cRSC</w:t>
            </w:r>
            <w:proofErr w:type="spellEnd"/>
            <w:r>
              <w:t>,  Au, VC2, dCA3, dCA1, CA2, ACC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5A51DB" w:rsidRDefault="005A51DB" w:rsidP="00415EBC">
            <w:pPr>
              <w:spacing w:line="480" w:lineRule="auto"/>
            </w:pPr>
            <w:r>
              <w:t xml:space="preserve">PC, TC, </w:t>
            </w:r>
            <w:proofErr w:type="spellStart"/>
            <w:r>
              <w:t>cRSC</w:t>
            </w:r>
            <w:proofErr w:type="spellEnd"/>
            <w:r>
              <w:t xml:space="preserve">,  Au, VC2, dCA1, CA2, 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5A51DB" w:rsidRDefault="005A51DB" w:rsidP="00415EBC">
            <w:pPr>
              <w:spacing w:line="480" w:lineRule="auto"/>
            </w:pPr>
            <w:r>
              <w:t xml:space="preserve">PC, TC, </w:t>
            </w:r>
            <w:proofErr w:type="spellStart"/>
            <w:r>
              <w:t>cRSC</w:t>
            </w:r>
            <w:proofErr w:type="spellEnd"/>
            <w:r>
              <w:t>,  Au, VC2, dCA3, dCA1, CA2, ACC</w:t>
            </w:r>
          </w:p>
        </w:tc>
      </w:tr>
      <w:tr w:rsidR="005A51DB" w:rsidTr="00415EBC">
        <w:tc>
          <w:tcPr>
            <w:tcW w:w="1335" w:type="dxa"/>
            <w:tcBorders>
              <w:left w:val="nil"/>
              <w:bottom w:val="nil"/>
            </w:tcBorders>
          </w:tcPr>
          <w:p w:rsidR="005A51DB" w:rsidRDefault="005A51DB" w:rsidP="00415EBC">
            <w:pPr>
              <w:spacing w:line="480" w:lineRule="auto"/>
            </w:pPr>
            <w:r>
              <w:t>None</w:t>
            </w:r>
          </w:p>
        </w:tc>
        <w:tc>
          <w:tcPr>
            <w:tcW w:w="2671" w:type="dxa"/>
            <w:tcBorders>
              <w:top w:val="nil"/>
              <w:bottom w:val="nil"/>
              <w:right w:val="nil"/>
            </w:tcBorders>
          </w:tcPr>
          <w:p w:rsidR="005A51DB" w:rsidRDefault="005A51DB" w:rsidP="00415EBC">
            <w:pPr>
              <w:spacing w:line="480" w:lineRule="auto"/>
              <w:jc w:val="center"/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5A51DB" w:rsidRDefault="005A51DB" w:rsidP="00415EBC">
            <w:pPr>
              <w:spacing w:line="480" w:lineRule="auto"/>
            </w:pPr>
            <w:r>
              <w:t xml:space="preserve">ACC, </w:t>
            </w:r>
            <w:proofErr w:type="spellStart"/>
            <w:r>
              <w:t>rRSC</w:t>
            </w:r>
            <w:proofErr w:type="spellEnd"/>
            <w:r>
              <w:t>, dCA3</w:t>
            </w: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</w:tcPr>
          <w:p w:rsidR="005A51DB" w:rsidRDefault="005A51DB" w:rsidP="00415EBC">
            <w:pPr>
              <w:spacing w:line="480" w:lineRule="auto"/>
            </w:pPr>
            <w:proofErr w:type="spellStart"/>
            <w:r>
              <w:t>rRSC</w:t>
            </w:r>
            <w:proofErr w:type="spellEnd"/>
          </w:p>
        </w:tc>
      </w:tr>
      <w:tr w:rsidR="005A51DB" w:rsidTr="00415EBC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51DB" w:rsidRDefault="005A51DB" w:rsidP="00415EBC">
            <w:pPr>
              <w:spacing w:line="480" w:lineRule="auto"/>
            </w:pPr>
            <w:r w:rsidRPr="00266BD0">
              <w:rPr>
                <w:b/>
              </w:rPr>
              <w:t>Note</w:t>
            </w:r>
            <w:r>
              <w:t xml:space="preserve">. Node that comprised the different DMN modules in this study. </w:t>
            </w:r>
            <w:proofErr w:type="spellStart"/>
            <w:r w:rsidRPr="00830480">
              <w:t>mOFC</w:t>
            </w:r>
            <w:proofErr w:type="spellEnd"/>
            <w:r w:rsidRPr="00830480">
              <w:t xml:space="preserve">: medial orbitofrontal cortex, </w:t>
            </w:r>
            <w:proofErr w:type="spellStart"/>
            <w:r w:rsidRPr="00830480">
              <w:t>vOFC</w:t>
            </w:r>
            <w:proofErr w:type="spellEnd"/>
            <w:r w:rsidRPr="00830480">
              <w:t xml:space="preserve">: ventral orbitofrontal </w:t>
            </w:r>
            <w:r w:rsidRPr="00F36D70">
              <w:t xml:space="preserve">cortex, </w:t>
            </w:r>
            <w:proofErr w:type="spellStart"/>
            <w:r w:rsidRPr="00F36D70">
              <w:t>lOFC</w:t>
            </w:r>
            <w:proofErr w:type="spellEnd"/>
            <w:r w:rsidRPr="00F36D70">
              <w:t>: lateral orbitofrontal cortex, PL: prelimbic cortex, ACC: ant</w:t>
            </w:r>
            <w:r w:rsidRPr="00830480">
              <w:t>erior cingulate corte</w:t>
            </w:r>
            <w:r w:rsidRPr="00F36D70">
              <w:t>x</w:t>
            </w:r>
            <w:r w:rsidRPr="00830480">
              <w:t xml:space="preserve">, </w:t>
            </w:r>
            <w:proofErr w:type="spellStart"/>
            <w:r w:rsidRPr="00830480">
              <w:t>r</w:t>
            </w:r>
            <w:r>
              <w:t>RSC</w:t>
            </w:r>
            <w:proofErr w:type="spellEnd"/>
            <w:r>
              <w:t xml:space="preserve">: rostral </w:t>
            </w:r>
            <w:proofErr w:type="spellStart"/>
            <w:r>
              <w:t>retrosplenial</w:t>
            </w:r>
            <w:proofErr w:type="spellEnd"/>
            <w:r>
              <w:t xml:space="preserve"> cortex, </w:t>
            </w:r>
            <w:proofErr w:type="spellStart"/>
            <w:r>
              <w:t>cRSC</w:t>
            </w:r>
            <w:proofErr w:type="spellEnd"/>
            <w:r>
              <w:t xml:space="preserve">: caudal </w:t>
            </w:r>
            <w:proofErr w:type="spellStart"/>
            <w:r>
              <w:t>retrosplenial</w:t>
            </w:r>
            <w:proofErr w:type="spellEnd"/>
            <w:r>
              <w:t xml:space="preserve"> cortex, PC: parietal cortex, TC: temporal cortex, Au: Auditory cortex, dCA1: dorsal CA1, dCA3: dorsal CA3, VC2: secondary visual cortex</w:t>
            </w:r>
          </w:p>
        </w:tc>
      </w:tr>
    </w:tbl>
    <w:p w:rsidR="002E379B" w:rsidRDefault="002E379B"/>
    <w:sectPr w:rsidR="002E3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DB"/>
    <w:rsid w:val="002E379B"/>
    <w:rsid w:val="005A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A53A16-8961-4B09-9898-B4A5040B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5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1D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Dknox</dc:creator>
  <cp:keywords/>
  <dc:description/>
  <cp:lastModifiedBy>Dknox</cp:lastModifiedBy>
  <cp:revision>1</cp:revision>
  <dcterms:created xsi:type="dcterms:W3CDTF">2026-04-24T04:24:00Z</dcterms:created>
  <dcterms:modified xsi:type="dcterms:W3CDTF">2026-04-24T04:25:00Z</dcterms:modified>
</cp:coreProperties>
</file>