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26F28" w14:textId="34726E14" w:rsidR="00425509" w:rsidRPr="000B38E6" w:rsidRDefault="000B38E6" w:rsidP="00A6659C">
      <w:pPr>
        <w:spacing w:line="480" w:lineRule="auto"/>
        <w:rPr>
          <w:rFonts w:ascii="Calibri" w:hAnsi="Calibri" w:cs="Calibri"/>
          <w:b/>
          <w:bCs/>
        </w:rPr>
      </w:pPr>
      <w:r w:rsidRPr="000B38E6">
        <w:rPr>
          <w:rFonts w:ascii="Calibri" w:hAnsi="Calibri" w:cs="Calibri"/>
          <w:b/>
          <w:bCs/>
        </w:rPr>
        <w:t xml:space="preserve">Supplementary </w:t>
      </w:r>
      <w:r w:rsidR="00425509" w:rsidRPr="000B38E6">
        <w:rPr>
          <w:rFonts w:ascii="Calibri" w:hAnsi="Calibri" w:cs="Calibri"/>
          <w:b/>
          <w:bCs/>
        </w:rPr>
        <w:t>Methods</w:t>
      </w:r>
    </w:p>
    <w:p w14:paraId="06F603A5" w14:textId="77777777" w:rsidR="005B3D13" w:rsidRPr="00A6659C" w:rsidRDefault="005B3D13" w:rsidP="00A6659C">
      <w:pPr>
        <w:spacing w:line="480" w:lineRule="auto"/>
        <w:jc w:val="both"/>
        <w:rPr>
          <w:rFonts w:ascii="Calibri" w:hAnsi="Calibri" w:cs="Calibri"/>
          <w:b/>
          <w:bCs/>
        </w:rPr>
      </w:pPr>
      <w:r w:rsidRPr="00A6659C">
        <w:rPr>
          <w:rFonts w:ascii="Calibri" w:hAnsi="Calibri" w:cs="Calibri"/>
          <w:b/>
          <w:bCs/>
        </w:rPr>
        <w:t>Logistic mixed effects modeling</w:t>
      </w:r>
    </w:p>
    <w:p w14:paraId="26F688FD" w14:textId="77777777" w:rsidR="005B3D13" w:rsidRPr="00A6659C" w:rsidRDefault="005B3D13" w:rsidP="00A6659C">
      <w:pPr>
        <w:spacing w:line="480" w:lineRule="auto"/>
        <w:jc w:val="both"/>
        <w:rPr>
          <w:rFonts w:ascii="Calibri" w:hAnsi="Calibri" w:cs="Calibri"/>
        </w:rPr>
      </w:pPr>
      <w:r w:rsidRPr="00A6659C">
        <w:rPr>
          <w:rFonts w:ascii="Calibri" w:hAnsi="Calibri" w:cs="Calibri"/>
        </w:rPr>
        <w:t xml:space="preserve">To account for the hierarchical structure of the data and the non-independence of observations, we fitted mixed-effect logistic regression models for four binary outcomes, namely, qPCR-confirmed any malaria infection, qPCR </w:t>
      </w:r>
      <w:r w:rsidRPr="00A6659C">
        <w:rPr>
          <w:rFonts w:ascii="Calibri" w:hAnsi="Calibri" w:cs="Calibri"/>
          <w:i/>
          <w:iCs/>
        </w:rPr>
        <w:t>P. vivax</w:t>
      </w:r>
      <w:r w:rsidRPr="00A6659C">
        <w:rPr>
          <w:rFonts w:ascii="Calibri" w:hAnsi="Calibri" w:cs="Calibri"/>
        </w:rPr>
        <w:t xml:space="preserve"> infection, qPCR </w:t>
      </w:r>
      <w:r w:rsidRPr="00A6659C">
        <w:rPr>
          <w:rFonts w:ascii="Calibri" w:hAnsi="Calibri" w:cs="Calibri"/>
          <w:i/>
          <w:iCs/>
        </w:rPr>
        <w:t xml:space="preserve">P. falciparum </w:t>
      </w:r>
      <w:r w:rsidRPr="00A6659C">
        <w:rPr>
          <w:rFonts w:ascii="Calibri" w:hAnsi="Calibri" w:cs="Calibri"/>
        </w:rPr>
        <w:t>infection and seropositivity. Individuals are nested within households and households were nested within clusters, creating a three-level data structure. Accordingly, we specified random intercepts at both the cluster and household levels, with households treated as nested within clusters. This approach appropriately models within-household and within-cluster correlation, which makes the model a nested (multilevel) mixed-effects logistic regression model.</w:t>
      </w:r>
    </w:p>
    <w:p w14:paraId="5AF226A7" w14:textId="77777777" w:rsidR="005B3D13" w:rsidRPr="00A6659C" w:rsidRDefault="005B3D13" w:rsidP="00A6659C">
      <w:pPr>
        <w:spacing w:line="480" w:lineRule="auto"/>
        <w:jc w:val="both"/>
        <w:rPr>
          <w:rFonts w:ascii="Calibri" w:hAnsi="Calibri" w:cs="Calibri"/>
        </w:rPr>
      </w:pPr>
      <w:bookmarkStart w:id="0" w:name="_Hlk217730833"/>
      <w:r w:rsidRPr="00A6659C">
        <w:rPr>
          <w:rFonts w:ascii="Calibri" w:hAnsi="Calibri" w:cs="Calibri"/>
        </w:rPr>
        <w:t>The model is expressed as:</w:t>
      </w:r>
    </w:p>
    <w:p w14:paraId="16C1BF38" w14:textId="06CDA9A9" w:rsidR="005B3D13" w:rsidRPr="00A6659C" w:rsidRDefault="00000000" w:rsidP="00A6659C">
      <w:pPr>
        <w:spacing w:line="480" w:lineRule="auto"/>
        <w:jc w:val="center"/>
        <w:rPr>
          <w:rFonts w:ascii="Calibri" w:hAnsi="Calibri" w:cs="Calibri"/>
        </w:rPr>
      </w:pPr>
      <m:oMathPara>
        <m:oMath>
          <m:func>
            <m:funcPr>
              <m:ctrlPr>
                <w:rPr>
                  <w:rFonts w:ascii="Cambria Math" w:hAnsi="Cambria Math" w:cs="Calibri"/>
                  <w:i/>
                </w:rPr>
              </m:ctrlPr>
            </m:funcPr>
            <m:fName>
              <m:r>
                <w:rPr>
                  <w:rFonts w:ascii="Cambria Math" w:hAnsi="Cambria Math" w:cs="Calibri"/>
                </w:rPr>
                <m:t>logit</m:t>
              </m:r>
            </m:fName>
            <m:e>
              <m:r>
                <w:rPr>
                  <w:rFonts w:ascii="Cambria Math" w:hAnsi="Cambria Math" w:cs="Calibri"/>
                </w:rPr>
                <m:t>{</m:t>
              </m:r>
            </m:e>
          </m:func>
          <m:r>
            <w:rPr>
              <w:rFonts w:ascii="Cambria Math" w:hAnsi="Cambria Math" w:cs="Calibri"/>
            </w:rPr>
            <m:t>P(</m:t>
          </m:r>
          <m:sSub>
            <m:sSubPr>
              <m:ctrlPr>
                <w:rPr>
                  <w:rFonts w:ascii="Cambria Math" w:hAnsi="Cambria Math" w:cs="Calibri"/>
                  <w:i/>
                </w:rPr>
              </m:ctrlPr>
            </m:sSubPr>
            <m:e>
              <m:r>
                <w:rPr>
                  <w:rFonts w:ascii="Cambria Math" w:hAnsi="Cambria Math" w:cs="Calibri"/>
                </w:rPr>
                <m:t>Y</m:t>
              </m:r>
            </m:e>
            <m:sub>
              <m:r>
                <w:rPr>
                  <w:rFonts w:ascii="Cambria Math" w:hAnsi="Cambria Math" w:cs="Calibri"/>
                </w:rPr>
                <m:t>ijk</m:t>
              </m:r>
            </m:sub>
          </m:sSub>
          <m:r>
            <w:rPr>
              <w:rFonts w:ascii="Cambria Math" w:hAnsi="Cambria Math" w:cs="Calibri"/>
            </w:rPr>
            <m:t>=1)}=</m:t>
          </m:r>
          <m:sSub>
            <m:sSubPr>
              <m:ctrlPr>
                <w:rPr>
                  <w:rFonts w:ascii="Cambria Math" w:hAnsi="Cambria Math" w:cs="Calibri"/>
                  <w:i/>
                </w:rPr>
              </m:ctrlPr>
            </m:sSubPr>
            <m:e>
              <m:r>
                <w:rPr>
                  <w:rFonts w:ascii="Cambria Math" w:hAnsi="Cambria Math" w:cs="Calibri"/>
                </w:rPr>
                <m:t>β</m:t>
              </m:r>
            </m:e>
            <m:sub>
              <m:r>
                <w:rPr>
                  <w:rFonts w:ascii="Cambria Math" w:hAnsi="Cambria Math" w:cs="Calibri"/>
                </w:rPr>
                <m:t>0</m:t>
              </m:r>
            </m:sub>
          </m:sSub>
          <m:r>
            <w:rPr>
              <w:rFonts w:ascii="Cambria Math" w:hAnsi="Cambria Math" w:cs="Calibri"/>
            </w:rPr>
            <m:t>+β</m:t>
          </m:r>
          <m:sSub>
            <m:sSubPr>
              <m:ctrlPr>
                <w:rPr>
                  <w:rFonts w:ascii="Cambria Math" w:hAnsi="Cambria Math" w:cs="Calibri"/>
                  <w:i/>
                </w:rPr>
              </m:ctrlPr>
            </m:sSubPr>
            <m:e>
              <m:r>
                <w:rPr>
                  <w:rFonts w:ascii="Cambria Math" w:hAnsi="Cambria Math" w:cs="Calibri"/>
                </w:rPr>
                <m:t>X</m:t>
              </m:r>
            </m:e>
            <m:sub>
              <m:r>
                <w:rPr>
                  <w:rFonts w:ascii="Cambria Math" w:hAnsi="Cambria Math" w:cs="Calibri"/>
                </w:rPr>
                <m:t>ijk</m:t>
              </m:r>
            </m:sub>
          </m:sSub>
          <m:r>
            <w:rPr>
              <w:rFonts w:ascii="Cambria Math" w:hAnsi="Cambria Math" w:cs="Calibri"/>
            </w:rPr>
            <m:t>+</m:t>
          </m:r>
          <m:sSub>
            <m:sSubPr>
              <m:ctrlPr>
                <w:rPr>
                  <w:rFonts w:ascii="Cambria Math" w:hAnsi="Cambria Math" w:cs="Calibri"/>
                  <w:i/>
                </w:rPr>
              </m:ctrlPr>
            </m:sSubPr>
            <m:e>
              <m:r>
                <w:rPr>
                  <w:rFonts w:ascii="Cambria Math" w:hAnsi="Cambria Math" w:cs="Calibri"/>
                </w:rPr>
                <m:t>u</m:t>
              </m:r>
            </m:e>
            <m:sub>
              <m:r>
                <w:rPr>
                  <w:rFonts w:ascii="Cambria Math" w:hAnsi="Cambria Math" w:cs="Calibri"/>
                </w:rPr>
                <m:t>k</m:t>
              </m:r>
            </m:sub>
          </m:sSub>
          <m:r>
            <w:rPr>
              <w:rFonts w:ascii="Cambria Math" w:hAnsi="Cambria Math" w:cs="Calibri"/>
            </w:rPr>
            <m:t>+</m:t>
          </m:r>
          <m:sSub>
            <m:sSubPr>
              <m:ctrlPr>
                <w:rPr>
                  <w:rFonts w:ascii="Cambria Math" w:hAnsi="Cambria Math" w:cs="Calibri"/>
                  <w:i/>
                </w:rPr>
              </m:ctrlPr>
            </m:sSubPr>
            <m:e>
              <m:r>
                <w:rPr>
                  <w:rFonts w:ascii="Cambria Math" w:hAnsi="Cambria Math" w:cs="Calibri"/>
                </w:rPr>
                <m:t>v</m:t>
              </m:r>
            </m:e>
            <m:sub>
              <m:r>
                <w:rPr>
                  <w:rFonts w:ascii="Cambria Math" w:hAnsi="Cambria Math" w:cs="Calibri"/>
                </w:rPr>
                <m:t>jk</m:t>
              </m:r>
            </m:sub>
          </m:sSub>
        </m:oMath>
      </m:oMathPara>
    </w:p>
    <w:p w14:paraId="21D18610" w14:textId="29333134" w:rsidR="005B3D13" w:rsidRPr="00A6659C" w:rsidRDefault="005B3D13" w:rsidP="00A6659C">
      <w:pPr>
        <w:spacing w:line="480" w:lineRule="auto"/>
        <w:jc w:val="both"/>
        <w:rPr>
          <w:rFonts w:ascii="Calibri" w:hAnsi="Calibri" w:cs="Calibri"/>
        </w:rPr>
      </w:pPr>
      <w:r w:rsidRPr="00A6659C">
        <w:rPr>
          <w:rFonts w:ascii="Calibri" w:hAnsi="Calibri" w:cs="Calibri"/>
        </w:rPr>
        <w:t xml:space="preserve">Where </w:t>
      </w:r>
      <m:oMath>
        <m:sSub>
          <m:sSubPr>
            <m:ctrlPr>
              <w:rPr>
                <w:rFonts w:ascii="Cambria Math" w:hAnsi="Calibri" w:cs="Calibri"/>
                <w:i/>
              </w:rPr>
            </m:ctrlPr>
          </m:sSubPr>
          <m:e>
            <m:r>
              <w:rPr>
                <w:rFonts w:ascii="Cambria Math" w:hAnsi="Calibri" w:cs="Calibri"/>
              </w:rPr>
              <m:t>Y</m:t>
            </m:r>
          </m:e>
          <m:sub>
            <m:r>
              <w:rPr>
                <w:rFonts w:ascii="Cambria Math" w:hAnsi="Calibri" w:cs="Calibri"/>
              </w:rPr>
              <m:t>ijk</m:t>
            </m:r>
          </m:sub>
        </m:sSub>
      </m:oMath>
      <w:r w:rsidRPr="00A6659C">
        <w:rPr>
          <w:rFonts w:ascii="Calibri" w:hAnsi="Calibri" w:cs="Calibri"/>
        </w:rPr>
        <w:t xml:space="preserve"> denotes the outcome for individuals </w:t>
      </w:r>
      <w:r w:rsidRPr="00A6659C">
        <w:rPr>
          <w:rFonts w:ascii="Calibri" w:hAnsi="Calibri" w:cs="Calibri"/>
          <w:position w:val="-6"/>
        </w:rPr>
        <w:object w:dxaOrig="120" w:dyaOrig="200" w14:anchorId="1AFF3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10.2pt" o:ole="">
            <v:imagedata r:id="rId7" o:title=""/>
          </v:shape>
          <o:OLEObject Type="Embed" ProgID="Equation.DSMT4" ShapeID="_x0000_i1025" DrawAspect="Content" ObjectID="_1836387669" r:id="rId8"/>
        </w:object>
      </w:r>
      <w:r w:rsidRPr="00A6659C">
        <w:rPr>
          <w:rFonts w:ascii="Calibri" w:hAnsi="Calibri" w:cs="Calibri"/>
        </w:rPr>
        <w:t xml:space="preserve">in household </w:t>
      </w:r>
      <w:r w:rsidRPr="00A6659C">
        <w:rPr>
          <w:rFonts w:ascii="Calibri" w:hAnsi="Calibri" w:cs="Calibri"/>
          <w:position w:val="-8"/>
        </w:rPr>
        <w:object w:dxaOrig="160" w:dyaOrig="220" w14:anchorId="4B51CBE5">
          <v:shape id="_x0000_i1026" type="#_x0000_t75" style="width:7.5pt;height:10.2pt" o:ole="">
            <v:imagedata r:id="rId9" o:title=""/>
          </v:shape>
          <o:OLEObject Type="Embed" ProgID="Equation.DSMT4" ShapeID="_x0000_i1026" DrawAspect="Content" ObjectID="_1836387670" r:id="rId10"/>
        </w:object>
      </w:r>
      <w:r w:rsidRPr="00A6659C">
        <w:rPr>
          <w:rFonts w:ascii="Calibri" w:hAnsi="Calibri" w:cs="Calibri"/>
        </w:rPr>
        <w:t xml:space="preserve">within cluster </w:t>
      </w:r>
      <m:oMath>
        <m:r>
          <w:rPr>
            <w:rFonts w:ascii="Cambria Math" w:hAnsi="Calibri" w:cs="Calibri"/>
          </w:rPr>
          <m:t>k</m:t>
        </m:r>
      </m:oMath>
      <w:r w:rsidRPr="00A6659C">
        <w:rPr>
          <w:rFonts w:ascii="Calibri" w:hAnsi="Calibri" w:cs="Calibri"/>
        </w:rPr>
        <w:t xml:space="preserve">, </w:t>
      </w:r>
      <m:oMath>
        <m:sSub>
          <m:sSubPr>
            <m:ctrlPr>
              <w:rPr>
                <w:rFonts w:ascii="Cambria Math" w:hAnsi="Calibri" w:cs="Calibri"/>
                <w:i/>
              </w:rPr>
            </m:ctrlPr>
          </m:sSubPr>
          <m:e>
            <m:r>
              <w:rPr>
                <w:rFonts w:ascii="Cambria Math" w:hAnsi="Calibri" w:cs="Calibri"/>
              </w:rPr>
              <m:t>X</m:t>
            </m:r>
          </m:e>
          <m:sub>
            <m:r>
              <w:rPr>
                <w:rFonts w:ascii="Cambria Math" w:hAnsi="Calibri" w:cs="Calibri"/>
              </w:rPr>
              <m:t>ijk</m:t>
            </m:r>
          </m:sub>
        </m:sSub>
      </m:oMath>
      <w:r w:rsidRPr="00A6659C">
        <w:rPr>
          <w:rFonts w:ascii="Calibri" w:hAnsi="Calibri" w:cs="Calibri"/>
        </w:rPr>
        <w:t xml:space="preserve">represents the vector of fixed effect covariates, </w:t>
      </w:r>
      <m:oMath>
        <m:sSub>
          <m:sSubPr>
            <m:ctrlPr>
              <w:rPr>
                <w:rFonts w:ascii="Cambria Math" w:hAnsi="Calibri" w:cs="Calibri"/>
                <w:i/>
              </w:rPr>
            </m:ctrlPr>
          </m:sSubPr>
          <m:e>
            <m:r>
              <w:rPr>
                <w:rFonts w:ascii="Cambria Math" w:hAnsi="Calibri" w:cs="Calibri"/>
              </w:rPr>
              <m:t>v</m:t>
            </m:r>
          </m:e>
          <m:sub>
            <m:r>
              <w:rPr>
                <w:rFonts w:ascii="Cambria Math" w:hAnsi="Calibri" w:cs="Calibri"/>
              </w:rPr>
              <m:t>jk</m:t>
            </m:r>
          </m:sub>
        </m:sSub>
      </m:oMath>
      <w:r w:rsidRPr="00A6659C">
        <w:rPr>
          <w:rFonts w:ascii="Calibri" w:hAnsi="Calibri" w:cs="Calibri"/>
        </w:rPr>
        <w:t xml:space="preserve">is the random intercept for household </w:t>
      </w:r>
      <w:r w:rsidRPr="00A6659C">
        <w:rPr>
          <w:rFonts w:ascii="Calibri" w:hAnsi="Calibri" w:cs="Calibri"/>
          <w:position w:val="-8"/>
        </w:rPr>
        <w:object w:dxaOrig="160" w:dyaOrig="220" w14:anchorId="5D70E563">
          <v:shape id="_x0000_i1027" type="#_x0000_t75" style="width:7.5pt;height:10.2pt" o:ole="">
            <v:imagedata r:id="rId9" o:title=""/>
          </v:shape>
          <o:OLEObject Type="Embed" ProgID="Equation.DSMT4" ShapeID="_x0000_i1027" DrawAspect="Content" ObjectID="_1836387671" r:id="rId11"/>
        </w:object>
      </w:r>
      <w:r w:rsidRPr="00A6659C">
        <w:rPr>
          <w:rFonts w:ascii="Calibri" w:hAnsi="Calibri" w:cs="Calibri"/>
        </w:rPr>
        <w:t xml:space="preserve">nested within cluster </w:t>
      </w:r>
      <m:oMath>
        <m:r>
          <w:rPr>
            <w:rFonts w:ascii="Cambria Math" w:hAnsi="Calibri" w:cs="Calibri"/>
          </w:rPr>
          <m:t>k</m:t>
        </m:r>
      </m:oMath>
      <w:r w:rsidRPr="00A6659C">
        <w:rPr>
          <w:rFonts w:ascii="Calibri" w:hAnsi="Calibri" w:cs="Calibri"/>
        </w:rPr>
        <w:t xml:space="preserve">. </w:t>
      </w:r>
    </w:p>
    <w:bookmarkEnd w:id="0"/>
    <w:p w14:paraId="7E10C88F" w14:textId="77777777" w:rsidR="005B3D13" w:rsidRPr="00A6659C" w:rsidRDefault="005B3D13" w:rsidP="00A6659C">
      <w:pPr>
        <w:spacing w:line="480" w:lineRule="auto"/>
        <w:jc w:val="both"/>
        <w:rPr>
          <w:rFonts w:ascii="Calibri" w:hAnsi="Calibri" w:cs="Calibri"/>
          <w:b/>
          <w:bCs/>
        </w:rPr>
      </w:pPr>
      <w:r w:rsidRPr="00A6659C">
        <w:rPr>
          <w:rFonts w:ascii="Calibri" w:hAnsi="Calibri" w:cs="Calibri"/>
          <w:b/>
          <w:bCs/>
        </w:rPr>
        <w:t>Covariate Selection</w:t>
      </w:r>
    </w:p>
    <w:p w14:paraId="64EB115B" w14:textId="77777777" w:rsidR="005B3D13" w:rsidRPr="00A6659C" w:rsidRDefault="005B3D13" w:rsidP="00A6659C">
      <w:pPr>
        <w:spacing w:line="480" w:lineRule="auto"/>
        <w:jc w:val="both"/>
        <w:rPr>
          <w:rFonts w:ascii="Calibri" w:hAnsi="Calibri" w:cs="Calibri"/>
        </w:rPr>
      </w:pPr>
      <w:r w:rsidRPr="00A6659C">
        <w:rPr>
          <w:rFonts w:ascii="Calibri" w:hAnsi="Calibri" w:cs="Calibri"/>
        </w:rPr>
        <w:t xml:space="preserve">We first conducted bivariate mixed-effects logistic regression analysis for each outcome, including one exploratory variable at a time while retaining the same random-effects structure (Cluster and household). Covariates with a p-value &lt;0.20 in bivariate analyses were retained for multivariable modeling. </w:t>
      </w:r>
    </w:p>
    <w:p w14:paraId="2905B031" w14:textId="77777777" w:rsidR="005B3D13" w:rsidRPr="00A6659C" w:rsidRDefault="005B3D13" w:rsidP="00A6659C">
      <w:pPr>
        <w:spacing w:line="480" w:lineRule="auto"/>
        <w:jc w:val="both"/>
        <w:rPr>
          <w:rFonts w:ascii="Calibri" w:hAnsi="Calibri" w:cs="Calibri"/>
        </w:rPr>
      </w:pPr>
      <w:r w:rsidRPr="00A6659C">
        <w:rPr>
          <w:rFonts w:ascii="Calibri" w:hAnsi="Calibri" w:cs="Calibri"/>
        </w:rPr>
        <w:lastRenderedPageBreak/>
        <w:t>To evaluate differences in antibody responses across infection and age groups, the median fluorescence intensity (MFI) values for each antigen were log-transformed. Participants were first categorized by qPCR infection status result and pairwise comparisons were performed using the non-parametric Mann-Whitney U test with</w:t>
      </w:r>
      <w:r w:rsidRPr="00A6659C">
        <w:rPr>
          <w:rFonts w:ascii="Calibri" w:hAnsi="Calibri" w:cs="Calibri"/>
          <w:i/>
          <w:iCs/>
        </w:rPr>
        <w:t xml:space="preserve"> p </w:t>
      </w:r>
      <w:r w:rsidRPr="00A6659C">
        <w:rPr>
          <w:rFonts w:ascii="Calibri" w:hAnsi="Calibri" w:cs="Calibri"/>
        </w:rPr>
        <w:t>&lt; 0.05 considered statistically significant. Additionally, participants were stratified into four age categories: &lt;5, 5-15, 15-24 and &gt;25 years, to investigate age-related variations and Mann-Whitney U tests were conducted comparing the &lt; 5-year group with each older age category.</w:t>
      </w:r>
    </w:p>
    <w:p w14:paraId="5A45235D" w14:textId="77777777" w:rsidR="005B3D13" w:rsidRPr="00A6659C" w:rsidRDefault="005B3D13" w:rsidP="00A6659C">
      <w:pPr>
        <w:spacing w:line="480" w:lineRule="auto"/>
        <w:jc w:val="both"/>
        <w:rPr>
          <w:rFonts w:ascii="Calibri" w:hAnsi="Calibri" w:cs="Calibri"/>
        </w:rPr>
      </w:pPr>
      <w:r w:rsidRPr="00A6659C">
        <w:rPr>
          <w:rFonts w:ascii="Calibri" w:hAnsi="Calibri" w:cs="Calibri"/>
        </w:rPr>
        <w:t xml:space="preserve">At the cluster level, </w:t>
      </w:r>
      <w:r w:rsidRPr="00A6659C">
        <w:rPr>
          <w:rFonts w:ascii="Calibri" w:hAnsi="Calibri" w:cs="Calibri"/>
          <w:i/>
          <w:iCs/>
        </w:rPr>
        <w:t>P. vivax</w:t>
      </w:r>
      <w:r w:rsidRPr="00A6659C">
        <w:rPr>
          <w:rFonts w:ascii="Calibri" w:hAnsi="Calibri" w:cs="Calibri"/>
        </w:rPr>
        <w:t xml:space="preserve"> PCR prevalence and seroprevalence were computed, the latter based on the 8 antigen seroprevalence. To account for imperfect sensitivity and specificity of the serological classification, measured seroprevalence was defined as the true seroprevalence multiplied by the sensitivity of the sero-classifier, plus the complement of the true seroprevalence multiplied by one minus the specificity. </w:t>
      </w:r>
    </w:p>
    <w:p w14:paraId="296A7F47" w14:textId="77777777" w:rsidR="005B3D13" w:rsidRPr="00A6659C" w:rsidRDefault="005B3D13" w:rsidP="00A6659C">
      <w:pPr>
        <w:spacing w:line="480" w:lineRule="auto"/>
        <w:jc w:val="both"/>
        <w:rPr>
          <w:rFonts w:ascii="Calibri" w:hAnsi="Calibri" w:cs="Calibri"/>
          <w:b/>
          <w:bCs/>
        </w:rPr>
      </w:pPr>
      <w:r w:rsidRPr="00A6659C">
        <w:rPr>
          <w:rFonts w:ascii="Calibri" w:hAnsi="Calibri" w:cs="Calibri"/>
          <w:b/>
          <w:bCs/>
        </w:rPr>
        <w:t>Seroprevalence Adjustment for classifier performance</w:t>
      </w:r>
    </w:p>
    <w:p w14:paraId="75A18E1F" w14:textId="645F5598" w:rsidR="005B3D13" w:rsidRPr="00A6659C" w:rsidRDefault="005B3D13" w:rsidP="00A6659C">
      <w:pPr>
        <w:spacing w:line="480" w:lineRule="auto"/>
        <w:jc w:val="both"/>
        <w:rPr>
          <w:rFonts w:ascii="Calibri" w:hAnsi="Calibri" w:cs="Calibri"/>
        </w:rPr>
      </w:pPr>
      <w:r w:rsidRPr="00A6659C">
        <w:rPr>
          <w:rFonts w:ascii="Calibri" w:hAnsi="Calibri" w:cs="Calibri"/>
        </w:rPr>
        <w:t xml:space="preserve">The observed seroprevalence estimates were adjusted to account for imperfection in the sero-classifier using the Rogan-Galden estimator. </w:t>
      </w:r>
      <m:oMath>
        <m:sSub>
          <m:sSubPr>
            <m:ctrlPr>
              <w:rPr>
                <w:rFonts w:ascii="Cambria Math" w:hAnsi="Calibri" w:cs="Calibri"/>
                <w:i/>
              </w:rPr>
            </m:ctrlPr>
          </m:sSubPr>
          <m:e>
            <m:r>
              <w:rPr>
                <w:rFonts w:ascii="Cambria Math" w:hAnsi="Calibri" w:cs="Calibri"/>
              </w:rPr>
              <m:t>P</m:t>
            </m:r>
          </m:e>
          <m:sub>
            <m:r>
              <m:rPr>
                <m:nor/>
              </m:rPr>
              <w:rPr>
                <w:rFonts w:ascii="Cambria Math" w:hAnsi="Calibri" w:cs="Calibri"/>
              </w:rPr>
              <m:t>obs</m:t>
            </m:r>
            <m:ctrlPr>
              <w:rPr>
                <w:rFonts w:ascii="Cambria Math" w:hAnsi="Calibri" w:cs="Calibri"/>
              </w:rPr>
            </m:ctrlPr>
          </m:sub>
        </m:sSub>
      </m:oMath>
      <w:r w:rsidRPr="00A6659C">
        <w:rPr>
          <w:rFonts w:ascii="Calibri" w:hAnsi="Calibri" w:cs="Calibri"/>
        </w:rPr>
        <w:t xml:space="preserve"> denotes the observed seroprevalence, </w:t>
      </w:r>
      <m:oMath>
        <m:r>
          <w:rPr>
            <w:rFonts w:ascii="Cambria Math" w:hAnsi="Calibri" w:cs="Calibri"/>
          </w:rPr>
          <m:t>Se</m:t>
        </m:r>
      </m:oMath>
      <w:r w:rsidRPr="00A6659C">
        <w:rPr>
          <w:rFonts w:ascii="Calibri" w:hAnsi="Calibri" w:cs="Calibri"/>
        </w:rPr>
        <w:t xml:space="preserve"> is the test sensitivity, and </w:t>
      </w:r>
      <m:oMath>
        <m:r>
          <w:rPr>
            <w:rFonts w:ascii="Cambria Math" w:hAnsi="Calibri" w:cs="Calibri"/>
          </w:rPr>
          <m:t>Sp</m:t>
        </m:r>
      </m:oMath>
      <w:r w:rsidR="00A6659C">
        <w:rPr>
          <w:rFonts w:ascii="Calibri" w:eastAsiaTheme="minorEastAsia" w:hAnsi="Calibri" w:cs="Calibri"/>
        </w:rPr>
        <w:t xml:space="preserve"> </w:t>
      </w:r>
      <w:r w:rsidRPr="00A6659C">
        <w:rPr>
          <w:rFonts w:ascii="Calibri" w:hAnsi="Calibri" w:cs="Calibri"/>
        </w:rPr>
        <w:t xml:space="preserve">is the test specificity. The adjusted (true) seroprevalence </w:t>
      </w:r>
      <m:oMath>
        <m:sSub>
          <m:sSubPr>
            <m:ctrlPr>
              <w:rPr>
                <w:rFonts w:ascii="Cambria Math" w:hAnsi="Calibri" w:cs="Calibri"/>
                <w:i/>
              </w:rPr>
            </m:ctrlPr>
          </m:sSubPr>
          <m:e>
            <m:r>
              <w:rPr>
                <w:rFonts w:ascii="Cambria Math" w:hAnsi="Calibri" w:cs="Calibri"/>
              </w:rPr>
              <m:t>P</m:t>
            </m:r>
          </m:e>
          <m:sub>
            <m:r>
              <m:rPr>
                <m:nor/>
              </m:rPr>
              <w:rPr>
                <w:rFonts w:ascii="Cambria Math" w:hAnsi="Calibri" w:cs="Calibri"/>
              </w:rPr>
              <m:t>true</m:t>
            </m:r>
            <m:ctrlPr>
              <w:rPr>
                <w:rFonts w:ascii="Cambria Math" w:hAnsi="Calibri" w:cs="Calibri"/>
              </w:rPr>
            </m:ctrlPr>
          </m:sub>
        </m:sSub>
      </m:oMath>
      <w:r w:rsidRPr="00A6659C">
        <w:rPr>
          <w:rFonts w:ascii="Calibri" w:hAnsi="Calibri" w:cs="Calibri"/>
        </w:rPr>
        <w:t>was calculated as:</w:t>
      </w:r>
    </w:p>
    <w:p w14:paraId="51D63877" w14:textId="28042B90" w:rsidR="005B3D13" w:rsidRPr="00A6659C" w:rsidRDefault="00000000" w:rsidP="00A6659C">
      <w:pPr>
        <w:spacing w:line="480" w:lineRule="auto"/>
        <w:jc w:val="center"/>
        <w:rPr>
          <w:rFonts w:ascii="Calibri" w:hAnsi="Calibri" w:cs="Calibri"/>
        </w:rPr>
      </w:pPr>
      <m:oMathPara>
        <m:oMath>
          <m:sSub>
            <m:sSubPr>
              <m:ctrlPr>
                <w:rPr>
                  <w:rFonts w:ascii="Cambria Math" w:hAnsi="Cambria Math" w:cs="Calibri"/>
                  <w:i/>
                </w:rPr>
              </m:ctrlPr>
            </m:sSubPr>
            <m:e>
              <m:r>
                <w:rPr>
                  <w:rFonts w:ascii="Cambria Math" w:hAnsi="Cambria Math" w:cs="Calibri"/>
                </w:rPr>
                <m:t>P</m:t>
              </m:r>
            </m:e>
            <m:sub>
              <m:r>
                <m:rPr>
                  <m:nor/>
                </m:rPr>
                <w:rPr>
                  <w:rFonts w:ascii="Calibri" w:hAnsi="Calibri" w:cs="Calibri"/>
                </w:rPr>
                <m:t>true</m:t>
              </m:r>
              <m:ctrlPr>
                <w:rPr>
                  <w:rFonts w:ascii="Cambria Math" w:hAnsi="Cambria Math" w:cs="Calibri"/>
                </w:rPr>
              </m:ctrlPr>
            </m:sub>
          </m:sSub>
          <m:r>
            <w:rPr>
              <w:rFonts w:ascii="Cambria Math" w:hAnsi="Cambria Math" w:cs="Calibri"/>
            </w:rPr>
            <m:t>=</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P</m:t>
                  </m:r>
                </m:e>
                <m:sub>
                  <m:r>
                    <m:rPr>
                      <m:nor/>
                    </m:rPr>
                    <w:rPr>
                      <w:rFonts w:ascii="Calibri" w:hAnsi="Calibri" w:cs="Calibri"/>
                    </w:rPr>
                    <m:t>obs</m:t>
                  </m:r>
                  <m:ctrlPr>
                    <w:rPr>
                      <w:rFonts w:ascii="Cambria Math" w:hAnsi="Cambria Math" w:cs="Calibri"/>
                    </w:rPr>
                  </m:ctrlPr>
                </m:sub>
              </m:sSub>
              <m:r>
                <w:rPr>
                  <w:rFonts w:ascii="Cambria Math" w:hAnsi="Cambria Math" w:cs="Calibri"/>
                </w:rPr>
                <m:t>-(1-Sp)×100</m:t>
              </m:r>
            </m:num>
            <m:den>
              <m:r>
                <w:rPr>
                  <w:rFonts w:ascii="Cambria Math" w:hAnsi="Cambria Math" w:cs="Calibri"/>
                </w:rPr>
                <m:t>Se+Sp-1</m:t>
              </m:r>
            </m:den>
          </m:f>
        </m:oMath>
      </m:oMathPara>
    </w:p>
    <w:p w14:paraId="22411B27" w14:textId="557E4D56" w:rsidR="005B3D13" w:rsidRPr="00A6659C" w:rsidRDefault="005B3D13" w:rsidP="00A6659C">
      <w:pPr>
        <w:spacing w:line="480" w:lineRule="auto"/>
        <w:jc w:val="both"/>
        <w:rPr>
          <w:rFonts w:ascii="Calibri" w:hAnsi="Calibri" w:cs="Calibri"/>
        </w:rPr>
      </w:pPr>
      <w:r w:rsidRPr="00A6659C">
        <w:rPr>
          <w:rFonts w:ascii="Calibri" w:hAnsi="Calibri" w:cs="Calibri"/>
        </w:rPr>
        <w:t>The random -forest classifier for the serology had both sensitivity and specificity of 80% (</w:t>
      </w:r>
      <m:oMath>
        <m:r>
          <w:rPr>
            <w:rFonts w:ascii="Cambria Math" w:hAnsi="Calibri" w:cs="Calibri"/>
          </w:rPr>
          <m:t>Se</m:t>
        </m:r>
      </m:oMath>
      <w:r w:rsidR="00A6659C" w:rsidRPr="00A6659C">
        <w:rPr>
          <w:rFonts w:ascii="Calibri" w:hAnsi="Calibri" w:cs="Calibri"/>
        </w:rPr>
        <w:t xml:space="preserve"> </w:t>
      </w:r>
      <w:r w:rsidRPr="00A6659C">
        <w:rPr>
          <w:rFonts w:ascii="Calibri" w:hAnsi="Calibri" w:cs="Calibri"/>
        </w:rPr>
        <w:t xml:space="preserve">= 0.80, </w:t>
      </w:r>
      <m:oMath>
        <m:r>
          <w:rPr>
            <w:rFonts w:ascii="Cambria Math" w:hAnsi="Calibri" w:cs="Calibri"/>
          </w:rPr>
          <m:t>Sp</m:t>
        </m:r>
      </m:oMath>
      <w:r w:rsidR="00A6659C" w:rsidRPr="00A6659C">
        <w:rPr>
          <w:rFonts w:ascii="Calibri" w:hAnsi="Calibri" w:cs="Calibri"/>
        </w:rPr>
        <w:t xml:space="preserve"> </w:t>
      </w:r>
      <w:r w:rsidRPr="00A6659C">
        <w:rPr>
          <w:rFonts w:ascii="Calibri" w:hAnsi="Calibri" w:cs="Calibri"/>
        </w:rPr>
        <w:t xml:space="preserve">= 0.80). The adjusted estimates </w:t>
      </w:r>
      <w:r w:rsidR="00365190" w:rsidRPr="00A6659C">
        <w:rPr>
          <w:rFonts w:ascii="Calibri" w:hAnsi="Calibri" w:cs="Calibri"/>
        </w:rPr>
        <w:t>were</w:t>
      </w:r>
      <w:r w:rsidRPr="00A6659C">
        <w:rPr>
          <w:rFonts w:ascii="Calibri" w:hAnsi="Calibri" w:cs="Calibri"/>
        </w:rPr>
        <w:t xml:space="preserve"> limit to range from 0 to 100%. In addition to avoid </w:t>
      </w:r>
      <w:r w:rsidRPr="00A6659C">
        <w:rPr>
          <w:rFonts w:ascii="Calibri" w:hAnsi="Calibri" w:cs="Calibri"/>
        </w:rPr>
        <w:lastRenderedPageBreak/>
        <w:t xml:space="preserve">inflation of the adjusted estimates at very low observed prevalence, where correlation may be unstable, adjusted seroprevalence was set to zero when the observed seroprevalence was below 20%. Pearson correlation coefficients were the calculated to assess the association between cluster level PCR prevalence and seroprevalence, with corresponding </w:t>
      </w:r>
      <w:r w:rsidRPr="00A6659C">
        <w:rPr>
          <w:rFonts w:ascii="Calibri" w:hAnsi="Calibri" w:cs="Calibri"/>
          <w:i/>
          <w:iCs/>
        </w:rPr>
        <w:t>p-</w:t>
      </w:r>
      <w:r w:rsidRPr="00A6659C">
        <w:rPr>
          <w:rFonts w:ascii="Calibri" w:hAnsi="Calibri" w:cs="Calibri"/>
        </w:rPr>
        <w:t xml:space="preserve">values reported.     </w:t>
      </w:r>
    </w:p>
    <w:p w14:paraId="36BB6C8D" w14:textId="77777777" w:rsidR="005B3D13" w:rsidRPr="00A6659C" w:rsidRDefault="005B3D13" w:rsidP="00A6659C">
      <w:pPr>
        <w:spacing w:line="480" w:lineRule="auto"/>
        <w:jc w:val="both"/>
        <w:rPr>
          <w:rFonts w:ascii="Calibri" w:hAnsi="Calibri" w:cs="Calibri"/>
          <w:b/>
          <w:bCs/>
        </w:rPr>
      </w:pPr>
      <w:r w:rsidRPr="00A6659C">
        <w:rPr>
          <w:rFonts w:ascii="Calibri" w:hAnsi="Calibri" w:cs="Calibri"/>
          <w:b/>
          <w:bCs/>
        </w:rPr>
        <w:t xml:space="preserve">Spatial clustering of infection </w:t>
      </w:r>
    </w:p>
    <w:p w14:paraId="4F403EB4" w14:textId="77777777" w:rsidR="005B3D13" w:rsidRPr="00A6659C" w:rsidRDefault="005B3D13" w:rsidP="00A6659C">
      <w:pPr>
        <w:spacing w:line="480" w:lineRule="auto"/>
        <w:jc w:val="both"/>
        <w:rPr>
          <w:rFonts w:ascii="Calibri" w:hAnsi="Calibri" w:cs="Calibri"/>
        </w:rPr>
      </w:pPr>
      <w:r w:rsidRPr="00A6659C">
        <w:rPr>
          <w:rFonts w:ascii="Calibri" w:hAnsi="Calibri" w:cs="Calibri"/>
        </w:rPr>
        <w:t xml:space="preserve">Spatial clustering analysis was conducted using cluster level estimates of qPCR </w:t>
      </w:r>
      <w:r w:rsidRPr="00A6659C">
        <w:rPr>
          <w:rFonts w:ascii="Calibri" w:hAnsi="Calibri" w:cs="Calibri"/>
          <w:i/>
          <w:iCs/>
        </w:rPr>
        <w:t xml:space="preserve">Plasmodium vivax </w:t>
      </w:r>
      <w:r w:rsidRPr="00A6659C">
        <w:rPr>
          <w:rFonts w:ascii="Calibri" w:hAnsi="Calibri" w:cs="Calibri"/>
        </w:rPr>
        <w:t xml:space="preserve">prevalence and seroprevalence, each georeferenced by global positioning system (GPS) coordinates (Latitude and Longitude). Each cluster represented a distinct location. R software was using for clustering analysis. To ensure valid distance based spatial statistics, geographic coordinates were projected to a metric coordinate reference system using a Universal Transverse Mercator (UTM) projection. The UTM zone was selected based on the longitudinal centroid of the study area. The metric projection was exclusively used for spatial autocorrelation analyses, while the WGS84 coordinates were retained for visualization. </w:t>
      </w:r>
    </w:p>
    <w:p w14:paraId="6EB2654A" w14:textId="77777777" w:rsidR="005B3D13" w:rsidRPr="00A6659C" w:rsidRDefault="005B3D13" w:rsidP="00A6659C">
      <w:pPr>
        <w:spacing w:line="480" w:lineRule="auto"/>
        <w:jc w:val="both"/>
        <w:rPr>
          <w:rFonts w:ascii="Calibri" w:hAnsi="Calibri" w:cs="Calibri"/>
          <w:b/>
          <w:bCs/>
        </w:rPr>
      </w:pPr>
      <w:r w:rsidRPr="00A6659C">
        <w:rPr>
          <w:rFonts w:ascii="Calibri" w:hAnsi="Calibri" w:cs="Calibri"/>
          <w:b/>
          <w:bCs/>
        </w:rPr>
        <w:t>Spatial weights matrix</w:t>
      </w:r>
    </w:p>
    <w:p w14:paraId="4CE4C949" w14:textId="2F8DC955" w:rsidR="005B3D13" w:rsidRPr="00A6659C" w:rsidRDefault="005B3D13" w:rsidP="00A6659C">
      <w:pPr>
        <w:spacing w:line="480" w:lineRule="auto"/>
        <w:jc w:val="both"/>
        <w:rPr>
          <w:rFonts w:ascii="Calibri" w:hAnsi="Calibri" w:cs="Calibri"/>
        </w:rPr>
      </w:pPr>
      <w:r w:rsidRPr="00A6659C">
        <w:rPr>
          <w:rFonts w:ascii="Calibri" w:hAnsi="Calibri" w:cs="Calibri"/>
        </w:rPr>
        <w:t xml:space="preserve">Spatial relationships between clusters were defined using a k-nearest </w:t>
      </w:r>
      <w:r w:rsidR="00365190" w:rsidRPr="00A6659C">
        <w:rPr>
          <w:rFonts w:ascii="Calibri" w:hAnsi="Calibri" w:cs="Calibri"/>
        </w:rPr>
        <w:t>neighbors’</w:t>
      </w:r>
      <w:r w:rsidRPr="00A6659C">
        <w:rPr>
          <w:rFonts w:ascii="Calibri" w:hAnsi="Calibri" w:cs="Calibri"/>
        </w:rPr>
        <w:t xml:space="preserve"> approach, which is appropriate for the irregularly space point data. For each location, the six nearest neighboring clusters </w:t>
      </w:r>
      <w:r w:rsidR="00365190" w:rsidRPr="00A6659C">
        <w:rPr>
          <w:rFonts w:ascii="Calibri" w:hAnsi="Calibri" w:cs="Calibri"/>
        </w:rPr>
        <w:t>(k</w:t>
      </w:r>
      <w:r w:rsidRPr="00A6659C">
        <w:rPr>
          <w:rFonts w:ascii="Calibri" w:hAnsi="Calibri" w:cs="Calibri"/>
        </w:rPr>
        <w:t xml:space="preserve"> = 6) were identified based on Euclidean distance in the projected coordinate system. The resulting neighbor structure was converted into row-standardized spatial wights matrix (W), ensuring that the influence of neighboring observations summed to one for each location. </w:t>
      </w:r>
    </w:p>
    <w:p w14:paraId="000AC3AD" w14:textId="77777777" w:rsidR="005B3D13" w:rsidRPr="00A6659C" w:rsidRDefault="005B3D13" w:rsidP="00A6659C">
      <w:pPr>
        <w:spacing w:line="480" w:lineRule="auto"/>
        <w:jc w:val="both"/>
        <w:rPr>
          <w:rFonts w:ascii="Calibri" w:hAnsi="Calibri" w:cs="Calibri"/>
          <w:b/>
          <w:bCs/>
        </w:rPr>
      </w:pPr>
      <w:r w:rsidRPr="00A6659C">
        <w:rPr>
          <w:rFonts w:ascii="Calibri" w:hAnsi="Calibri" w:cs="Calibri"/>
          <w:b/>
          <w:bCs/>
        </w:rPr>
        <w:t>Global spatial autocorrelation</w:t>
      </w:r>
    </w:p>
    <w:p w14:paraId="38016245" w14:textId="77777777" w:rsidR="005B3D13" w:rsidRPr="00A6659C" w:rsidRDefault="005B3D13" w:rsidP="00A6659C">
      <w:pPr>
        <w:spacing w:line="480" w:lineRule="auto"/>
        <w:jc w:val="both"/>
        <w:rPr>
          <w:rFonts w:ascii="Calibri" w:hAnsi="Calibri" w:cs="Calibri"/>
        </w:rPr>
      </w:pPr>
      <w:r w:rsidRPr="00A6659C">
        <w:rPr>
          <w:rFonts w:ascii="Calibri" w:hAnsi="Calibri" w:cs="Calibri"/>
        </w:rPr>
        <w:lastRenderedPageBreak/>
        <w:t xml:space="preserve">Global spatial autocorrelation was assessed separately for qPCR </w:t>
      </w:r>
      <w:r w:rsidRPr="00A6659C">
        <w:rPr>
          <w:rFonts w:ascii="Calibri" w:hAnsi="Calibri" w:cs="Calibri"/>
          <w:i/>
          <w:iCs/>
        </w:rPr>
        <w:t>Plasmodium vivax</w:t>
      </w:r>
      <w:r w:rsidRPr="00A6659C">
        <w:rPr>
          <w:rFonts w:ascii="Calibri" w:hAnsi="Calibri" w:cs="Calibri"/>
        </w:rPr>
        <w:t xml:space="preserve"> prevalence and seroprevalence using Global Moran’s I. The formula is defined as:</w:t>
      </w:r>
    </w:p>
    <w:p w14:paraId="2823C12B" w14:textId="39E5B50C" w:rsidR="005B3D13" w:rsidRPr="00A6659C" w:rsidRDefault="00365190" w:rsidP="00A6659C">
      <w:pPr>
        <w:spacing w:line="480" w:lineRule="auto"/>
        <w:jc w:val="center"/>
        <w:rPr>
          <w:rFonts w:ascii="Calibri" w:hAnsi="Calibri" w:cs="Calibri"/>
        </w:rPr>
      </w:pPr>
      <m:oMathPara>
        <m:oMath>
          <m:r>
            <w:rPr>
              <w:rFonts w:ascii="Cambria Math" w:hAnsi="Cambria Math" w:cs="Calibri"/>
            </w:rPr>
            <m:t>I=</m:t>
          </m:r>
          <m:f>
            <m:fPr>
              <m:ctrlPr>
                <w:rPr>
                  <w:rFonts w:ascii="Cambria Math" w:hAnsi="Cambria Math" w:cs="Calibri"/>
                  <w:i/>
                </w:rPr>
              </m:ctrlPr>
            </m:fPr>
            <m:num>
              <m:r>
                <w:rPr>
                  <w:rFonts w:ascii="Cambria Math" w:hAnsi="Cambria Math" w:cs="Calibri"/>
                </w:rPr>
                <m:t>n</m:t>
              </m:r>
            </m:num>
            <m:den>
              <m:nary>
                <m:naryPr>
                  <m:chr m:val="∑"/>
                  <m:supHide m:val="1"/>
                  <m:ctrlPr>
                    <w:rPr>
                      <w:rFonts w:ascii="Cambria Math" w:hAnsi="Cambria Math" w:cs="Calibri"/>
                      <w:i/>
                    </w:rPr>
                  </m:ctrlPr>
                </m:naryPr>
                <m:sub>
                  <m:r>
                    <w:rPr>
                      <w:rFonts w:ascii="Cambria Math" w:hAnsi="Cambria Math" w:cs="Calibri"/>
                    </w:rPr>
                    <m:t>i</m:t>
                  </m:r>
                </m:sub>
                <m:sup/>
                <m:e>
                  <m:nary>
                    <m:naryPr>
                      <m:chr m:val="∑"/>
                      <m:supHide m:val="1"/>
                      <m:ctrlPr>
                        <w:rPr>
                          <w:rFonts w:ascii="Cambria Math" w:hAnsi="Cambria Math" w:cs="Calibri"/>
                          <w:i/>
                        </w:rPr>
                      </m:ctrlPr>
                    </m:naryPr>
                    <m:sub>
                      <m:r>
                        <w:rPr>
                          <w:rFonts w:ascii="Cambria Math" w:hAnsi="Cambria Math" w:cs="Calibri"/>
                        </w:rPr>
                        <m:t>j</m:t>
                      </m:r>
                    </m:sub>
                    <m:sup/>
                    <m:e>
                      <m:sSub>
                        <m:sSubPr>
                          <m:ctrlPr>
                            <w:rPr>
                              <w:rFonts w:ascii="Cambria Math" w:hAnsi="Cambria Math" w:cs="Calibri"/>
                              <w:i/>
                            </w:rPr>
                          </m:ctrlPr>
                        </m:sSubPr>
                        <m:e>
                          <m:r>
                            <w:rPr>
                              <w:rFonts w:ascii="Cambria Math" w:hAnsi="Cambria Math" w:cs="Calibri"/>
                            </w:rPr>
                            <m:t>w</m:t>
                          </m:r>
                        </m:e>
                        <m:sub>
                          <m:r>
                            <w:rPr>
                              <w:rFonts w:ascii="Cambria Math" w:hAnsi="Cambria Math" w:cs="Calibri"/>
                            </w:rPr>
                            <m:t>ij</m:t>
                          </m:r>
                        </m:sub>
                      </m:sSub>
                    </m:e>
                  </m:nary>
                </m:e>
              </m:nary>
            </m:den>
          </m:f>
          <m:f>
            <m:fPr>
              <m:ctrlPr>
                <w:rPr>
                  <w:rFonts w:ascii="Cambria Math" w:hAnsi="Cambria Math" w:cs="Calibri"/>
                  <w:i/>
                </w:rPr>
              </m:ctrlPr>
            </m:fPr>
            <m:num>
              <m:nary>
                <m:naryPr>
                  <m:chr m:val="∑"/>
                  <m:supHide m:val="1"/>
                  <m:ctrlPr>
                    <w:rPr>
                      <w:rFonts w:ascii="Cambria Math" w:hAnsi="Cambria Math" w:cs="Calibri"/>
                      <w:i/>
                    </w:rPr>
                  </m:ctrlPr>
                </m:naryPr>
                <m:sub>
                  <m:r>
                    <w:rPr>
                      <w:rFonts w:ascii="Cambria Math" w:hAnsi="Cambria Math" w:cs="Calibri"/>
                    </w:rPr>
                    <m:t>i</m:t>
                  </m:r>
                </m:sub>
                <m:sup/>
                <m:e>
                  <m:nary>
                    <m:naryPr>
                      <m:chr m:val="∑"/>
                      <m:supHide m:val="1"/>
                      <m:ctrlPr>
                        <w:rPr>
                          <w:rFonts w:ascii="Cambria Math" w:hAnsi="Cambria Math" w:cs="Calibri"/>
                          <w:i/>
                        </w:rPr>
                      </m:ctrlPr>
                    </m:naryPr>
                    <m:sub>
                      <m:r>
                        <w:rPr>
                          <w:rFonts w:ascii="Cambria Math" w:hAnsi="Cambria Math" w:cs="Calibri"/>
                        </w:rPr>
                        <m:t>j</m:t>
                      </m:r>
                    </m:sub>
                    <m:sup/>
                    <m:e>
                      <m:sSub>
                        <m:sSubPr>
                          <m:ctrlPr>
                            <w:rPr>
                              <w:rFonts w:ascii="Cambria Math" w:hAnsi="Cambria Math" w:cs="Calibri"/>
                              <w:i/>
                            </w:rPr>
                          </m:ctrlPr>
                        </m:sSubPr>
                        <m:e>
                          <m:r>
                            <w:rPr>
                              <w:rFonts w:ascii="Cambria Math" w:hAnsi="Cambria Math" w:cs="Calibri"/>
                            </w:rPr>
                            <m:t>w</m:t>
                          </m:r>
                        </m:e>
                        <m:sub>
                          <m:r>
                            <w:rPr>
                              <w:rFonts w:ascii="Cambria Math" w:hAnsi="Cambria Math" w:cs="Calibri"/>
                            </w:rPr>
                            <m:t>ij</m:t>
                          </m:r>
                        </m:sub>
                      </m:sSub>
                    </m:e>
                  </m:nary>
                </m:e>
              </m:nary>
              <m:r>
                <w:rPr>
                  <w:rFonts w:ascii="Cambria Math" w:hAnsi="Cambria Math" w:cs="Calibri"/>
                </w:rPr>
                <m:t>(</m:t>
              </m:r>
              <m:sSub>
                <m:sSubPr>
                  <m:ctrlPr>
                    <w:rPr>
                      <w:rFonts w:ascii="Cambria Math" w:hAnsi="Cambria Math" w:cs="Calibri"/>
                      <w:i/>
                    </w:rPr>
                  </m:ctrlPr>
                </m:sSubPr>
                <m:e>
                  <m:r>
                    <w:rPr>
                      <w:rFonts w:ascii="Cambria Math" w:hAnsi="Cambria Math" w:cs="Calibri"/>
                    </w:rPr>
                    <m:t>x</m:t>
                  </m:r>
                </m:e>
                <m:sub>
                  <m:r>
                    <w:rPr>
                      <w:rFonts w:ascii="Cambria Math" w:hAnsi="Cambria Math" w:cs="Calibri"/>
                    </w:rPr>
                    <m:t>i</m:t>
                  </m:r>
                </m:sub>
              </m:sSub>
              <m:r>
                <w:rPr>
                  <w:rFonts w:ascii="Cambria Math" w:hAnsi="Cambria Math" w:cs="Calibri"/>
                </w:rPr>
                <m:t>-</m:t>
              </m:r>
              <m:acc>
                <m:accPr>
                  <m:chr m:val="̄"/>
                  <m:ctrlPr>
                    <w:rPr>
                      <w:rFonts w:ascii="Cambria Math" w:hAnsi="Cambria Math" w:cs="Calibri"/>
                      <w:i/>
                    </w:rPr>
                  </m:ctrlPr>
                </m:accPr>
                <m:e>
                  <m:r>
                    <w:rPr>
                      <w:rFonts w:ascii="Cambria Math" w:hAnsi="Cambria Math" w:cs="Calibri"/>
                    </w:rPr>
                    <m:t>x</m:t>
                  </m:r>
                </m:e>
              </m:acc>
              <m:r>
                <w:rPr>
                  <w:rFonts w:ascii="Cambria Math" w:hAnsi="Cambria Math" w:cs="Calibri"/>
                </w:rPr>
                <m:t>)(</m:t>
              </m:r>
              <m:sSub>
                <m:sSubPr>
                  <m:ctrlPr>
                    <w:rPr>
                      <w:rFonts w:ascii="Cambria Math" w:hAnsi="Cambria Math" w:cs="Calibri"/>
                      <w:i/>
                    </w:rPr>
                  </m:ctrlPr>
                </m:sSubPr>
                <m:e>
                  <m:r>
                    <w:rPr>
                      <w:rFonts w:ascii="Cambria Math" w:hAnsi="Cambria Math" w:cs="Calibri"/>
                    </w:rPr>
                    <m:t>x</m:t>
                  </m:r>
                </m:e>
                <m:sub>
                  <m:r>
                    <w:rPr>
                      <w:rFonts w:ascii="Cambria Math" w:hAnsi="Cambria Math" w:cs="Calibri"/>
                    </w:rPr>
                    <m:t>j</m:t>
                  </m:r>
                </m:sub>
              </m:sSub>
              <m:r>
                <w:rPr>
                  <w:rFonts w:ascii="Cambria Math" w:hAnsi="Cambria Math" w:cs="Calibri"/>
                </w:rPr>
                <m:t>-</m:t>
              </m:r>
              <m:acc>
                <m:accPr>
                  <m:chr m:val="̄"/>
                  <m:ctrlPr>
                    <w:rPr>
                      <w:rFonts w:ascii="Cambria Math" w:hAnsi="Cambria Math" w:cs="Calibri"/>
                      <w:i/>
                    </w:rPr>
                  </m:ctrlPr>
                </m:accPr>
                <m:e>
                  <m:r>
                    <w:rPr>
                      <w:rFonts w:ascii="Cambria Math" w:hAnsi="Cambria Math" w:cs="Calibri"/>
                    </w:rPr>
                    <m:t>x</m:t>
                  </m:r>
                </m:e>
              </m:acc>
              <m:r>
                <w:rPr>
                  <w:rFonts w:ascii="Cambria Math" w:hAnsi="Cambria Math" w:cs="Calibri"/>
                </w:rPr>
                <m:t>)</m:t>
              </m:r>
            </m:num>
            <m:den>
              <m:nary>
                <m:naryPr>
                  <m:chr m:val="∑"/>
                  <m:supHide m:val="1"/>
                  <m:ctrlPr>
                    <w:rPr>
                      <w:rFonts w:ascii="Cambria Math" w:hAnsi="Cambria Math" w:cs="Calibri"/>
                      <w:i/>
                    </w:rPr>
                  </m:ctrlPr>
                </m:naryPr>
                <m:sub>
                  <m:r>
                    <w:rPr>
                      <w:rFonts w:ascii="Cambria Math" w:hAnsi="Cambria Math" w:cs="Calibri"/>
                    </w:rPr>
                    <m:t>i</m:t>
                  </m:r>
                </m:sub>
                <m:sup/>
                <m:e>
                  <m:r>
                    <w:rPr>
                      <w:rFonts w:ascii="Cambria Math" w:hAnsi="Cambria Math" w:cs="Calibri"/>
                    </w:rPr>
                    <m:t>(</m:t>
                  </m:r>
                  <m:sSub>
                    <m:sSubPr>
                      <m:ctrlPr>
                        <w:rPr>
                          <w:rFonts w:ascii="Cambria Math" w:hAnsi="Cambria Math" w:cs="Calibri"/>
                          <w:i/>
                        </w:rPr>
                      </m:ctrlPr>
                    </m:sSubPr>
                    <m:e>
                      <m:r>
                        <w:rPr>
                          <w:rFonts w:ascii="Cambria Math" w:hAnsi="Cambria Math" w:cs="Calibri"/>
                        </w:rPr>
                        <m:t>x</m:t>
                      </m:r>
                    </m:e>
                    <m:sub>
                      <m:r>
                        <w:rPr>
                          <w:rFonts w:ascii="Cambria Math" w:hAnsi="Cambria Math" w:cs="Calibri"/>
                        </w:rPr>
                        <m:t>i</m:t>
                      </m:r>
                    </m:sub>
                  </m:sSub>
                  <m:r>
                    <w:rPr>
                      <w:rFonts w:ascii="Cambria Math" w:hAnsi="Cambria Math" w:cs="Calibri"/>
                    </w:rPr>
                    <m:t>-</m:t>
                  </m:r>
                  <m:acc>
                    <m:accPr>
                      <m:chr m:val="̄"/>
                      <m:ctrlPr>
                        <w:rPr>
                          <w:rFonts w:ascii="Cambria Math" w:hAnsi="Cambria Math" w:cs="Calibri"/>
                          <w:i/>
                        </w:rPr>
                      </m:ctrlPr>
                    </m:accPr>
                    <m:e>
                      <m:r>
                        <w:rPr>
                          <w:rFonts w:ascii="Cambria Math" w:hAnsi="Cambria Math" w:cs="Calibri"/>
                        </w:rPr>
                        <m:t>x</m:t>
                      </m:r>
                    </m:e>
                  </m:acc>
                  <m:sSup>
                    <m:sSupPr>
                      <m:ctrlPr>
                        <w:rPr>
                          <w:rFonts w:ascii="Cambria Math" w:hAnsi="Cambria Math" w:cs="Calibri"/>
                          <w:i/>
                        </w:rPr>
                      </m:ctrlPr>
                    </m:sSupPr>
                    <m:e>
                      <m:r>
                        <w:rPr>
                          <w:rFonts w:ascii="Cambria Math" w:hAnsi="Cambria Math" w:cs="Calibri"/>
                        </w:rPr>
                        <m:t>)</m:t>
                      </m:r>
                    </m:e>
                    <m:sup>
                      <m:r>
                        <w:rPr>
                          <w:rFonts w:ascii="Cambria Math" w:hAnsi="Cambria Math" w:cs="Calibri"/>
                        </w:rPr>
                        <m:t>2</m:t>
                      </m:r>
                    </m:sup>
                  </m:sSup>
                </m:e>
              </m:nary>
            </m:den>
          </m:f>
        </m:oMath>
      </m:oMathPara>
    </w:p>
    <w:p w14:paraId="7EB65666" w14:textId="70F21285" w:rsidR="005B3D13" w:rsidRPr="00A6659C" w:rsidRDefault="005B3D13" w:rsidP="00A6659C">
      <w:pPr>
        <w:spacing w:line="480" w:lineRule="auto"/>
        <w:jc w:val="both"/>
        <w:rPr>
          <w:rFonts w:ascii="Calibri" w:hAnsi="Calibri" w:cs="Calibri"/>
        </w:rPr>
      </w:pPr>
      <w:r w:rsidRPr="00A6659C">
        <w:rPr>
          <w:rFonts w:ascii="Calibri" w:hAnsi="Calibri" w:cs="Calibri"/>
        </w:rPr>
        <w:t xml:space="preserve">When </w:t>
      </w:r>
      <m:oMath>
        <m:r>
          <w:rPr>
            <w:rFonts w:ascii="Cambria Math" w:hAnsi="Calibri" w:cs="Calibri"/>
          </w:rPr>
          <m:t>n</m:t>
        </m:r>
      </m:oMath>
      <w:r w:rsidR="00A6659C">
        <w:rPr>
          <w:rFonts w:ascii="Calibri" w:eastAsiaTheme="minorEastAsia" w:hAnsi="Calibri" w:cs="Calibri"/>
        </w:rPr>
        <w:t xml:space="preserve"> </w:t>
      </w:r>
      <w:r w:rsidRPr="00A6659C">
        <w:rPr>
          <w:rFonts w:ascii="Calibri" w:hAnsi="Calibri" w:cs="Calibri"/>
        </w:rPr>
        <w:t xml:space="preserve">is the number of spatial units, </w:t>
      </w:r>
      <m:oMath>
        <m:sSub>
          <m:sSubPr>
            <m:ctrlPr>
              <w:rPr>
                <w:rFonts w:ascii="Cambria Math" w:hAnsi="Calibri" w:cs="Calibri"/>
                <w:i/>
              </w:rPr>
            </m:ctrlPr>
          </m:sSubPr>
          <m:e>
            <m:r>
              <w:rPr>
                <w:rFonts w:ascii="Cambria Math" w:hAnsi="Calibri" w:cs="Calibri"/>
              </w:rPr>
              <m:t>x</m:t>
            </m:r>
          </m:e>
          <m:sub>
            <m:r>
              <w:rPr>
                <w:rFonts w:ascii="Cambria Math" w:hAnsi="Calibri" w:cs="Calibri"/>
              </w:rPr>
              <m:t>i</m:t>
            </m:r>
          </m:sub>
        </m:sSub>
      </m:oMath>
      <w:r w:rsidR="00A6659C">
        <w:rPr>
          <w:rFonts w:ascii="Calibri" w:eastAsiaTheme="minorEastAsia" w:hAnsi="Calibri" w:cs="Calibri"/>
        </w:rPr>
        <w:t xml:space="preserve"> </w:t>
      </w:r>
      <w:r w:rsidRPr="00A6659C">
        <w:rPr>
          <w:rFonts w:ascii="Calibri" w:hAnsi="Calibri" w:cs="Calibri"/>
        </w:rPr>
        <w:t xml:space="preserve">and </w:t>
      </w:r>
      <m:oMath>
        <m:sSub>
          <m:sSubPr>
            <m:ctrlPr>
              <w:rPr>
                <w:rFonts w:ascii="Cambria Math" w:hAnsi="Calibri" w:cs="Calibri"/>
                <w:i/>
              </w:rPr>
            </m:ctrlPr>
          </m:sSubPr>
          <m:e>
            <m:r>
              <w:rPr>
                <w:rFonts w:ascii="Cambria Math" w:hAnsi="Calibri" w:cs="Calibri"/>
              </w:rPr>
              <m:t>x</m:t>
            </m:r>
          </m:e>
          <m:sub>
            <m:r>
              <w:rPr>
                <w:rFonts w:ascii="Cambria Math" w:hAnsi="Calibri" w:cs="Calibri"/>
              </w:rPr>
              <m:t>j</m:t>
            </m:r>
          </m:sub>
        </m:sSub>
      </m:oMath>
      <w:r w:rsidRPr="00A6659C">
        <w:rPr>
          <w:rFonts w:ascii="Calibri" w:hAnsi="Calibri" w:cs="Calibri"/>
        </w:rPr>
        <w:t xml:space="preserve"> are observed values at location </w:t>
      </w:r>
      <m:oMath>
        <m:r>
          <w:rPr>
            <w:rFonts w:ascii="Cambria Math" w:hAnsi="Calibri" w:cs="Calibri"/>
          </w:rPr>
          <m:t>i</m:t>
        </m:r>
      </m:oMath>
      <w:r w:rsidRPr="00A6659C">
        <w:rPr>
          <w:rFonts w:ascii="Calibri" w:hAnsi="Calibri" w:cs="Calibri"/>
        </w:rPr>
        <w:t xml:space="preserve"> and</w:t>
      </w:r>
      <w:r w:rsidR="00A6659C">
        <w:rPr>
          <w:rFonts w:ascii="Calibri" w:hAnsi="Calibri" w:cs="Calibri"/>
        </w:rPr>
        <w:t xml:space="preserve"> </w:t>
      </w:r>
      <w:r w:rsidRPr="00A6659C">
        <w:rPr>
          <w:rFonts w:ascii="Calibri" w:hAnsi="Calibri" w:cs="Calibri"/>
        </w:rPr>
        <w:t xml:space="preserve"> </w:t>
      </w:r>
      <m:oMath>
        <m:r>
          <w:rPr>
            <w:rFonts w:ascii="Cambria Math" w:hAnsi="Calibri" w:cs="Calibri"/>
          </w:rPr>
          <m:t>j</m:t>
        </m:r>
      </m:oMath>
      <w:r w:rsidRPr="00A6659C">
        <w:rPr>
          <w:rFonts w:ascii="Calibri" w:hAnsi="Calibri" w:cs="Calibri"/>
        </w:rPr>
        <w:t xml:space="preserve">, </w:t>
      </w:r>
      <m:oMath>
        <m:acc>
          <m:accPr>
            <m:chr m:val="̄"/>
            <m:ctrlPr>
              <w:rPr>
                <w:rFonts w:ascii="Cambria Math" w:hAnsi="Calibri" w:cs="Calibri"/>
                <w:i/>
              </w:rPr>
            </m:ctrlPr>
          </m:accPr>
          <m:e>
            <m:r>
              <w:rPr>
                <w:rFonts w:ascii="Cambria Math" w:hAnsi="Calibri" w:cs="Calibri"/>
              </w:rPr>
              <m:t>x</m:t>
            </m:r>
          </m:e>
        </m:acc>
      </m:oMath>
      <w:r w:rsidRPr="00A6659C">
        <w:rPr>
          <w:rFonts w:ascii="Calibri" w:hAnsi="Calibri" w:cs="Calibri"/>
        </w:rPr>
        <w:t xml:space="preserve"> is the mean of the variable of interest, and the </w:t>
      </w:r>
      <m:oMath>
        <m:sSub>
          <m:sSubPr>
            <m:ctrlPr>
              <w:rPr>
                <w:rFonts w:ascii="Cambria Math" w:hAnsi="Calibri" w:cs="Calibri"/>
                <w:i/>
              </w:rPr>
            </m:ctrlPr>
          </m:sSubPr>
          <m:e>
            <m:r>
              <w:rPr>
                <w:rFonts w:ascii="Cambria Math" w:hAnsi="Calibri" w:cs="Calibri"/>
              </w:rPr>
              <m:t>w</m:t>
            </m:r>
          </m:e>
          <m:sub>
            <m:r>
              <w:rPr>
                <w:rFonts w:ascii="Cambria Math" w:hAnsi="Calibri" w:cs="Calibri"/>
              </w:rPr>
              <m:t>ij</m:t>
            </m:r>
          </m:sub>
        </m:sSub>
      </m:oMath>
      <w:r w:rsidR="00A6659C">
        <w:rPr>
          <w:rFonts w:ascii="Calibri" w:eastAsiaTheme="minorEastAsia" w:hAnsi="Calibri" w:cs="Calibri"/>
        </w:rPr>
        <w:t xml:space="preserve"> </w:t>
      </w:r>
      <w:r w:rsidRPr="00A6659C">
        <w:rPr>
          <w:rFonts w:ascii="Calibri" w:hAnsi="Calibri" w:cs="Calibri"/>
        </w:rPr>
        <w:t xml:space="preserve">represents elements of the spatial wights matrix. Statistical significance was assessed using permutation-based hypothesis testing, with a two-sided significance threshold of </w:t>
      </w:r>
      <w:r w:rsidRPr="00A6659C">
        <w:rPr>
          <w:rFonts w:ascii="Calibri" w:hAnsi="Calibri" w:cs="Calibri"/>
          <w:i/>
          <w:iCs/>
        </w:rPr>
        <w:t xml:space="preserve">P </w:t>
      </w:r>
      <w:r w:rsidRPr="00A6659C">
        <w:rPr>
          <w:rFonts w:ascii="Calibri" w:hAnsi="Calibri" w:cs="Calibri"/>
        </w:rPr>
        <w:t>&lt; 0.05.</w:t>
      </w:r>
    </w:p>
    <w:p w14:paraId="5FAC8B4B" w14:textId="77777777" w:rsidR="00365190" w:rsidRPr="00A6659C" w:rsidRDefault="00365190" w:rsidP="00A6659C">
      <w:pPr>
        <w:spacing w:line="480" w:lineRule="auto"/>
        <w:rPr>
          <w:rFonts w:ascii="Calibri" w:hAnsi="Calibri" w:cs="Calibri"/>
          <w:b/>
          <w:bCs/>
        </w:rPr>
      </w:pPr>
      <w:r w:rsidRPr="00A6659C">
        <w:rPr>
          <w:rFonts w:ascii="Calibri" w:hAnsi="Calibri" w:cs="Calibri"/>
          <w:b/>
          <w:bCs/>
        </w:rPr>
        <w:br w:type="page"/>
      </w:r>
    </w:p>
    <w:p w14:paraId="341D87B5" w14:textId="53EDAA56" w:rsidR="005B3D13" w:rsidRPr="00A6659C" w:rsidRDefault="005B3D13" w:rsidP="00A6659C">
      <w:pPr>
        <w:spacing w:line="480" w:lineRule="auto"/>
        <w:jc w:val="both"/>
        <w:rPr>
          <w:rFonts w:ascii="Calibri" w:hAnsi="Calibri" w:cs="Calibri"/>
          <w:b/>
          <w:bCs/>
        </w:rPr>
      </w:pPr>
      <w:r w:rsidRPr="00A6659C">
        <w:rPr>
          <w:rFonts w:ascii="Calibri" w:hAnsi="Calibri" w:cs="Calibri"/>
          <w:b/>
          <w:bCs/>
        </w:rPr>
        <w:lastRenderedPageBreak/>
        <w:t>Local spatial autocorrelation (LISA)</w:t>
      </w:r>
    </w:p>
    <w:p w14:paraId="6BEBFFF2" w14:textId="12846C9C" w:rsidR="005B3D13" w:rsidRPr="00A6659C" w:rsidRDefault="005B3D13" w:rsidP="00A6659C">
      <w:pPr>
        <w:spacing w:line="480" w:lineRule="auto"/>
        <w:jc w:val="both"/>
        <w:rPr>
          <w:rFonts w:ascii="Calibri" w:hAnsi="Calibri" w:cs="Calibri"/>
        </w:rPr>
      </w:pPr>
      <w:r w:rsidRPr="00A6659C">
        <w:rPr>
          <w:rFonts w:ascii="Calibri" w:hAnsi="Calibri" w:cs="Calibri"/>
        </w:rPr>
        <w:t xml:space="preserve">To identify localized spatial clustering, Local indicators of Spatial Association (LISA) were computed using Local Moran’s I for each cluster. Local Moran’s I </w:t>
      </w:r>
      <w:r w:rsidR="003A5FC1" w:rsidRPr="00A6659C">
        <w:rPr>
          <w:rFonts w:ascii="Calibri" w:hAnsi="Calibri" w:cs="Calibri"/>
        </w:rPr>
        <w:t>quantify</w:t>
      </w:r>
      <w:r w:rsidRPr="00A6659C">
        <w:rPr>
          <w:rFonts w:ascii="Calibri" w:hAnsi="Calibri" w:cs="Calibri"/>
        </w:rPr>
        <w:t xml:space="preserve"> the degree to which each observation is spatially associated with </w:t>
      </w:r>
      <w:r w:rsidR="00DA37DC" w:rsidRPr="00A6659C">
        <w:rPr>
          <w:rFonts w:ascii="Calibri" w:hAnsi="Calibri" w:cs="Calibri"/>
        </w:rPr>
        <w:t>its</w:t>
      </w:r>
      <w:r w:rsidRPr="00A6659C">
        <w:rPr>
          <w:rFonts w:ascii="Calibri" w:hAnsi="Calibri" w:cs="Calibri"/>
        </w:rPr>
        <w:t xml:space="preserve"> neighbors. For each location, Local Moran’s I is given by:</w:t>
      </w:r>
    </w:p>
    <w:p w14:paraId="57C6D4E8" w14:textId="30B6A654" w:rsidR="005B3D13" w:rsidRPr="00A6659C" w:rsidRDefault="00000000" w:rsidP="00A6659C">
      <w:pPr>
        <w:spacing w:line="480" w:lineRule="auto"/>
        <w:jc w:val="center"/>
        <w:rPr>
          <w:rFonts w:ascii="Calibri" w:hAnsi="Calibri" w:cs="Calibri"/>
        </w:rPr>
      </w:pPr>
      <m:oMathPara>
        <m:oMath>
          <m:sSub>
            <m:sSubPr>
              <m:ctrlPr>
                <w:rPr>
                  <w:rFonts w:ascii="Cambria Math" w:hAnsi="Cambria Math" w:cs="Calibri"/>
                  <w:i/>
                </w:rPr>
              </m:ctrlPr>
            </m:sSubPr>
            <m:e>
              <m:r>
                <w:rPr>
                  <w:rFonts w:ascii="Cambria Math" w:hAnsi="Cambria Math" w:cs="Calibri"/>
                </w:rPr>
                <m:t>I</m:t>
              </m:r>
            </m:e>
            <m:sub>
              <m:r>
                <w:rPr>
                  <w:rFonts w:ascii="Cambria Math" w:hAnsi="Cambria Math" w:cs="Calibri"/>
                </w:rPr>
                <m:t>i</m:t>
              </m:r>
            </m:sub>
          </m:sSub>
          <m:r>
            <w:rPr>
              <w:rFonts w:ascii="Cambria Math" w:hAnsi="Cambria Math" w:cs="Calibri"/>
            </w:rPr>
            <m:t>=(</m:t>
          </m:r>
          <m:sSub>
            <m:sSubPr>
              <m:ctrlPr>
                <w:rPr>
                  <w:rFonts w:ascii="Cambria Math" w:hAnsi="Cambria Math" w:cs="Calibri"/>
                  <w:i/>
                </w:rPr>
              </m:ctrlPr>
            </m:sSubPr>
            <m:e>
              <m:r>
                <w:rPr>
                  <w:rFonts w:ascii="Cambria Math" w:hAnsi="Cambria Math" w:cs="Calibri"/>
                </w:rPr>
                <m:t>x</m:t>
              </m:r>
            </m:e>
            <m:sub>
              <m:r>
                <w:rPr>
                  <w:rFonts w:ascii="Cambria Math" w:hAnsi="Cambria Math" w:cs="Calibri"/>
                </w:rPr>
                <m:t>i</m:t>
              </m:r>
            </m:sub>
          </m:sSub>
          <m:r>
            <w:rPr>
              <w:rFonts w:ascii="Cambria Math" w:hAnsi="Cambria Math" w:cs="Calibri"/>
            </w:rPr>
            <m:t>-</m:t>
          </m:r>
          <m:acc>
            <m:accPr>
              <m:chr m:val="̄"/>
              <m:ctrlPr>
                <w:rPr>
                  <w:rFonts w:ascii="Cambria Math" w:hAnsi="Cambria Math" w:cs="Calibri"/>
                  <w:i/>
                </w:rPr>
              </m:ctrlPr>
            </m:accPr>
            <m:e>
              <m:r>
                <w:rPr>
                  <w:rFonts w:ascii="Cambria Math" w:hAnsi="Cambria Math" w:cs="Calibri"/>
                </w:rPr>
                <m:t>x</m:t>
              </m:r>
            </m:e>
          </m:acc>
          <m:r>
            <w:rPr>
              <w:rFonts w:ascii="Cambria Math" w:hAnsi="Cambria Math" w:cs="Calibri"/>
            </w:rPr>
            <m:t>)</m:t>
          </m:r>
          <m:nary>
            <m:naryPr>
              <m:chr m:val="∑"/>
              <m:supHide m:val="1"/>
              <m:ctrlPr>
                <w:rPr>
                  <w:rFonts w:ascii="Cambria Math" w:hAnsi="Cambria Math" w:cs="Calibri"/>
                  <w:i/>
                </w:rPr>
              </m:ctrlPr>
            </m:naryPr>
            <m:sub>
              <m:r>
                <w:rPr>
                  <w:rFonts w:ascii="Cambria Math" w:hAnsi="Cambria Math" w:cs="Calibri"/>
                </w:rPr>
                <m:t>j</m:t>
              </m:r>
            </m:sub>
            <m:sup/>
            <m:e>
              <m:sSub>
                <m:sSubPr>
                  <m:ctrlPr>
                    <w:rPr>
                      <w:rFonts w:ascii="Cambria Math" w:hAnsi="Cambria Math" w:cs="Calibri"/>
                      <w:i/>
                    </w:rPr>
                  </m:ctrlPr>
                </m:sSubPr>
                <m:e>
                  <m:r>
                    <w:rPr>
                      <w:rFonts w:ascii="Cambria Math" w:hAnsi="Cambria Math" w:cs="Calibri"/>
                    </w:rPr>
                    <m:t>w</m:t>
                  </m:r>
                </m:e>
                <m:sub>
                  <m:r>
                    <w:rPr>
                      <w:rFonts w:ascii="Cambria Math" w:hAnsi="Cambria Math" w:cs="Calibri"/>
                    </w:rPr>
                    <m:t>ij</m:t>
                  </m:r>
                </m:sub>
              </m:sSub>
            </m:e>
          </m:nary>
          <m:r>
            <w:rPr>
              <w:rFonts w:ascii="Cambria Math" w:hAnsi="Cambria Math" w:cs="Calibri"/>
            </w:rPr>
            <m:t>(</m:t>
          </m:r>
          <m:sSub>
            <m:sSubPr>
              <m:ctrlPr>
                <w:rPr>
                  <w:rFonts w:ascii="Cambria Math" w:hAnsi="Cambria Math" w:cs="Calibri"/>
                  <w:i/>
                </w:rPr>
              </m:ctrlPr>
            </m:sSubPr>
            <m:e>
              <m:r>
                <w:rPr>
                  <w:rFonts w:ascii="Cambria Math" w:hAnsi="Cambria Math" w:cs="Calibri"/>
                </w:rPr>
                <m:t>x</m:t>
              </m:r>
            </m:e>
            <m:sub>
              <m:r>
                <w:rPr>
                  <w:rFonts w:ascii="Cambria Math" w:hAnsi="Cambria Math" w:cs="Calibri"/>
                </w:rPr>
                <m:t>j</m:t>
              </m:r>
            </m:sub>
          </m:sSub>
          <m:r>
            <w:rPr>
              <w:rFonts w:ascii="Cambria Math" w:hAnsi="Cambria Math" w:cs="Calibri"/>
            </w:rPr>
            <m:t>-</m:t>
          </m:r>
          <m:acc>
            <m:accPr>
              <m:chr m:val="̄"/>
              <m:ctrlPr>
                <w:rPr>
                  <w:rFonts w:ascii="Cambria Math" w:hAnsi="Cambria Math" w:cs="Calibri"/>
                  <w:i/>
                </w:rPr>
              </m:ctrlPr>
            </m:accPr>
            <m:e>
              <m:r>
                <w:rPr>
                  <w:rFonts w:ascii="Cambria Math" w:hAnsi="Cambria Math" w:cs="Calibri"/>
                </w:rPr>
                <m:t>x</m:t>
              </m:r>
            </m:e>
          </m:acc>
          <m:r>
            <w:rPr>
              <w:rFonts w:ascii="Cambria Math" w:hAnsi="Cambria Math" w:cs="Calibri"/>
            </w:rPr>
            <m:t>)</m:t>
          </m:r>
        </m:oMath>
      </m:oMathPara>
    </w:p>
    <w:p w14:paraId="01E2BB00" w14:textId="13254F8D" w:rsidR="005B3D13" w:rsidRDefault="005B3D13" w:rsidP="00A6659C">
      <w:pPr>
        <w:spacing w:line="480" w:lineRule="auto"/>
        <w:jc w:val="both"/>
        <w:rPr>
          <w:rFonts w:ascii="Calibri" w:hAnsi="Calibri" w:cs="Calibri"/>
        </w:rPr>
      </w:pPr>
      <w:r w:rsidRPr="00A6659C">
        <w:rPr>
          <w:rFonts w:ascii="Calibri" w:hAnsi="Calibri" w:cs="Calibri"/>
        </w:rPr>
        <w:t xml:space="preserve">qPCR </w:t>
      </w:r>
      <w:r w:rsidRPr="00A6659C">
        <w:rPr>
          <w:rFonts w:ascii="Calibri" w:hAnsi="Calibri" w:cs="Calibri"/>
          <w:i/>
          <w:iCs/>
        </w:rPr>
        <w:t xml:space="preserve">P. vivax </w:t>
      </w:r>
      <w:r w:rsidRPr="00A6659C">
        <w:rPr>
          <w:rFonts w:ascii="Calibri" w:hAnsi="Calibri" w:cs="Calibri"/>
        </w:rPr>
        <w:t xml:space="preserve">prevalence and seroprevalence values were standardized (z-scores) prior to classification. Statistical significance of local statistics was evaluated at </w:t>
      </w:r>
      <w:r w:rsidRPr="00A6659C">
        <w:rPr>
          <w:rFonts w:ascii="Calibri" w:hAnsi="Calibri" w:cs="Calibri"/>
          <w:i/>
          <w:iCs/>
        </w:rPr>
        <w:t>P</w:t>
      </w:r>
      <w:r w:rsidRPr="00A6659C">
        <w:rPr>
          <w:rFonts w:ascii="Calibri" w:hAnsi="Calibri" w:cs="Calibri"/>
        </w:rPr>
        <w:t xml:space="preserve"> &lt; 0.05. Significant LISA results were classified into four standard spatial association </w:t>
      </w:r>
      <w:r w:rsidR="003A5FC1" w:rsidRPr="00A6659C">
        <w:rPr>
          <w:rFonts w:ascii="Calibri" w:hAnsi="Calibri" w:cs="Calibri"/>
        </w:rPr>
        <w:t>categories based</w:t>
      </w:r>
      <w:r w:rsidRPr="00A6659C">
        <w:rPr>
          <w:rFonts w:ascii="Calibri" w:hAnsi="Calibri" w:cs="Calibri"/>
        </w:rPr>
        <w:t xml:space="preserve"> on the sign of the standardized value at each location and </w:t>
      </w:r>
      <w:r w:rsidR="003A5FC1" w:rsidRPr="00A6659C">
        <w:rPr>
          <w:rFonts w:ascii="Calibri" w:hAnsi="Calibri" w:cs="Calibri"/>
        </w:rPr>
        <w:t>its</w:t>
      </w:r>
      <w:r w:rsidRPr="00A6659C">
        <w:rPr>
          <w:rFonts w:ascii="Calibri" w:hAnsi="Calibri" w:cs="Calibri"/>
        </w:rPr>
        <w:t xml:space="preserve"> spatial lag. Locations with non-significant Local Moran’s I were classified as not significant. </w:t>
      </w:r>
    </w:p>
    <w:p w14:paraId="32AB75B3" w14:textId="77777777" w:rsidR="001A0930" w:rsidRPr="00A6659C" w:rsidRDefault="001A0930" w:rsidP="001A0930">
      <w:pPr>
        <w:tabs>
          <w:tab w:val="left" w:pos="2323"/>
        </w:tabs>
        <w:spacing w:line="480" w:lineRule="auto"/>
        <w:rPr>
          <w:rFonts w:ascii="Calibri" w:hAnsi="Calibri" w:cs="Calibri"/>
        </w:rPr>
      </w:pPr>
    </w:p>
    <w:p w14:paraId="5AFB0533" w14:textId="77777777" w:rsidR="001A0930" w:rsidRDefault="001A0930" w:rsidP="001A0930">
      <w:pPr>
        <w:spacing w:line="480" w:lineRule="auto"/>
        <w:jc w:val="center"/>
        <w:rPr>
          <w:rFonts w:ascii="Calibri" w:hAnsi="Calibri" w:cs="Calibri"/>
          <w:b/>
          <w:bCs/>
        </w:rPr>
      </w:pPr>
    </w:p>
    <w:p w14:paraId="7A110EEB" w14:textId="77777777" w:rsidR="001A0930" w:rsidRDefault="001A0930" w:rsidP="001A0930">
      <w:pPr>
        <w:spacing w:line="480" w:lineRule="auto"/>
        <w:jc w:val="center"/>
        <w:rPr>
          <w:rFonts w:ascii="Calibri" w:hAnsi="Calibri" w:cs="Calibri"/>
          <w:b/>
          <w:bCs/>
        </w:rPr>
      </w:pPr>
    </w:p>
    <w:p w14:paraId="21DB69BC" w14:textId="77777777" w:rsidR="001A0930" w:rsidRDefault="001A0930" w:rsidP="001A0930">
      <w:pPr>
        <w:spacing w:line="480" w:lineRule="auto"/>
        <w:jc w:val="center"/>
        <w:rPr>
          <w:rFonts w:ascii="Calibri" w:hAnsi="Calibri" w:cs="Calibri"/>
          <w:b/>
          <w:bCs/>
        </w:rPr>
      </w:pPr>
    </w:p>
    <w:p w14:paraId="757D13DB" w14:textId="77777777" w:rsidR="001A0930" w:rsidRDefault="001A0930" w:rsidP="001A0930">
      <w:pPr>
        <w:spacing w:line="480" w:lineRule="auto"/>
        <w:jc w:val="center"/>
        <w:rPr>
          <w:rFonts w:ascii="Calibri" w:hAnsi="Calibri" w:cs="Calibri"/>
          <w:b/>
          <w:bCs/>
        </w:rPr>
      </w:pPr>
    </w:p>
    <w:p w14:paraId="06EE122F" w14:textId="77777777" w:rsidR="001A0930" w:rsidRDefault="001A0930" w:rsidP="001A0930">
      <w:pPr>
        <w:spacing w:line="480" w:lineRule="auto"/>
        <w:jc w:val="center"/>
        <w:rPr>
          <w:rFonts w:ascii="Calibri" w:hAnsi="Calibri" w:cs="Calibri"/>
          <w:b/>
          <w:bCs/>
        </w:rPr>
      </w:pPr>
    </w:p>
    <w:p w14:paraId="00004EB0" w14:textId="77777777" w:rsidR="001A0930" w:rsidRDefault="001A0930" w:rsidP="001A0930">
      <w:pPr>
        <w:spacing w:line="480" w:lineRule="auto"/>
        <w:jc w:val="center"/>
        <w:rPr>
          <w:rFonts w:ascii="Calibri" w:hAnsi="Calibri" w:cs="Calibri"/>
          <w:b/>
          <w:bCs/>
        </w:rPr>
      </w:pPr>
    </w:p>
    <w:p w14:paraId="7587E742" w14:textId="7EEA45CE" w:rsidR="001A0930" w:rsidRDefault="001A0930" w:rsidP="001A0930">
      <w:pPr>
        <w:spacing w:line="480" w:lineRule="auto"/>
        <w:jc w:val="center"/>
        <w:rPr>
          <w:rFonts w:ascii="Calibri" w:hAnsi="Calibri" w:cs="Calibri"/>
          <w:b/>
          <w:bCs/>
        </w:rPr>
      </w:pPr>
      <w:r w:rsidRPr="000B38E6">
        <w:rPr>
          <w:rFonts w:ascii="Calibri" w:hAnsi="Calibri" w:cs="Calibri"/>
          <w:b/>
          <w:bCs/>
        </w:rPr>
        <w:lastRenderedPageBreak/>
        <w:t>Supplementary Figures</w:t>
      </w:r>
    </w:p>
    <w:p w14:paraId="76CF27B8" w14:textId="77928F95" w:rsidR="001A0930" w:rsidRPr="00A6659C" w:rsidRDefault="001A0930" w:rsidP="001A0930">
      <w:pPr>
        <w:spacing w:line="480" w:lineRule="auto"/>
        <w:jc w:val="center"/>
        <w:rPr>
          <w:rFonts w:ascii="Calibri" w:hAnsi="Calibri" w:cs="Calibri"/>
        </w:rPr>
      </w:pPr>
      <w:r w:rsidRPr="00A6659C">
        <w:rPr>
          <w:rFonts w:ascii="Calibri" w:hAnsi="Calibri" w:cs="Calibri"/>
          <w:noProof/>
        </w:rPr>
        <w:drawing>
          <wp:anchor distT="0" distB="0" distL="114300" distR="114300" simplePos="0" relativeHeight="251693056" behindDoc="0" locked="0" layoutInCell="1" allowOverlap="1" wp14:anchorId="0433B9EE" wp14:editId="338236E2">
            <wp:simplePos x="0" y="0"/>
            <wp:positionH relativeFrom="margin">
              <wp:posOffset>729141</wp:posOffset>
            </wp:positionH>
            <wp:positionV relativeFrom="paragraph">
              <wp:posOffset>115836</wp:posOffset>
            </wp:positionV>
            <wp:extent cx="4551045" cy="3398520"/>
            <wp:effectExtent l="0" t="0" r="1905" b="0"/>
            <wp:wrapTopAndBottom/>
            <wp:docPr id="1068512243" name="Picture 1" descr="A graph of a person and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12243" name="Picture 1" descr="A graph of a person and person&#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4551045" cy="3398520"/>
                    </a:xfrm>
                    <a:prstGeom prst="rect">
                      <a:avLst/>
                    </a:prstGeom>
                  </pic:spPr>
                </pic:pic>
              </a:graphicData>
            </a:graphic>
            <wp14:sizeRelH relativeFrom="margin">
              <wp14:pctWidth>0</wp14:pctWidth>
            </wp14:sizeRelH>
            <wp14:sizeRelV relativeFrom="margin">
              <wp14:pctHeight>0</wp14:pctHeight>
            </wp14:sizeRelV>
          </wp:anchor>
        </w:drawing>
      </w:r>
      <w:r w:rsidRPr="00A6659C">
        <w:rPr>
          <w:rFonts w:ascii="Calibri" w:hAnsi="Calibri" w:cs="Calibri"/>
          <w:b/>
          <w:bCs/>
        </w:rPr>
        <w:t xml:space="preserve">Supplementary Figure </w:t>
      </w:r>
      <w:r>
        <w:rPr>
          <w:rFonts w:ascii="Calibri" w:hAnsi="Calibri" w:cs="Calibri"/>
          <w:b/>
          <w:bCs/>
        </w:rPr>
        <w:t>1</w:t>
      </w:r>
      <w:r w:rsidRPr="00A6659C">
        <w:rPr>
          <w:rFonts w:ascii="Calibri" w:hAnsi="Calibri" w:cs="Calibri"/>
          <w:b/>
          <w:bCs/>
        </w:rPr>
        <w:t>.</w:t>
      </w:r>
      <w:r w:rsidRPr="00A6659C">
        <w:rPr>
          <w:rFonts w:ascii="Calibri" w:hAnsi="Calibri" w:cs="Calibri"/>
        </w:rPr>
        <w:t xml:space="preserve"> Serological infection status stratified by sex (male and female participants).</w:t>
      </w:r>
    </w:p>
    <w:p w14:paraId="0D207EC1" w14:textId="77777777" w:rsidR="001A0930" w:rsidRPr="00A6659C" w:rsidRDefault="001A0930" w:rsidP="00A6659C">
      <w:pPr>
        <w:spacing w:line="480" w:lineRule="auto"/>
        <w:jc w:val="both"/>
        <w:rPr>
          <w:rFonts w:ascii="Calibri" w:hAnsi="Calibri" w:cs="Calibri"/>
        </w:rPr>
      </w:pPr>
    </w:p>
    <w:p w14:paraId="76B244D9" w14:textId="77777777" w:rsidR="002936A9" w:rsidRPr="00A6659C" w:rsidRDefault="002936A9" w:rsidP="00A6659C">
      <w:pPr>
        <w:spacing w:line="480" w:lineRule="auto"/>
        <w:rPr>
          <w:rFonts w:ascii="Calibri" w:hAnsi="Calibri" w:cs="Calibri"/>
        </w:rPr>
      </w:pPr>
      <w:r w:rsidRPr="00A6659C">
        <w:rPr>
          <w:rFonts w:ascii="Calibri" w:hAnsi="Calibri" w:cs="Calibri"/>
        </w:rPr>
        <w:br w:type="page"/>
      </w:r>
    </w:p>
    <w:p w14:paraId="19933699" w14:textId="0A49FC95" w:rsidR="00B87734" w:rsidRPr="00B0785E" w:rsidRDefault="00B87734" w:rsidP="00B87734">
      <w:pPr>
        <w:tabs>
          <w:tab w:val="left" w:pos="3816"/>
        </w:tabs>
        <w:spacing w:line="480" w:lineRule="auto"/>
        <w:rPr>
          <w:rFonts w:ascii="Calibri" w:hAnsi="Calibri" w:cs="Calibri"/>
        </w:rPr>
      </w:pPr>
      <w:r w:rsidRPr="00A6659C">
        <w:rPr>
          <w:rFonts w:ascii="Calibri" w:hAnsi="Calibri" w:cs="Calibri"/>
          <w:noProof/>
        </w:rPr>
        <w:lastRenderedPageBreak/>
        <w:drawing>
          <wp:anchor distT="0" distB="0" distL="114300" distR="114300" simplePos="0" relativeHeight="251688960" behindDoc="0" locked="0" layoutInCell="1" allowOverlap="1" wp14:anchorId="4FAD24DC" wp14:editId="406BF1C0">
            <wp:simplePos x="0" y="0"/>
            <wp:positionH relativeFrom="margin">
              <wp:align>center</wp:align>
            </wp:positionH>
            <wp:positionV relativeFrom="paragraph">
              <wp:posOffset>0</wp:posOffset>
            </wp:positionV>
            <wp:extent cx="6291580" cy="4277360"/>
            <wp:effectExtent l="0" t="0" r="0" b="8890"/>
            <wp:wrapSquare wrapText="bothSides"/>
            <wp:docPr id="3" name="Picture 2" descr="A graph of a graph&#10;&#10;AI-generated content may be incorrect.">
              <a:extLst xmlns:a="http://schemas.openxmlformats.org/drawingml/2006/main">
                <a:ext uri="{FF2B5EF4-FFF2-40B4-BE49-F238E27FC236}">
                  <a16:creationId xmlns:a16="http://schemas.microsoft.com/office/drawing/2014/main" id="{7D7200FC-911A-41F5-7F7D-5A7ED56FF3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a graph&#10;&#10;AI-generated content may be incorrect.">
                      <a:extLst>
                        <a:ext uri="{FF2B5EF4-FFF2-40B4-BE49-F238E27FC236}">
                          <a16:creationId xmlns:a16="http://schemas.microsoft.com/office/drawing/2014/main" id="{7D7200FC-911A-41F5-7F7D-5A7ED56FF31A}"/>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291580" cy="4277360"/>
                    </a:xfrm>
                    <a:prstGeom prst="rect">
                      <a:avLst/>
                    </a:prstGeom>
                  </pic:spPr>
                </pic:pic>
              </a:graphicData>
            </a:graphic>
            <wp14:sizeRelH relativeFrom="margin">
              <wp14:pctWidth>0</wp14:pctWidth>
            </wp14:sizeRelH>
            <wp14:sizeRelV relativeFrom="margin">
              <wp14:pctHeight>0</wp14:pctHeight>
            </wp14:sizeRelV>
          </wp:anchor>
        </w:drawing>
      </w:r>
      <w:r w:rsidRPr="00B0785E">
        <w:rPr>
          <w:rFonts w:ascii="Calibri" w:hAnsi="Calibri" w:cs="Calibri"/>
          <w:b/>
          <w:bCs/>
        </w:rPr>
        <w:t xml:space="preserve">Supplementary Figure </w:t>
      </w:r>
      <w:r w:rsidR="001A0930">
        <w:rPr>
          <w:rFonts w:ascii="Calibri" w:hAnsi="Calibri" w:cs="Calibri"/>
          <w:b/>
          <w:bCs/>
        </w:rPr>
        <w:t>2</w:t>
      </w:r>
      <w:r w:rsidRPr="00B0785E">
        <w:rPr>
          <w:rFonts w:ascii="Calibri" w:hAnsi="Calibri" w:cs="Calibri"/>
          <w:b/>
          <w:bCs/>
        </w:rPr>
        <w:t>.</w:t>
      </w:r>
      <w:r w:rsidRPr="00B0785E">
        <w:rPr>
          <w:rFonts w:ascii="Calibri" w:hAnsi="Calibri" w:cs="Calibri"/>
        </w:rPr>
        <w:t xml:space="preserve"> Monthly malaria incidence in three selected woredas from 2021 to 2022, showing temporal trends consistent with sampling observations, with case numbers increasing after June in both years.</w:t>
      </w:r>
    </w:p>
    <w:p w14:paraId="106DB30F" w14:textId="3FA247E6" w:rsidR="00B87734" w:rsidRDefault="00B87734">
      <w:pPr>
        <w:rPr>
          <w:rFonts w:ascii="Calibri" w:hAnsi="Calibri" w:cs="Calibri"/>
        </w:rPr>
      </w:pPr>
    </w:p>
    <w:p w14:paraId="74F42A19" w14:textId="77777777" w:rsidR="00B87734" w:rsidRDefault="00B87734">
      <w:pPr>
        <w:rPr>
          <w:rFonts w:ascii="Calibri" w:hAnsi="Calibri" w:cs="Calibri"/>
        </w:rPr>
      </w:pPr>
      <w:r>
        <w:rPr>
          <w:rFonts w:ascii="Calibri" w:hAnsi="Calibri" w:cs="Calibri"/>
        </w:rPr>
        <w:br w:type="page"/>
      </w:r>
    </w:p>
    <w:p w14:paraId="7211B252" w14:textId="55FFF3F2" w:rsidR="00433540" w:rsidRPr="00A6659C" w:rsidRDefault="00433540" w:rsidP="00A6659C">
      <w:pPr>
        <w:spacing w:line="480" w:lineRule="auto"/>
        <w:rPr>
          <w:rFonts w:ascii="Calibri" w:hAnsi="Calibri" w:cs="Calibri"/>
        </w:rPr>
      </w:pPr>
      <w:r w:rsidRPr="00A6659C">
        <w:rPr>
          <w:rFonts w:ascii="Calibri" w:hAnsi="Calibri" w:cs="Calibri"/>
          <w:noProof/>
        </w:rPr>
        <w:lastRenderedPageBreak/>
        <w:drawing>
          <wp:anchor distT="0" distB="0" distL="114300" distR="114300" simplePos="0" relativeHeight="251661312" behindDoc="0" locked="0" layoutInCell="1" allowOverlap="1" wp14:anchorId="3FE78D82" wp14:editId="5F0BBB76">
            <wp:simplePos x="0" y="0"/>
            <wp:positionH relativeFrom="margin">
              <wp:posOffset>1257935</wp:posOffset>
            </wp:positionH>
            <wp:positionV relativeFrom="paragraph">
              <wp:posOffset>73660</wp:posOffset>
            </wp:positionV>
            <wp:extent cx="2872105" cy="6488430"/>
            <wp:effectExtent l="0" t="0" r="4445" b="7620"/>
            <wp:wrapSquare wrapText="bothSides"/>
            <wp:docPr id="1842551186" name="Picture 1" descr="A group of green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551186" name="Picture 1" descr="A group of green and red dot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2105" cy="6488430"/>
                    </a:xfrm>
                    <a:prstGeom prst="rect">
                      <a:avLst/>
                    </a:prstGeom>
                  </pic:spPr>
                </pic:pic>
              </a:graphicData>
            </a:graphic>
            <wp14:sizeRelH relativeFrom="margin">
              <wp14:pctWidth>0</wp14:pctWidth>
            </wp14:sizeRelH>
            <wp14:sizeRelV relativeFrom="margin">
              <wp14:pctHeight>0</wp14:pctHeight>
            </wp14:sizeRelV>
          </wp:anchor>
        </w:drawing>
      </w:r>
    </w:p>
    <w:p w14:paraId="2122B90F" w14:textId="77777777" w:rsidR="00433540" w:rsidRPr="00A6659C" w:rsidRDefault="00433540" w:rsidP="00A6659C">
      <w:pPr>
        <w:spacing w:line="480" w:lineRule="auto"/>
        <w:rPr>
          <w:rFonts w:ascii="Calibri" w:hAnsi="Calibri" w:cs="Calibri"/>
        </w:rPr>
      </w:pPr>
    </w:p>
    <w:p w14:paraId="5834004F" w14:textId="77777777" w:rsidR="00433540" w:rsidRPr="00A6659C" w:rsidRDefault="00433540" w:rsidP="00A6659C">
      <w:pPr>
        <w:spacing w:line="480" w:lineRule="auto"/>
        <w:rPr>
          <w:rFonts w:ascii="Calibri" w:hAnsi="Calibri" w:cs="Calibri"/>
        </w:rPr>
      </w:pPr>
    </w:p>
    <w:p w14:paraId="4232CE20" w14:textId="77777777" w:rsidR="00433540" w:rsidRPr="00A6659C" w:rsidRDefault="00433540" w:rsidP="00A6659C">
      <w:pPr>
        <w:spacing w:line="480" w:lineRule="auto"/>
        <w:rPr>
          <w:rFonts w:ascii="Calibri" w:hAnsi="Calibri" w:cs="Calibri"/>
        </w:rPr>
      </w:pPr>
    </w:p>
    <w:p w14:paraId="3AA690EF" w14:textId="77777777" w:rsidR="00433540" w:rsidRPr="00A6659C" w:rsidRDefault="00433540" w:rsidP="00A6659C">
      <w:pPr>
        <w:spacing w:line="480" w:lineRule="auto"/>
        <w:rPr>
          <w:rFonts w:ascii="Calibri" w:hAnsi="Calibri" w:cs="Calibri"/>
        </w:rPr>
      </w:pPr>
    </w:p>
    <w:p w14:paraId="26EE228C" w14:textId="77777777" w:rsidR="00433540" w:rsidRPr="00A6659C" w:rsidRDefault="00433540" w:rsidP="00A6659C">
      <w:pPr>
        <w:spacing w:line="480" w:lineRule="auto"/>
        <w:rPr>
          <w:rFonts w:ascii="Calibri" w:hAnsi="Calibri" w:cs="Calibri"/>
        </w:rPr>
      </w:pPr>
    </w:p>
    <w:p w14:paraId="38F106BA" w14:textId="77777777" w:rsidR="00433540" w:rsidRPr="00A6659C" w:rsidRDefault="00433540" w:rsidP="00A6659C">
      <w:pPr>
        <w:spacing w:line="480" w:lineRule="auto"/>
        <w:rPr>
          <w:rFonts w:ascii="Calibri" w:hAnsi="Calibri" w:cs="Calibri"/>
        </w:rPr>
      </w:pPr>
    </w:p>
    <w:p w14:paraId="24E9DA3E" w14:textId="77777777" w:rsidR="00433540" w:rsidRPr="00A6659C" w:rsidRDefault="00433540" w:rsidP="00A6659C">
      <w:pPr>
        <w:spacing w:line="480" w:lineRule="auto"/>
        <w:rPr>
          <w:rFonts w:ascii="Calibri" w:hAnsi="Calibri" w:cs="Calibri"/>
        </w:rPr>
      </w:pPr>
    </w:p>
    <w:p w14:paraId="7E46566B" w14:textId="77777777" w:rsidR="00433540" w:rsidRPr="00A6659C" w:rsidRDefault="00433540" w:rsidP="00A6659C">
      <w:pPr>
        <w:spacing w:line="480" w:lineRule="auto"/>
        <w:rPr>
          <w:rFonts w:ascii="Calibri" w:hAnsi="Calibri" w:cs="Calibri"/>
        </w:rPr>
      </w:pPr>
    </w:p>
    <w:p w14:paraId="7E9B6D3D" w14:textId="77777777" w:rsidR="00433540" w:rsidRPr="00A6659C" w:rsidRDefault="00433540" w:rsidP="00A6659C">
      <w:pPr>
        <w:spacing w:line="480" w:lineRule="auto"/>
        <w:rPr>
          <w:rFonts w:ascii="Calibri" w:hAnsi="Calibri" w:cs="Calibri"/>
        </w:rPr>
      </w:pPr>
    </w:p>
    <w:p w14:paraId="33FA01D0" w14:textId="77777777" w:rsidR="00433540" w:rsidRPr="00A6659C" w:rsidRDefault="00433540" w:rsidP="00A6659C">
      <w:pPr>
        <w:spacing w:line="480" w:lineRule="auto"/>
        <w:rPr>
          <w:rFonts w:ascii="Calibri" w:hAnsi="Calibri" w:cs="Calibri"/>
        </w:rPr>
      </w:pPr>
    </w:p>
    <w:p w14:paraId="21089BD0" w14:textId="77777777" w:rsidR="00433540" w:rsidRPr="00A6659C" w:rsidRDefault="00433540" w:rsidP="00A6659C">
      <w:pPr>
        <w:spacing w:line="480" w:lineRule="auto"/>
        <w:rPr>
          <w:rFonts w:ascii="Calibri" w:hAnsi="Calibri" w:cs="Calibri"/>
        </w:rPr>
      </w:pPr>
    </w:p>
    <w:p w14:paraId="6D3D5C4F" w14:textId="77777777" w:rsidR="00433540" w:rsidRPr="00A6659C" w:rsidRDefault="00433540" w:rsidP="00A6659C">
      <w:pPr>
        <w:spacing w:line="480" w:lineRule="auto"/>
        <w:rPr>
          <w:rFonts w:ascii="Calibri" w:hAnsi="Calibri" w:cs="Calibri"/>
        </w:rPr>
      </w:pPr>
    </w:p>
    <w:p w14:paraId="5840932E" w14:textId="77777777" w:rsidR="00433540" w:rsidRPr="00A6659C" w:rsidRDefault="00433540" w:rsidP="00A6659C">
      <w:pPr>
        <w:spacing w:line="480" w:lineRule="auto"/>
        <w:rPr>
          <w:rFonts w:ascii="Calibri" w:hAnsi="Calibri" w:cs="Calibri"/>
        </w:rPr>
      </w:pPr>
    </w:p>
    <w:p w14:paraId="7509778F" w14:textId="6C9D0393" w:rsidR="00FC2C2A" w:rsidRDefault="00433540" w:rsidP="001A0930">
      <w:pPr>
        <w:tabs>
          <w:tab w:val="left" w:pos="2323"/>
        </w:tabs>
        <w:spacing w:line="480" w:lineRule="auto"/>
        <w:rPr>
          <w:rFonts w:ascii="Calibri" w:hAnsi="Calibri" w:cs="Calibri"/>
        </w:rPr>
      </w:pPr>
      <w:r w:rsidRPr="00A6659C">
        <w:rPr>
          <w:rFonts w:ascii="Calibri" w:hAnsi="Calibri" w:cs="Calibri"/>
          <w:b/>
          <w:bCs/>
        </w:rPr>
        <w:t xml:space="preserve">Supplementary Figure </w:t>
      </w:r>
      <w:r w:rsidR="00FC2C2A">
        <w:rPr>
          <w:rFonts w:ascii="Calibri" w:hAnsi="Calibri" w:cs="Calibri"/>
          <w:b/>
          <w:bCs/>
        </w:rPr>
        <w:t>3</w:t>
      </w:r>
      <w:r w:rsidRPr="00A6659C">
        <w:rPr>
          <w:rFonts w:ascii="Calibri" w:hAnsi="Calibri" w:cs="Calibri"/>
          <w:b/>
          <w:bCs/>
        </w:rPr>
        <w:t>.</w:t>
      </w:r>
      <w:r w:rsidRPr="00A6659C">
        <w:rPr>
          <w:rFonts w:ascii="Calibri" w:hAnsi="Calibri" w:cs="Calibri"/>
        </w:rPr>
        <w:t xml:space="preserve"> Geographic distribution of clusters, showing higher seroprevalence in southern clusters and lower seroprevalence in northern clusters. Most seronegative participants were concentrated in the northern clusters.</w:t>
      </w:r>
    </w:p>
    <w:p w14:paraId="5E9F159D" w14:textId="77777777" w:rsidR="00FC2C2A" w:rsidRDefault="00FC2C2A">
      <w:pPr>
        <w:rPr>
          <w:rFonts w:ascii="Calibri" w:hAnsi="Calibri" w:cs="Calibri"/>
        </w:rPr>
      </w:pPr>
      <w:r>
        <w:rPr>
          <w:rFonts w:ascii="Calibri" w:hAnsi="Calibri" w:cs="Calibri"/>
        </w:rPr>
        <w:br w:type="page"/>
      </w:r>
    </w:p>
    <w:p w14:paraId="180D0194" w14:textId="77777777" w:rsidR="00FC2C2A" w:rsidRPr="00A6659C" w:rsidRDefault="00FC2C2A" w:rsidP="00FC2C2A">
      <w:pPr>
        <w:spacing w:line="480" w:lineRule="auto"/>
        <w:rPr>
          <w:rFonts w:ascii="Calibri" w:hAnsi="Calibri" w:cs="Calibri"/>
          <w:i/>
          <w:iCs/>
        </w:rPr>
      </w:pPr>
    </w:p>
    <w:p w14:paraId="46024090" w14:textId="336E25D4" w:rsidR="00FC2C2A" w:rsidRPr="00A6659C" w:rsidRDefault="00FC2C2A" w:rsidP="00FC2C2A">
      <w:pPr>
        <w:spacing w:line="480" w:lineRule="auto"/>
        <w:jc w:val="both"/>
        <w:rPr>
          <w:rFonts w:ascii="Calibri" w:hAnsi="Calibri" w:cs="Calibri"/>
        </w:rPr>
      </w:pPr>
      <w:r w:rsidRPr="00A6659C">
        <w:rPr>
          <w:rFonts w:ascii="Calibri" w:hAnsi="Calibri" w:cs="Calibri"/>
          <w:i/>
          <w:iCs/>
          <w:noProof/>
        </w:rPr>
        <w:drawing>
          <wp:anchor distT="0" distB="0" distL="114300" distR="114300" simplePos="0" relativeHeight="251695104" behindDoc="0" locked="0" layoutInCell="1" allowOverlap="1" wp14:anchorId="5F73BE2F" wp14:editId="76540429">
            <wp:simplePos x="0" y="0"/>
            <wp:positionH relativeFrom="column">
              <wp:posOffset>405378</wp:posOffset>
            </wp:positionH>
            <wp:positionV relativeFrom="paragraph">
              <wp:posOffset>2816</wp:posOffset>
            </wp:positionV>
            <wp:extent cx="4713958" cy="4023988"/>
            <wp:effectExtent l="0" t="0" r="0" b="0"/>
            <wp:wrapTopAndBottom/>
            <wp:docPr id="4160220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13958" cy="4023988"/>
                    </a:xfrm>
                    <a:prstGeom prst="rect">
                      <a:avLst/>
                    </a:prstGeom>
                    <a:noFill/>
                    <a:ln>
                      <a:noFill/>
                    </a:ln>
                  </pic:spPr>
                </pic:pic>
              </a:graphicData>
            </a:graphic>
          </wp:anchor>
        </w:drawing>
      </w:r>
      <w:r w:rsidRPr="00A6659C">
        <w:rPr>
          <w:rFonts w:ascii="Calibri" w:hAnsi="Calibri" w:cs="Calibri"/>
          <w:b/>
          <w:bCs/>
        </w:rPr>
        <w:t xml:space="preserve"> Supplementary Figure </w:t>
      </w:r>
      <w:r>
        <w:rPr>
          <w:rFonts w:ascii="Calibri" w:hAnsi="Calibri" w:cs="Calibri"/>
          <w:b/>
          <w:bCs/>
        </w:rPr>
        <w:t>4</w:t>
      </w:r>
      <w:r w:rsidRPr="00A6659C">
        <w:rPr>
          <w:rFonts w:ascii="Calibri" w:hAnsi="Calibri" w:cs="Calibri"/>
          <w:b/>
          <w:bCs/>
        </w:rPr>
        <w:t>.</w:t>
      </w:r>
      <w:r w:rsidRPr="00A6659C">
        <w:rPr>
          <w:rFonts w:ascii="Calibri" w:hAnsi="Calibri" w:cs="Calibri"/>
        </w:rPr>
        <w:t xml:space="preserve"> Correlation between PCR-confirmed </w:t>
      </w:r>
      <w:r w:rsidRPr="00A6659C">
        <w:rPr>
          <w:rFonts w:ascii="Calibri" w:hAnsi="Calibri" w:cs="Calibri"/>
          <w:i/>
          <w:iCs/>
        </w:rPr>
        <w:t>Plasmodium vivax</w:t>
      </w:r>
      <w:r w:rsidRPr="00A6659C">
        <w:rPr>
          <w:rFonts w:ascii="Calibri" w:hAnsi="Calibri" w:cs="Calibri"/>
        </w:rPr>
        <w:t xml:space="preserve"> prevalence and adjusted seroprevalence, accounting for assay sensitivity and specificity (both 80%) using the Rogan–Gladen estimator.</w:t>
      </w:r>
    </w:p>
    <w:p w14:paraId="764FC09B" w14:textId="77777777" w:rsidR="004E7406" w:rsidRPr="00A6659C" w:rsidRDefault="004E7406" w:rsidP="001A0930">
      <w:pPr>
        <w:tabs>
          <w:tab w:val="left" w:pos="2323"/>
        </w:tabs>
        <w:spacing w:line="480" w:lineRule="auto"/>
        <w:rPr>
          <w:rFonts w:ascii="Calibri" w:hAnsi="Calibri" w:cs="Calibri"/>
        </w:rPr>
      </w:pPr>
    </w:p>
    <w:p w14:paraId="457F2707" w14:textId="77777777" w:rsidR="001A0930" w:rsidRDefault="001A0930">
      <w:pPr>
        <w:rPr>
          <w:rFonts w:ascii="Calibri" w:hAnsi="Calibri" w:cs="Calibri"/>
          <w:b/>
          <w:bCs/>
        </w:rPr>
      </w:pPr>
      <w:r>
        <w:rPr>
          <w:rFonts w:ascii="Calibri" w:hAnsi="Calibri" w:cs="Calibri"/>
          <w:b/>
          <w:bCs/>
        </w:rPr>
        <w:br w:type="page"/>
      </w:r>
    </w:p>
    <w:p w14:paraId="34198B6F" w14:textId="3D281374" w:rsidR="00F26B9C" w:rsidRPr="00A6659C" w:rsidRDefault="00F26B9C" w:rsidP="00A6659C">
      <w:pPr>
        <w:spacing w:line="480" w:lineRule="auto"/>
        <w:rPr>
          <w:rFonts w:ascii="Calibri" w:hAnsi="Calibri" w:cs="Calibri"/>
          <w:b/>
          <w:bCs/>
        </w:rPr>
      </w:pPr>
      <w:r w:rsidRPr="00A6659C">
        <w:rPr>
          <w:rFonts w:ascii="Calibri" w:hAnsi="Calibri" w:cs="Calibri"/>
          <w:b/>
          <w:bCs/>
        </w:rPr>
        <w:lastRenderedPageBreak/>
        <w:t>Variation in antigen-specific antibody levels by infection type and age</w:t>
      </w:r>
    </w:p>
    <w:p w14:paraId="05193BD8" w14:textId="4F00488A" w:rsidR="00F26B9C" w:rsidRPr="00A6659C" w:rsidRDefault="00534568" w:rsidP="00A6659C">
      <w:pPr>
        <w:pStyle w:val="Caption"/>
        <w:spacing w:line="480" w:lineRule="auto"/>
        <w:jc w:val="both"/>
        <w:rPr>
          <w:rFonts w:ascii="Calibri" w:hAnsi="Calibri" w:cs="Calibri"/>
          <w:i w:val="0"/>
          <w:iCs w:val="0"/>
          <w:color w:val="auto"/>
          <w:sz w:val="24"/>
          <w:szCs w:val="24"/>
        </w:rPr>
      </w:pPr>
      <w:r w:rsidRPr="00A6659C">
        <w:rPr>
          <w:rFonts w:ascii="Calibri" w:hAnsi="Calibri" w:cs="Calibri"/>
          <w:noProof/>
          <w:color w:val="auto"/>
          <w:sz w:val="24"/>
          <w:szCs w:val="24"/>
        </w:rPr>
        <w:drawing>
          <wp:anchor distT="0" distB="0" distL="114300" distR="114300" simplePos="0" relativeHeight="251680768" behindDoc="0" locked="0" layoutInCell="1" allowOverlap="1" wp14:anchorId="51976B62" wp14:editId="730D4A1E">
            <wp:simplePos x="0" y="0"/>
            <wp:positionH relativeFrom="margin">
              <wp:posOffset>-439674</wp:posOffset>
            </wp:positionH>
            <wp:positionV relativeFrom="paragraph">
              <wp:posOffset>1742415</wp:posOffset>
            </wp:positionV>
            <wp:extent cx="6898640" cy="3394710"/>
            <wp:effectExtent l="0" t="0" r="0" b="0"/>
            <wp:wrapSquare wrapText="bothSides"/>
            <wp:docPr id="1607330260" name="Picture 1" descr="A group of graphs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30260" name="Picture 1" descr="A group of graphs with different colored square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98640" cy="3394710"/>
                    </a:xfrm>
                    <a:prstGeom prst="rect">
                      <a:avLst/>
                    </a:prstGeom>
                  </pic:spPr>
                </pic:pic>
              </a:graphicData>
            </a:graphic>
            <wp14:sizeRelH relativeFrom="margin">
              <wp14:pctWidth>0</wp14:pctWidth>
            </wp14:sizeRelH>
            <wp14:sizeRelV relativeFrom="margin">
              <wp14:pctHeight>0</wp14:pctHeight>
            </wp14:sizeRelV>
          </wp:anchor>
        </w:drawing>
      </w:r>
      <w:r w:rsidR="00F26B9C" w:rsidRPr="00A6659C">
        <w:rPr>
          <w:rFonts w:ascii="Calibri" w:hAnsi="Calibri" w:cs="Calibri"/>
          <w:i w:val="0"/>
          <w:iCs w:val="0"/>
          <w:color w:val="auto"/>
          <w:sz w:val="24"/>
          <w:szCs w:val="24"/>
        </w:rPr>
        <w:t>Antibody responses against the 8-specific antigens were compared across PCR-confirmed P. vivax, P. falciparum, mixed and PCR-negative individuals using log-transformed MFI</w:t>
      </w:r>
      <w:r w:rsidR="001A0930">
        <w:rPr>
          <w:rFonts w:ascii="Calibri" w:hAnsi="Calibri" w:cs="Calibri"/>
          <w:i w:val="0"/>
          <w:iCs w:val="0"/>
          <w:color w:val="auto"/>
          <w:sz w:val="24"/>
          <w:szCs w:val="24"/>
        </w:rPr>
        <w:t xml:space="preserve">. </w:t>
      </w:r>
      <w:r w:rsidR="00F26B9C" w:rsidRPr="00A6659C">
        <w:rPr>
          <w:rFonts w:ascii="Calibri" w:hAnsi="Calibri" w:cs="Calibri"/>
          <w:i w:val="0"/>
          <w:iCs w:val="0"/>
          <w:color w:val="auto"/>
          <w:sz w:val="24"/>
          <w:szCs w:val="24"/>
        </w:rPr>
        <w:t>Individuals with P. vivax, P. falciparum, or mixed infections showed significantly higher antibody reactivity compared with PCR-negative individuals (Mann-Whitney test, ****p&lt; 0.0001). P. vivax infection consistently demonstrated the highest median log MFI values.</w:t>
      </w:r>
    </w:p>
    <w:p w14:paraId="34E58BDC" w14:textId="2685572A" w:rsidR="0064206A" w:rsidRPr="00A6659C" w:rsidRDefault="00534568" w:rsidP="00A6659C">
      <w:pPr>
        <w:tabs>
          <w:tab w:val="left" w:pos="6684"/>
        </w:tabs>
        <w:spacing w:line="480" w:lineRule="auto"/>
        <w:jc w:val="both"/>
        <w:rPr>
          <w:rFonts w:ascii="Calibri" w:hAnsi="Calibri" w:cs="Calibri"/>
        </w:rPr>
      </w:pPr>
      <w:r w:rsidRPr="00A6659C">
        <w:rPr>
          <w:rFonts w:ascii="Calibri" w:hAnsi="Calibri" w:cs="Calibri"/>
          <w:b/>
          <w:bCs/>
        </w:rPr>
        <w:t xml:space="preserve">Supplementary Figure </w:t>
      </w:r>
      <w:r w:rsidR="00AB1DB7" w:rsidRPr="00A6659C">
        <w:rPr>
          <w:rFonts w:ascii="Calibri" w:hAnsi="Calibri" w:cs="Calibri"/>
          <w:b/>
          <w:bCs/>
        </w:rPr>
        <w:t>5</w:t>
      </w:r>
      <w:r w:rsidRPr="00A6659C">
        <w:rPr>
          <w:rFonts w:ascii="Calibri" w:hAnsi="Calibri" w:cs="Calibri"/>
          <w:b/>
          <w:bCs/>
        </w:rPr>
        <w:t>.</w:t>
      </w:r>
      <w:r w:rsidRPr="00A6659C">
        <w:rPr>
          <w:rFonts w:ascii="Calibri" w:hAnsi="Calibri" w:cs="Calibri"/>
        </w:rPr>
        <w:t xml:space="preserve"> Distribution of log-transformed median fluorescence intensity (MFI) across PCR-defined infection groups. Antibody responses for each antigen are shown among individuals with Plasmodium vivax, Plasmodium falciparum, mixed infections, and PCR-negative status. Each point represents an individual sample; boxes indicate the interquartile range, with medians shown as horizontal lines.</w:t>
      </w:r>
    </w:p>
    <w:p w14:paraId="438E8232" w14:textId="2FC8E210" w:rsidR="00F26B9C" w:rsidRPr="00A6659C" w:rsidRDefault="00F26B9C" w:rsidP="00A6659C">
      <w:pPr>
        <w:spacing w:line="480" w:lineRule="auto"/>
        <w:jc w:val="both"/>
        <w:rPr>
          <w:rFonts w:ascii="Calibri" w:hAnsi="Calibri" w:cs="Calibri"/>
        </w:rPr>
      </w:pPr>
      <w:r w:rsidRPr="00A6659C">
        <w:rPr>
          <w:rFonts w:ascii="Calibri" w:hAnsi="Calibri" w:cs="Calibri"/>
        </w:rPr>
        <w:t xml:space="preserve">Antibody response also increased with age for all antigens. Antibody responses were consistently lowest among children younger than 5 years and rose progressively across older age groups, </w:t>
      </w:r>
      <w:r w:rsidRPr="00A6659C">
        <w:rPr>
          <w:rFonts w:ascii="Calibri" w:hAnsi="Calibri" w:cs="Calibri"/>
        </w:rPr>
        <w:lastRenderedPageBreak/>
        <w:t xml:space="preserve">reflecting cumulative exposure. Strong and statistically significant differences were observed between the &lt;5 </w:t>
      </w:r>
      <w:r w:rsidR="00534568" w:rsidRPr="00A6659C">
        <w:rPr>
          <w:rFonts w:ascii="Calibri" w:hAnsi="Calibri" w:cs="Calibri"/>
        </w:rPr>
        <w:t>years group</w:t>
      </w:r>
      <w:r w:rsidRPr="00A6659C">
        <w:rPr>
          <w:rFonts w:ascii="Calibri" w:hAnsi="Calibri" w:cs="Calibri"/>
        </w:rPr>
        <w:t xml:space="preserve"> and all older categories for all antigens for </w:t>
      </w:r>
      <w:r w:rsidR="0053407D" w:rsidRPr="00A6659C">
        <w:rPr>
          <w:rFonts w:ascii="Calibri" w:hAnsi="Calibri" w:cs="Calibri"/>
        </w:rPr>
        <w:t>PvMSP1-19</w:t>
      </w:r>
      <w:r w:rsidRPr="00A6659C">
        <w:rPr>
          <w:rFonts w:ascii="Calibri" w:hAnsi="Calibri" w:cs="Calibri"/>
        </w:rPr>
        <w:t xml:space="preserve">, </w:t>
      </w:r>
      <w:proofErr w:type="spellStart"/>
      <w:r w:rsidR="0053407D" w:rsidRPr="00A6659C">
        <w:rPr>
          <w:rFonts w:ascii="Calibri" w:hAnsi="Calibri" w:cs="Calibri"/>
        </w:rPr>
        <w:t>Pv</w:t>
      </w:r>
      <w:r w:rsidRPr="00A6659C">
        <w:rPr>
          <w:rFonts w:ascii="Calibri" w:hAnsi="Calibri" w:cs="Calibri"/>
        </w:rPr>
        <w:t>EBP</w:t>
      </w:r>
      <w:proofErr w:type="spellEnd"/>
      <w:r w:rsidRPr="00A6659C">
        <w:rPr>
          <w:rFonts w:ascii="Calibri" w:hAnsi="Calibri" w:cs="Calibri"/>
        </w:rPr>
        <w:t xml:space="preserve">, </w:t>
      </w:r>
      <w:r w:rsidR="0053407D" w:rsidRPr="00A6659C">
        <w:rPr>
          <w:rFonts w:ascii="Calibri" w:hAnsi="Calibri" w:cs="Calibri"/>
        </w:rPr>
        <w:t>Pv</w:t>
      </w:r>
      <w:r w:rsidRPr="00A6659C">
        <w:rPr>
          <w:rFonts w:ascii="Calibri" w:hAnsi="Calibri" w:cs="Calibri"/>
        </w:rPr>
        <w:t xml:space="preserve">MSP8, </w:t>
      </w:r>
      <w:r w:rsidR="0021495B" w:rsidRPr="00A6659C">
        <w:rPr>
          <w:rFonts w:ascii="Calibri" w:hAnsi="Calibri" w:cs="Calibri"/>
        </w:rPr>
        <w:t xml:space="preserve">PvPTEX150 </w:t>
      </w:r>
      <w:r w:rsidRPr="00A6659C">
        <w:rPr>
          <w:rFonts w:ascii="Calibri" w:hAnsi="Calibri" w:cs="Calibri"/>
        </w:rPr>
        <w:t xml:space="preserve">and </w:t>
      </w:r>
      <w:r w:rsidR="0021495B" w:rsidRPr="00A6659C">
        <w:rPr>
          <w:rFonts w:ascii="Calibri" w:hAnsi="Calibri" w:cs="Calibri"/>
        </w:rPr>
        <w:t xml:space="preserve">PvRBP2b-P87 </w:t>
      </w:r>
      <w:r w:rsidRPr="00A6659C">
        <w:rPr>
          <w:rFonts w:ascii="Calibri" w:hAnsi="Calibri" w:cs="Calibri"/>
        </w:rPr>
        <w:t xml:space="preserve">(Mann-Whitney U test; ****p &lt; 0.0001), followed by moderate differences for </w:t>
      </w:r>
      <w:proofErr w:type="spellStart"/>
      <w:r w:rsidR="0053407D" w:rsidRPr="00A6659C">
        <w:rPr>
          <w:rFonts w:ascii="Calibri" w:hAnsi="Calibri" w:cs="Calibri"/>
        </w:rPr>
        <w:t>Pv</w:t>
      </w:r>
      <w:proofErr w:type="spellEnd"/>
      <w:r w:rsidR="0053407D" w:rsidRPr="00A6659C">
        <w:rPr>
          <w:rFonts w:ascii="Calibri" w:hAnsi="Calibri" w:cs="Calibri"/>
        </w:rPr>
        <w:t xml:space="preserve">-fam-a </w:t>
      </w:r>
      <w:r w:rsidRPr="00A6659C">
        <w:rPr>
          <w:rFonts w:ascii="Calibri" w:hAnsi="Calibri" w:cs="Calibri"/>
        </w:rPr>
        <w:t xml:space="preserve">and </w:t>
      </w:r>
      <w:proofErr w:type="spellStart"/>
      <w:r w:rsidRPr="00A6659C">
        <w:rPr>
          <w:rFonts w:ascii="Calibri" w:hAnsi="Calibri" w:cs="Calibri"/>
        </w:rPr>
        <w:t>PvCSS</w:t>
      </w:r>
      <w:proofErr w:type="spellEnd"/>
      <w:r w:rsidRPr="00A6659C">
        <w:rPr>
          <w:rFonts w:ascii="Calibri" w:hAnsi="Calibri" w:cs="Calibri"/>
        </w:rPr>
        <w:t xml:space="preserve"> (**p &lt; 0.01). </w:t>
      </w:r>
    </w:p>
    <w:p w14:paraId="11FE5F54" w14:textId="1F6FCA88" w:rsidR="009120B5" w:rsidRPr="00A6659C" w:rsidRDefault="00F26B9C" w:rsidP="00FC2C2A">
      <w:pPr>
        <w:pStyle w:val="Caption"/>
        <w:spacing w:line="480" w:lineRule="auto"/>
        <w:jc w:val="both"/>
        <w:rPr>
          <w:rFonts w:ascii="Calibri" w:hAnsi="Calibri" w:cs="Calibri"/>
        </w:rPr>
      </w:pPr>
      <w:r w:rsidRPr="00A6659C">
        <w:rPr>
          <w:rFonts w:ascii="Calibri" w:hAnsi="Calibri" w:cs="Calibri"/>
          <w:noProof/>
          <w:color w:val="auto"/>
          <w:sz w:val="24"/>
          <w:szCs w:val="24"/>
        </w:rPr>
        <w:drawing>
          <wp:anchor distT="0" distB="0" distL="114300" distR="114300" simplePos="0" relativeHeight="251682816" behindDoc="0" locked="0" layoutInCell="1" allowOverlap="1" wp14:anchorId="42A70674" wp14:editId="5B5E5671">
            <wp:simplePos x="0" y="0"/>
            <wp:positionH relativeFrom="page">
              <wp:posOffset>321614</wp:posOffset>
            </wp:positionH>
            <wp:positionV relativeFrom="paragraph">
              <wp:posOffset>432</wp:posOffset>
            </wp:positionV>
            <wp:extent cx="7171055" cy="3583940"/>
            <wp:effectExtent l="0" t="0" r="0" b="0"/>
            <wp:wrapSquare wrapText="bothSides"/>
            <wp:docPr id="1359158084"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58084" name="Picture 1" descr="A screenshot of a graph&#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171055" cy="3583940"/>
                    </a:xfrm>
                    <a:prstGeom prst="rect">
                      <a:avLst/>
                    </a:prstGeom>
                  </pic:spPr>
                </pic:pic>
              </a:graphicData>
            </a:graphic>
            <wp14:sizeRelH relativeFrom="margin">
              <wp14:pctWidth>0</wp14:pctWidth>
            </wp14:sizeRelH>
            <wp14:sizeRelV relativeFrom="margin">
              <wp14:pctHeight>0</wp14:pctHeight>
            </wp14:sizeRelV>
          </wp:anchor>
        </w:drawing>
      </w:r>
      <w:r w:rsidR="00534568" w:rsidRPr="00A6659C">
        <w:rPr>
          <w:rFonts w:ascii="Calibri" w:hAnsi="Calibri" w:cs="Calibri"/>
          <w:b/>
          <w:bCs/>
          <w:i w:val="0"/>
          <w:iCs w:val="0"/>
          <w:color w:val="auto"/>
          <w:sz w:val="24"/>
          <w:szCs w:val="24"/>
        </w:rPr>
        <w:t xml:space="preserve">Supplementary Figure </w:t>
      </w:r>
      <w:r w:rsidR="00AB1DB7" w:rsidRPr="00A6659C">
        <w:rPr>
          <w:rFonts w:ascii="Calibri" w:hAnsi="Calibri" w:cs="Calibri"/>
          <w:b/>
          <w:bCs/>
          <w:i w:val="0"/>
          <w:iCs w:val="0"/>
          <w:color w:val="auto"/>
          <w:sz w:val="24"/>
          <w:szCs w:val="24"/>
        </w:rPr>
        <w:t>6</w:t>
      </w:r>
      <w:r w:rsidR="00534568" w:rsidRPr="00A6659C">
        <w:rPr>
          <w:rFonts w:ascii="Calibri" w:hAnsi="Calibri" w:cs="Calibri"/>
          <w:b/>
          <w:bCs/>
          <w:i w:val="0"/>
          <w:iCs w:val="0"/>
          <w:color w:val="auto"/>
          <w:sz w:val="24"/>
          <w:szCs w:val="24"/>
        </w:rPr>
        <w:t>.</w:t>
      </w:r>
      <w:r w:rsidR="00534568" w:rsidRPr="00A6659C">
        <w:rPr>
          <w:rFonts w:ascii="Calibri" w:hAnsi="Calibri" w:cs="Calibri"/>
          <w:i w:val="0"/>
          <w:iCs w:val="0"/>
          <w:color w:val="auto"/>
          <w:sz w:val="24"/>
          <w:szCs w:val="24"/>
        </w:rPr>
        <w:t xml:space="preserve"> Age-associated variation in log-transformed median fluorescence intensity (MFI) across eight Plasmodium vivax antigens. Individual points represent samples; boxes denote the interquartile range, with medians shown as horizontal lines. Statistical comparisons were performed between children aged &lt;5 years and each older age group using the Mann–Whitney U test (**p &lt; 0.01, ****p &lt; 0.0001).</w:t>
      </w:r>
    </w:p>
    <w:sectPr w:rsidR="009120B5" w:rsidRPr="00A665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80A6B" w14:textId="77777777" w:rsidR="00270C43" w:rsidRDefault="00270C43" w:rsidP="00EF203D">
      <w:pPr>
        <w:spacing w:after="0" w:line="240" w:lineRule="auto"/>
      </w:pPr>
      <w:r>
        <w:separator/>
      </w:r>
    </w:p>
  </w:endnote>
  <w:endnote w:type="continuationSeparator" w:id="0">
    <w:p w14:paraId="7402EDAB" w14:textId="77777777" w:rsidR="00270C43" w:rsidRDefault="00270C43" w:rsidP="00EF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CA4DA" w14:textId="77777777" w:rsidR="00270C43" w:rsidRDefault="00270C43" w:rsidP="00EF203D">
      <w:pPr>
        <w:spacing w:after="0" w:line="240" w:lineRule="auto"/>
      </w:pPr>
      <w:r>
        <w:separator/>
      </w:r>
    </w:p>
  </w:footnote>
  <w:footnote w:type="continuationSeparator" w:id="0">
    <w:p w14:paraId="3D40CCD1" w14:textId="77777777" w:rsidR="00270C43" w:rsidRDefault="00270C43" w:rsidP="00EF20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03D"/>
    <w:rsid w:val="00014C73"/>
    <w:rsid w:val="00024D71"/>
    <w:rsid w:val="000B38E6"/>
    <w:rsid w:val="000D0260"/>
    <w:rsid w:val="001A0930"/>
    <w:rsid w:val="0021495B"/>
    <w:rsid w:val="00270C43"/>
    <w:rsid w:val="00272F42"/>
    <w:rsid w:val="002936A9"/>
    <w:rsid w:val="002B237C"/>
    <w:rsid w:val="00365190"/>
    <w:rsid w:val="003A5FC1"/>
    <w:rsid w:val="003D393E"/>
    <w:rsid w:val="00422A7D"/>
    <w:rsid w:val="00425509"/>
    <w:rsid w:val="00433540"/>
    <w:rsid w:val="004629E2"/>
    <w:rsid w:val="004661DB"/>
    <w:rsid w:val="00475B03"/>
    <w:rsid w:val="004E4C4D"/>
    <w:rsid w:val="004E7406"/>
    <w:rsid w:val="00501799"/>
    <w:rsid w:val="0053407D"/>
    <w:rsid w:val="00534568"/>
    <w:rsid w:val="00570710"/>
    <w:rsid w:val="005B3D13"/>
    <w:rsid w:val="005D61E3"/>
    <w:rsid w:val="005F6A1B"/>
    <w:rsid w:val="0062518D"/>
    <w:rsid w:val="0064206A"/>
    <w:rsid w:val="006722E6"/>
    <w:rsid w:val="00691252"/>
    <w:rsid w:val="007A78C5"/>
    <w:rsid w:val="009120B5"/>
    <w:rsid w:val="00930928"/>
    <w:rsid w:val="00930A68"/>
    <w:rsid w:val="00945794"/>
    <w:rsid w:val="00993EF1"/>
    <w:rsid w:val="009A768E"/>
    <w:rsid w:val="00A23021"/>
    <w:rsid w:val="00A6659C"/>
    <w:rsid w:val="00A71644"/>
    <w:rsid w:val="00AB1DB7"/>
    <w:rsid w:val="00B0785E"/>
    <w:rsid w:val="00B1087B"/>
    <w:rsid w:val="00B87734"/>
    <w:rsid w:val="00C53CE4"/>
    <w:rsid w:val="00CB545D"/>
    <w:rsid w:val="00D359C7"/>
    <w:rsid w:val="00D63C22"/>
    <w:rsid w:val="00DA37DC"/>
    <w:rsid w:val="00E60CF9"/>
    <w:rsid w:val="00EC7C97"/>
    <w:rsid w:val="00ED2A03"/>
    <w:rsid w:val="00ED58B5"/>
    <w:rsid w:val="00EF203D"/>
    <w:rsid w:val="00F26B9C"/>
    <w:rsid w:val="00F31E6C"/>
    <w:rsid w:val="00F70C17"/>
    <w:rsid w:val="00F82406"/>
    <w:rsid w:val="00FC2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FE488"/>
  <w15:chartTrackingRefBased/>
  <w15:docId w15:val="{6DF6186A-5A26-430F-8F38-4191B14A0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0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0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0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0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0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0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0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0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0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0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0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0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0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0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0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0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0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03D"/>
    <w:rPr>
      <w:rFonts w:eastAsiaTheme="majorEastAsia" w:cstheme="majorBidi"/>
      <w:color w:val="272727" w:themeColor="text1" w:themeTint="D8"/>
    </w:rPr>
  </w:style>
  <w:style w:type="paragraph" w:styleId="Title">
    <w:name w:val="Title"/>
    <w:basedOn w:val="Normal"/>
    <w:next w:val="Normal"/>
    <w:link w:val="TitleChar"/>
    <w:uiPriority w:val="10"/>
    <w:qFormat/>
    <w:rsid w:val="00EF20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0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0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0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03D"/>
    <w:pPr>
      <w:spacing w:before="160"/>
      <w:jc w:val="center"/>
    </w:pPr>
    <w:rPr>
      <w:i/>
      <w:iCs/>
      <w:color w:val="404040" w:themeColor="text1" w:themeTint="BF"/>
    </w:rPr>
  </w:style>
  <w:style w:type="character" w:customStyle="1" w:styleId="QuoteChar">
    <w:name w:val="Quote Char"/>
    <w:basedOn w:val="DefaultParagraphFont"/>
    <w:link w:val="Quote"/>
    <w:uiPriority w:val="29"/>
    <w:rsid w:val="00EF203D"/>
    <w:rPr>
      <w:i/>
      <w:iCs/>
      <w:color w:val="404040" w:themeColor="text1" w:themeTint="BF"/>
    </w:rPr>
  </w:style>
  <w:style w:type="paragraph" w:styleId="ListParagraph">
    <w:name w:val="List Paragraph"/>
    <w:basedOn w:val="Normal"/>
    <w:uiPriority w:val="34"/>
    <w:qFormat/>
    <w:rsid w:val="00EF203D"/>
    <w:pPr>
      <w:ind w:left="720"/>
      <w:contextualSpacing/>
    </w:pPr>
  </w:style>
  <w:style w:type="character" w:styleId="IntenseEmphasis">
    <w:name w:val="Intense Emphasis"/>
    <w:basedOn w:val="DefaultParagraphFont"/>
    <w:uiPriority w:val="21"/>
    <w:qFormat/>
    <w:rsid w:val="00EF203D"/>
    <w:rPr>
      <w:i/>
      <w:iCs/>
      <w:color w:val="0F4761" w:themeColor="accent1" w:themeShade="BF"/>
    </w:rPr>
  </w:style>
  <w:style w:type="paragraph" w:styleId="IntenseQuote">
    <w:name w:val="Intense Quote"/>
    <w:basedOn w:val="Normal"/>
    <w:next w:val="Normal"/>
    <w:link w:val="IntenseQuoteChar"/>
    <w:uiPriority w:val="30"/>
    <w:qFormat/>
    <w:rsid w:val="00EF20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03D"/>
    <w:rPr>
      <w:i/>
      <w:iCs/>
      <w:color w:val="0F4761" w:themeColor="accent1" w:themeShade="BF"/>
    </w:rPr>
  </w:style>
  <w:style w:type="character" w:styleId="IntenseReference">
    <w:name w:val="Intense Reference"/>
    <w:basedOn w:val="DefaultParagraphFont"/>
    <w:uiPriority w:val="32"/>
    <w:qFormat/>
    <w:rsid w:val="00EF203D"/>
    <w:rPr>
      <w:b/>
      <w:bCs/>
      <w:smallCaps/>
      <w:color w:val="0F4761" w:themeColor="accent1" w:themeShade="BF"/>
      <w:spacing w:val="5"/>
    </w:rPr>
  </w:style>
  <w:style w:type="paragraph" w:styleId="Header">
    <w:name w:val="header"/>
    <w:basedOn w:val="Normal"/>
    <w:link w:val="HeaderChar"/>
    <w:uiPriority w:val="99"/>
    <w:unhideWhenUsed/>
    <w:rsid w:val="00EF2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03D"/>
  </w:style>
  <w:style w:type="paragraph" w:styleId="Footer">
    <w:name w:val="footer"/>
    <w:basedOn w:val="Normal"/>
    <w:link w:val="FooterChar"/>
    <w:uiPriority w:val="99"/>
    <w:unhideWhenUsed/>
    <w:rsid w:val="00EF2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03D"/>
  </w:style>
  <w:style w:type="paragraph" w:styleId="Caption">
    <w:name w:val="caption"/>
    <w:basedOn w:val="Normal"/>
    <w:next w:val="Normal"/>
    <w:uiPriority w:val="35"/>
    <w:unhideWhenUsed/>
    <w:qFormat/>
    <w:rsid w:val="0062518D"/>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F26B9C"/>
    <w:rPr>
      <w:sz w:val="16"/>
      <w:szCs w:val="16"/>
    </w:rPr>
  </w:style>
  <w:style w:type="paragraph" w:customStyle="1" w:styleId="Default">
    <w:name w:val="Default"/>
    <w:rsid w:val="00F26B9C"/>
    <w:pPr>
      <w:autoSpaceDE w:val="0"/>
      <w:autoSpaceDN w:val="0"/>
      <w:adjustRightInd w:val="0"/>
      <w:spacing w:after="0" w:line="240" w:lineRule="auto"/>
    </w:pPr>
    <w:rPr>
      <w:rFonts w:ascii="Calibri" w:eastAsia="Calibri" w:hAnsi="Calibri" w:cs="Calibri"/>
      <w:color w:val="000000"/>
      <w:kern w:val="0"/>
      <w14:ligatures w14:val="none"/>
    </w:rPr>
  </w:style>
  <w:style w:type="character" w:styleId="PlaceholderText">
    <w:name w:val="Placeholder Text"/>
    <w:basedOn w:val="DefaultParagraphFont"/>
    <w:uiPriority w:val="99"/>
    <w:semiHidden/>
    <w:rsid w:val="002936A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604243">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0B4243-9D06-4A1E-8D3F-788B23C7330D}">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6731754914"/>
    <we:property name="MENDELEY_CITATIONS" valu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7AE0A-B04E-44FF-9ECC-CA22A99C4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1329</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Mozart F</dc:creator>
  <cp:keywords/>
  <dc:description/>
  <cp:lastModifiedBy>Mozart II</cp:lastModifiedBy>
  <cp:revision>8</cp:revision>
  <dcterms:created xsi:type="dcterms:W3CDTF">2026-03-27T12:05:00Z</dcterms:created>
  <dcterms:modified xsi:type="dcterms:W3CDTF">2026-03-30T11:54:00Z</dcterms:modified>
</cp:coreProperties>
</file>