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F61A06">
      <w:pPr>
        <w:adjustRightInd w:val="0"/>
        <w:snapToGrid w:val="0"/>
        <w:spacing w:line="360" w:lineRule="auto"/>
        <w:rPr>
          <w:rFonts w:ascii="Times New Roman" w:hAnsi="Times New Roman" w:eastAsia="DengXian" w:cs="Times New Roman"/>
          <w:b/>
          <w:bCs/>
          <w:sz w:val="28"/>
          <w:szCs w:val="28"/>
        </w:rPr>
      </w:pPr>
      <w:r>
        <w:rPr>
          <w:rFonts w:ascii="Times New Roman" w:hAnsi="Times New Roman" w:eastAsia="DengXian" w:cs="Times New Roman"/>
          <w:b/>
          <w:bCs/>
          <w:sz w:val="28"/>
          <w:szCs w:val="28"/>
        </w:rPr>
        <w:t>Supplemental Figures:</w:t>
      </w:r>
    </w:p>
    <w:p w14:paraId="50E3D07D">
      <w:pPr>
        <w:autoSpaceDE w:val="0"/>
        <w:autoSpaceDN w:val="0"/>
        <w:adjustRightInd w:val="0"/>
        <w:snapToGrid w:val="0"/>
        <w:spacing w:line="360" w:lineRule="auto"/>
        <w:rPr>
          <w:rFonts w:ascii="Times New Roman" w:hAnsi="Times New Roman" w:eastAsia="DengXian" w:cs="Times New Roman"/>
          <w:b/>
          <w:bCs/>
          <w:sz w:val="24"/>
        </w:rPr>
      </w:pPr>
      <w:r>
        <w:rPr>
          <w:rFonts w:ascii="Times New Roman" w:hAnsi="Times New Roman" w:eastAsia="DengXian" w:cs="Times New Roman"/>
          <w:b/>
          <w:bCs/>
          <w:sz w:val="24"/>
        </w:rPr>
        <w:drawing>
          <wp:inline distT="0" distB="0" distL="0" distR="0">
            <wp:extent cx="5274310" cy="5227320"/>
            <wp:effectExtent l="0" t="0" r="889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5227320"/>
                    </a:xfrm>
                    <a:prstGeom prst="rect">
                      <a:avLst/>
                    </a:prstGeom>
                  </pic:spPr>
                </pic:pic>
              </a:graphicData>
            </a:graphic>
          </wp:inline>
        </w:drawing>
      </w:r>
    </w:p>
    <w:p w14:paraId="0D5FF5D1">
      <w:pPr>
        <w:autoSpaceDE w:val="0"/>
        <w:autoSpaceDN w:val="0"/>
        <w:adjustRightInd w:val="0"/>
        <w:snapToGrid w:val="0"/>
        <w:spacing w:line="360" w:lineRule="auto"/>
        <w:rPr>
          <w:rFonts w:ascii="Times New Roman" w:hAnsi="Times New Roman" w:eastAsia="DengXian" w:cs="Times New Roman"/>
          <w:sz w:val="24"/>
        </w:rPr>
      </w:pPr>
      <w:r>
        <w:rPr>
          <w:rFonts w:ascii="Times New Roman" w:hAnsi="Times New Roman" w:eastAsia="DengXian" w:cs="Times New Roman"/>
          <w:b/>
          <w:bCs/>
          <w:sz w:val="24"/>
        </w:rPr>
        <w:t xml:space="preserve">Figure S1. Annotation of different cell types in AOSD patients and healthy controls. </w:t>
      </w:r>
      <w:r>
        <w:rPr>
          <w:rFonts w:ascii="Times New Roman" w:hAnsi="Times New Roman" w:eastAsia="DengXian" w:cs="Times New Roman"/>
          <w:sz w:val="24"/>
        </w:rPr>
        <w:t>(A) TSNE presentation of different clusters, disease group, and cell populations.</w:t>
      </w:r>
      <w:r>
        <w:rPr>
          <w:rFonts w:ascii="Times New Roman" w:hAnsi="Times New Roman" w:eastAsia="DengXian" w:cs="Times New Roman"/>
          <w:b/>
          <w:bCs/>
          <w:sz w:val="24"/>
        </w:rPr>
        <w:t xml:space="preserve"> </w:t>
      </w:r>
      <w:r>
        <w:rPr>
          <w:rFonts w:ascii="Times New Roman" w:hAnsi="Times New Roman" w:eastAsia="DengXian" w:cs="Times New Roman"/>
          <w:sz w:val="24"/>
        </w:rPr>
        <w:t xml:space="preserve">(D-E) nGenes, nUMIs, percent of mitochondial UMIs and UMIs per genes in each celltypes. </w:t>
      </w:r>
    </w:p>
    <w:p w14:paraId="4B077859">
      <w:pPr>
        <w:autoSpaceDE w:val="0"/>
        <w:autoSpaceDN w:val="0"/>
        <w:adjustRightInd w:val="0"/>
        <w:snapToGrid w:val="0"/>
        <w:spacing w:line="360" w:lineRule="auto"/>
        <w:rPr>
          <w:rFonts w:ascii="Times New Roman" w:hAnsi="Times New Roman" w:eastAsia="DengXian" w:cs="Times New Roman"/>
          <w:sz w:val="24"/>
        </w:rPr>
      </w:pPr>
    </w:p>
    <w:p w14:paraId="70AF9EA5">
      <w:pPr>
        <w:autoSpaceDE w:val="0"/>
        <w:autoSpaceDN w:val="0"/>
        <w:adjustRightInd w:val="0"/>
        <w:snapToGrid w:val="0"/>
        <w:spacing w:line="360" w:lineRule="auto"/>
        <w:rPr>
          <w:rFonts w:ascii="Times New Roman" w:hAnsi="Times New Roman" w:eastAsia="DengXian" w:cs="Times New Roman"/>
          <w:sz w:val="24"/>
        </w:rPr>
      </w:pPr>
    </w:p>
    <w:p w14:paraId="13B9BEAD">
      <w:pPr>
        <w:autoSpaceDE w:val="0"/>
        <w:autoSpaceDN w:val="0"/>
        <w:adjustRightInd w:val="0"/>
        <w:snapToGrid w:val="0"/>
        <w:spacing w:line="360" w:lineRule="auto"/>
        <w:rPr>
          <w:rFonts w:ascii="Times New Roman" w:hAnsi="Times New Roman" w:eastAsia="DengXian" w:cs="Times New Roman"/>
          <w:sz w:val="24"/>
        </w:rPr>
      </w:pPr>
    </w:p>
    <w:p w14:paraId="41F2EC62">
      <w:pPr>
        <w:autoSpaceDE w:val="0"/>
        <w:autoSpaceDN w:val="0"/>
        <w:adjustRightInd w:val="0"/>
        <w:snapToGrid w:val="0"/>
        <w:spacing w:line="360" w:lineRule="auto"/>
        <w:rPr>
          <w:rFonts w:ascii="Times New Roman" w:hAnsi="Times New Roman" w:eastAsia="DengXian" w:cs="Times New Roman"/>
          <w:sz w:val="24"/>
        </w:rPr>
      </w:pPr>
    </w:p>
    <w:p w14:paraId="120F9590">
      <w:pPr>
        <w:autoSpaceDE w:val="0"/>
        <w:autoSpaceDN w:val="0"/>
        <w:adjustRightInd w:val="0"/>
        <w:snapToGrid w:val="0"/>
        <w:spacing w:line="360" w:lineRule="auto"/>
        <w:rPr>
          <w:rFonts w:ascii="Times New Roman" w:hAnsi="Times New Roman" w:eastAsia="DengXian" w:cs="Times New Roman"/>
          <w:sz w:val="24"/>
        </w:rPr>
      </w:pPr>
    </w:p>
    <w:p w14:paraId="4BDAD17D">
      <w:pPr>
        <w:autoSpaceDE w:val="0"/>
        <w:autoSpaceDN w:val="0"/>
        <w:adjustRightInd w:val="0"/>
        <w:snapToGrid w:val="0"/>
        <w:spacing w:line="360" w:lineRule="auto"/>
        <w:rPr>
          <w:rFonts w:ascii="Times New Roman" w:hAnsi="Times New Roman" w:eastAsia="DengXian" w:cs="Times New Roman"/>
          <w:sz w:val="24"/>
        </w:rPr>
      </w:pPr>
    </w:p>
    <w:p w14:paraId="082A1DC8">
      <w:pPr>
        <w:autoSpaceDE w:val="0"/>
        <w:autoSpaceDN w:val="0"/>
        <w:adjustRightInd w:val="0"/>
        <w:snapToGrid w:val="0"/>
        <w:spacing w:line="360" w:lineRule="auto"/>
        <w:rPr>
          <w:rFonts w:ascii="Times New Roman" w:hAnsi="Times New Roman" w:eastAsia="DengXian" w:cs="Times New Roman"/>
          <w:sz w:val="24"/>
        </w:rPr>
      </w:pPr>
    </w:p>
    <w:p w14:paraId="10064D9A">
      <w:pPr>
        <w:autoSpaceDE w:val="0"/>
        <w:autoSpaceDN w:val="0"/>
        <w:adjustRightInd w:val="0"/>
        <w:snapToGrid w:val="0"/>
        <w:spacing w:line="360" w:lineRule="auto"/>
        <w:rPr>
          <w:rFonts w:ascii="Times New Roman" w:hAnsi="Times New Roman" w:eastAsia="DengXian" w:cs="Times New Roman"/>
          <w:sz w:val="24"/>
        </w:rPr>
      </w:pPr>
      <w:r>
        <w:rPr>
          <w:rFonts w:ascii="Times New Roman" w:hAnsi="Times New Roman" w:eastAsia="DengXian" w:cs="Times New Roman"/>
          <w:sz w:val="24"/>
        </w:rPr>
        <w:drawing>
          <wp:inline distT="0" distB="0" distL="0" distR="0">
            <wp:extent cx="5274310" cy="5824855"/>
            <wp:effectExtent l="0" t="0" r="8890" b="17145"/>
            <wp:docPr id="10" name="图片 10"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 条形图&#10;&#10;描述已自动生成"/>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5824855"/>
                    </a:xfrm>
                    <a:prstGeom prst="rect">
                      <a:avLst/>
                    </a:prstGeom>
                  </pic:spPr>
                </pic:pic>
              </a:graphicData>
            </a:graphic>
          </wp:inline>
        </w:drawing>
      </w:r>
    </w:p>
    <w:p w14:paraId="38A8ECBC">
      <w:pPr>
        <w:adjustRightInd w:val="0"/>
        <w:snapToGrid w:val="0"/>
        <w:spacing w:line="360" w:lineRule="auto"/>
        <w:rPr>
          <w:rFonts w:ascii="Times New Roman" w:hAnsi="Times New Roman" w:eastAsia="DengXian" w:cs="Times New Roman"/>
          <w:sz w:val="24"/>
        </w:rPr>
      </w:pPr>
      <w:r>
        <w:rPr>
          <w:rFonts w:hint="eastAsia" w:ascii="Times New Roman" w:hAnsi="Times New Roman" w:eastAsia="DengXian" w:cs="Times New Roman"/>
          <w:b/>
          <w:bCs/>
          <w:sz w:val="24"/>
        </w:rPr>
        <w:t>Figure</w:t>
      </w:r>
      <w:r>
        <w:rPr>
          <w:rFonts w:ascii="Times New Roman" w:hAnsi="Times New Roman" w:eastAsia="DengXian" w:cs="Times New Roman"/>
          <w:b/>
          <w:bCs/>
          <w:sz w:val="24"/>
        </w:rPr>
        <w:t xml:space="preserve"> S2. Annotation and differential expression between AOSD patients and healthy controls in the neutrophil subgroup.</w:t>
      </w:r>
      <w:r>
        <w:rPr>
          <w:rFonts w:ascii="Times New Roman" w:hAnsi="Times New Roman" w:eastAsia="DengXian" w:cs="Times New Roman"/>
          <w:sz w:val="24"/>
        </w:rPr>
        <w:t xml:space="preserve"> (A) Top 10 </w:t>
      </w:r>
      <w:r>
        <w:rPr>
          <w:rFonts w:hint="eastAsia" w:ascii="Times New Roman" w:hAnsi="Times New Roman" w:eastAsia="DengXian" w:cs="Times New Roman"/>
          <w:sz w:val="24"/>
        </w:rPr>
        <w:t>differentially expressed</w:t>
      </w:r>
      <w:r>
        <w:rPr>
          <w:rFonts w:ascii="Times New Roman" w:hAnsi="Times New Roman" w:eastAsia="DengXian" w:cs="Times New Roman"/>
          <w:sz w:val="24"/>
        </w:rPr>
        <w:t xml:space="preserve"> genes</w:t>
      </w:r>
      <w:r>
        <w:rPr>
          <w:rFonts w:hint="eastAsia" w:ascii="Times New Roman" w:hAnsi="Times New Roman" w:eastAsia="DengXian" w:cs="Times New Roman"/>
          <w:sz w:val="24"/>
        </w:rPr>
        <w:t xml:space="preserve"> (DEGs)</w:t>
      </w:r>
      <w:r>
        <w:rPr>
          <w:rFonts w:ascii="Times New Roman" w:hAnsi="Times New Roman" w:eastAsia="DengXian" w:cs="Times New Roman"/>
          <w:sz w:val="24"/>
        </w:rPr>
        <w:t xml:space="preserve"> in neutrophil clusters. Red characters denote the AOSD related genes identified in previous studies. </w:t>
      </w:r>
      <w:r>
        <w:rPr>
          <w:rFonts w:ascii="Times New Roman" w:hAnsi="Times New Roman" w:eastAsia="宋体" w:cs="Times New Roman"/>
          <w:kern w:val="0"/>
          <w:sz w:val="24"/>
        </w:rPr>
        <w:t>(B) Trajectory inference analysis demonstrating the heterogeneity of neutrophil clusters (via Slingshot, using healthy cells as the root).</w:t>
      </w:r>
      <w:r>
        <w:rPr>
          <w:rFonts w:ascii="Times New Roman" w:hAnsi="Times New Roman" w:eastAsia="宋体" w:cs="Times New Roman"/>
          <w:b/>
          <w:bCs/>
          <w:kern w:val="0"/>
          <w:sz w:val="24"/>
        </w:rPr>
        <w:t xml:space="preserve"> </w:t>
      </w:r>
      <w:r>
        <w:rPr>
          <w:rFonts w:ascii="Times New Roman" w:hAnsi="Times New Roman" w:eastAsia="DengXian" w:cs="Times New Roman"/>
          <w:sz w:val="24"/>
        </w:rPr>
        <w:t xml:space="preserve">(C) Maturation heterogeneity in our neutrophil subgroup compared to the public neutrophil maturation dataset (Xie et al., 2020) (Fisher’s exact test, </w:t>
      </w:r>
      <w:r>
        <w:rPr>
          <w:rFonts w:hint="eastAsia" w:ascii="Times New Roman" w:hAnsi="Times New Roman" w:eastAsia="DengXian" w:cs="Times New Roman"/>
          <w:sz w:val="24"/>
        </w:rPr>
        <w:t xml:space="preserve">one-sided, </w:t>
      </w:r>
      <w:r>
        <w:rPr>
          <w:rFonts w:ascii="Times New Roman" w:hAnsi="Times New Roman" w:eastAsia="DengXian" w:cs="Times New Roman"/>
          <w:sz w:val="24"/>
        </w:rPr>
        <w:t>p&lt;0.05, OR&gt;1).</w:t>
      </w:r>
    </w:p>
    <w:p w14:paraId="79C6BEF7">
      <w:pPr>
        <w:adjustRightInd w:val="0"/>
        <w:snapToGrid w:val="0"/>
        <w:spacing w:line="360" w:lineRule="auto"/>
        <w:rPr>
          <w:rFonts w:ascii="Times New Roman" w:hAnsi="Times New Roman" w:eastAsia="DengXian" w:cs="Times New Roman"/>
          <w:sz w:val="24"/>
        </w:rPr>
      </w:pPr>
    </w:p>
    <w:p w14:paraId="789B0709">
      <w:pPr>
        <w:adjustRightInd w:val="0"/>
        <w:snapToGrid w:val="0"/>
        <w:spacing w:line="360" w:lineRule="auto"/>
        <w:rPr>
          <w:rFonts w:ascii="Times New Roman" w:hAnsi="Times New Roman" w:eastAsia="DengXian" w:cs="Times New Roman"/>
          <w:sz w:val="24"/>
        </w:rPr>
      </w:pPr>
      <w:r>
        <w:rPr>
          <w:rFonts w:ascii="Times New Roman" w:hAnsi="Times New Roman" w:eastAsia="DengXian" w:cs="Times New Roman"/>
          <w:sz w:val="24"/>
        </w:rPr>
        <w:drawing>
          <wp:inline distT="0" distB="0" distL="0" distR="0">
            <wp:extent cx="5274310" cy="7140575"/>
            <wp:effectExtent l="0" t="0" r="8890" b="22225"/>
            <wp:docPr id="8" name="图片 8"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图表&#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140575"/>
                    </a:xfrm>
                    <a:prstGeom prst="rect">
                      <a:avLst/>
                    </a:prstGeom>
                  </pic:spPr>
                </pic:pic>
              </a:graphicData>
            </a:graphic>
          </wp:inline>
        </w:drawing>
      </w:r>
    </w:p>
    <w:p w14:paraId="16794421">
      <w:pPr>
        <w:adjustRightInd w:val="0"/>
        <w:snapToGrid w:val="0"/>
        <w:spacing w:line="360" w:lineRule="auto"/>
        <w:rPr>
          <w:rFonts w:ascii="Times New Roman" w:hAnsi="Times New Roman" w:eastAsia="DengXian" w:cs="Times New Roman"/>
          <w:sz w:val="24"/>
        </w:rPr>
      </w:pPr>
      <w:r>
        <w:rPr>
          <w:rFonts w:ascii="Times New Roman" w:hAnsi="Times New Roman" w:eastAsia="DengXian" w:cs="Times New Roman"/>
          <w:b/>
          <w:bCs/>
          <w:sz w:val="24"/>
        </w:rPr>
        <w:t xml:space="preserve">Figure S3. Heterogeneity of macrophages in AOSD. </w:t>
      </w:r>
      <w:r>
        <w:rPr>
          <w:rFonts w:ascii="Times New Roman" w:hAnsi="Times New Roman" w:eastAsia="DengXian" w:cs="Times New Roman"/>
          <w:sz w:val="24"/>
        </w:rPr>
        <w:t xml:space="preserve">(A) TSNE presentation of macrophage subgroups M0-M6 and TSNE presentation of AOSD </w:t>
      </w:r>
      <w:r>
        <w:rPr>
          <w:rFonts w:hint="eastAsia" w:ascii="Times New Roman" w:hAnsi="Times New Roman" w:eastAsia="DengXian" w:cs="Times New Roman"/>
          <w:sz w:val="24"/>
        </w:rPr>
        <w:t>patient</w:t>
      </w:r>
      <w:r>
        <w:rPr>
          <w:rFonts w:ascii="Times New Roman" w:hAnsi="Times New Roman" w:eastAsia="DengXian" w:cs="Times New Roman"/>
          <w:sz w:val="24"/>
        </w:rPr>
        <w:t xml:space="preserve"> and control macrophages. (B) </w:t>
      </w:r>
      <w:r>
        <w:rPr>
          <w:rFonts w:ascii="Times New Roman" w:hAnsi="Times New Roman" w:eastAsia="宋体" w:cs="Times New Roman"/>
          <w:kern w:val="0"/>
          <w:sz w:val="24"/>
        </w:rPr>
        <w:t>Cell percentage of the macrophage subgroups in control and AOSD patient samples in all cells and in macrophages.</w:t>
      </w:r>
      <w:r>
        <w:rPr>
          <w:rFonts w:ascii="Times New Roman" w:hAnsi="Times New Roman" w:eastAsia="DengXian" w:cs="Times New Roman"/>
          <w:sz w:val="24"/>
        </w:rPr>
        <w:t xml:space="preserve"> (C) Signature genes in each macrophage subgroups. (D) DEGs between sepsis patients and healthy controls in macrophage. (E) Spearman correlation between expressions of ZFP36L2 </w:t>
      </w:r>
      <w:r>
        <w:rPr>
          <w:rFonts w:hint="eastAsia" w:ascii="Times New Roman" w:hAnsi="Times New Roman" w:eastAsia="DengXian" w:cs="Times New Roman"/>
          <w:sz w:val="24"/>
        </w:rPr>
        <w:t xml:space="preserve">or RGS2 </w:t>
      </w:r>
      <w:r>
        <w:rPr>
          <w:rFonts w:ascii="Times New Roman" w:hAnsi="Times New Roman" w:eastAsia="DengXian" w:cs="Times New Roman"/>
          <w:sz w:val="24"/>
        </w:rPr>
        <w:t xml:space="preserve">and other genes in </w:t>
      </w:r>
      <w:r>
        <w:rPr>
          <w:rFonts w:hint="eastAsia" w:ascii="Times New Roman" w:hAnsi="Times New Roman" w:eastAsia="DengXian" w:cs="Times New Roman"/>
          <w:sz w:val="24"/>
        </w:rPr>
        <w:t xml:space="preserve">Macrophage </w:t>
      </w:r>
      <w:r>
        <w:rPr>
          <w:rFonts w:ascii="Times New Roman" w:hAnsi="Times New Roman" w:eastAsia="DengXian" w:cs="Times New Roman"/>
          <w:sz w:val="24"/>
        </w:rPr>
        <w:t>subsets. Genes are ranked by their increasing correlation</w:t>
      </w:r>
      <w:r>
        <w:rPr>
          <w:rFonts w:hint="eastAsia" w:ascii="Times New Roman" w:hAnsi="Times New Roman" w:eastAsia="DengXian" w:cs="Times New Roman"/>
          <w:sz w:val="24"/>
        </w:rPr>
        <w:t xml:space="preserve"> </w:t>
      </w:r>
      <w:r>
        <w:rPr>
          <w:rFonts w:ascii="Times New Roman" w:hAnsi="Times New Roman" w:eastAsia="DengXian" w:cs="Times New Roman"/>
          <w:sz w:val="24"/>
        </w:rPr>
        <w:t>coefﬁcient (</w:t>
      </w:r>
      <w:r>
        <w:rPr>
          <w:rFonts w:hint="eastAsia" w:ascii="Times New Roman" w:hAnsi="Times New Roman" w:eastAsia="DengXian" w:cs="Times New Roman"/>
          <w:sz w:val="24"/>
        </w:rPr>
        <w:t>Spearman</w:t>
      </w:r>
      <w:r>
        <w:rPr>
          <w:rFonts w:ascii="Times New Roman" w:hAnsi="Times New Roman" w:eastAsia="DengXian" w:cs="Times New Roman"/>
          <w:sz w:val="24"/>
        </w:rPr>
        <w:t xml:space="preserve">), and top </w:t>
      </w:r>
      <w:r>
        <w:rPr>
          <w:rFonts w:hint="eastAsia" w:ascii="Times New Roman" w:hAnsi="Times New Roman" w:eastAsia="DengXian" w:cs="Times New Roman"/>
          <w:sz w:val="24"/>
        </w:rPr>
        <w:t>3</w:t>
      </w:r>
      <w:r>
        <w:rPr>
          <w:rFonts w:ascii="Times New Roman" w:hAnsi="Times New Roman" w:eastAsia="DengXian" w:cs="Times New Roman"/>
          <w:sz w:val="24"/>
        </w:rPr>
        <w:t>0 genes are labeled. Genes with a Q-value</w:t>
      </w:r>
      <w:r>
        <w:rPr>
          <w:rFonts w:hint="eastAsia" w:ascii="Times New Roman" w:hAnsi="Times New Roman" w:eastAsia="DengXian" w:cs="Times New Roman"/>
          <w:sz w:val="24"/>
        </w:rPr>
        <w:t xml:space="preserve"> &lt; </w:t>
      </w:r>
      <w:r>
        <w:rPr>
          <w:rFonts w:ascii="Times New Roman" w:hAnsi="Times New Roman" w:eastAsia="DengXian" w:cs="Times New Roman"/>
          <w:sz w:val="24"/>
        </w:rPr>
        <w:t xml:space="preserve">0.05 are shown in red </w:t>
      </w:r>
      <w:r>
        <w:rPr>
          <w:rFonts w:hint="eastAsia" w:ascii="Times New Roman" w:hAnsi="Times New Roman" w:eastAsia="DengXian" w:cs="Times New Roman"/>
          <w:sz w:val="24"/>
        </w:rPr>
        <w:t xml:space="preserve">or blue </w:t>
      </w:r>
      <w:r>
        <w:rPr>
          <w:rFonts w:ascii="Times New Roman" w:hAnsi="Times New Roman" w:eastAsia="DengXian" w:cs="Times New Roman"/>
          <w:sz w:val="24"/>
        </w:rPr>
        <w:t>points.</w:t>
      </w:r>
    </w:p>
    <w:p w14:paraId="6582AC00">
      <w:pPr>
        <w:adjustRightInd w:val="0"/>
        <w:snapToGrid w:val="0"/>
        <w:spacing w:line="360" w:lineRule="auto"/>
        <w:rPr>
          <w:rFonts w:ascii="Times New Roman" w:hAnsi="Times New Roman" w:eastAsia="DengXian" w:cs="Times New Roman"/>
          <w:sz w:val="24"/>
        </w:rPr>
      </w:pPr>
    </w:p>
    <w:p w14:paraId="586829E9">
      <w:pPr>
        <w:adjustRightInd w:val="0"/>
        <w:snapToGrid w:val="0"/>
        <w:spacing w:line="360" w:lineRule="auto"/>
        <w:rPr>
          <w:rFonts w:ascii="Times New Roman" w:hAnsi="Times New Roman" w:eastAsia="DengXian" w:cs="Times New Roman"/>
          <w:sz w:val="24"/>
        </w:rPr>
      </w:pPr>
      <w:r>
        <w:rPr>
          <w:rFonts w:ascii="Times New Roman" w:hAnsi="Times New Roman" w:eastAsia="DengXian" w:cs="Times New Roman"/>
          <w:sz w:val="24"/>
        </w:rPr>
        <w:drawing>
          <wp:inline distT="0" distB="0" distL="0" distR="0">
            <wp:extent cx="5274310" cy="6104890"/>
            <wp:effectExtent l="0" t="0" r="8890" b="16510"/>
            <wp:docPr id="11" name="图片 1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图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6104890"/>
                    </a:xfrm>
                    <a:prstGeom prst="rect">
                      <a:avLst/>
                    </a:prstGeom>
                  </pic:spPr>
                </pic:pic>
              </a:graphicData>
            </a:graphic>
          </wp:inline>
        </w:drawing>
      </w:r>
    </w:p>
    <w:p w14:paraId="632963D0">
      <w:pPr>
        <w:adjustRightInd w:val="0"/>
        <w:snapToGrid w:val="0"/>
        <w:spacing w:line="360" w:lineRule="auto"/>
        <w:rPr>
          <w:rFonts w:ascii="Times New Roman" w:hAnsi="Times New Roman" w:eastAsia="DengXian" w:cs="Times New Roman"/>
          <w:sz w:val="24"/>
        </w:rPr>
      </w:pPr>
      <w:r>
        <w:rPr>
          <w:rFonts w:hint="eastAsia" w:ascii="Times New Roman" w:hAnsi="Times New Roman" w:eastAsia="DengXian" w:cs="Times New Roman"/>
          <w:b/>
          <w:bCs/>
          <w:sz w:val="24"/>
        </w:rPr>
        <w:t>Figure</w:t>
      </w:r>
      <w:r>
        <w:rPr>
          <w:rFonts w:ascii="Times New Roman" w:hAnsi="Times New Roman" w:eastAsia="DengXian" w:cs="Times New Roman"/>
          <w:b/>
          <w:bCs/>
          <w:sz w:val="24"/>
        </w:rPr>
        <w:t xml:space="preserve"> S4. Heterogeneity of B cells, T and NK cells in AOSD.</w:t>
      </w:r>
      <w:r>
        <w:rPr>
          <w:rFonts w:ascii="Times New Roman" w:hAnsi="Times New Roman" w:eastAsia="DengXian" w:cs="Times New Roman"/>
          <w:sz w:val="24"/>
        </w:rPr>
        <w:t xml:space="preserve"> (A) TSNE presentation of B cells subgroups and TSNE presentation of AOSD </w:t>
      </w:r>
      <w:r>
        <w:rPr>
          <w:rFonts w:hint="eastAsia" w:ascii="Times New Roman" w:hAnsi="Times New Roman" w:eastAsia="DengXian" w:cs="Times New Roman"/>
          <w:sz w:val="24"/>
        </w:rPr>
        <w:t>patient</w:t>
      </w:r>
      <w:r>
        <w:rPr>
          <w:rFonts w:ascii="Times New Roman" w:hAnsi="Times New Roman" w:eastAsia="DengXian" w:cs="Times New Roman"/>
          <w:sz w:val="24"/>
        </w:rPr>
        <w:t xml:space="preserve"> and control</w:t>
      </w:r>
      <w:r>
        <w:rPr>
          <w:rFonts w:hint="eastAsia" w:ascii="Times New Roman" w:hAnsi="Times New Roman" w:eastAsia="DengXian" w:cs="Times New Roman"/>
          <w:sz w:val="24"/>
        </w:rPr>
        <w:t xml:space="preserve"> </w:t>
      </w:r>
      <w:r>
        <w:rPr>
          <w:rFonts w:ascii="Times New Roman" w:hAnsi="Times New Roman" w:eastAsia="DengXian" w:cs="Times New Roman"/>
          <w:sz w:val="24"/>
        </w:rPr>
        <w:t xml:space="preserve">B cells. (B) </w:t>
      </w:r>
      <w:r>
        <w:rPr>
          <w:rFonts w:ascii="Times New Roman" w:hAnsi="Times New Roman" w:eastAsia="宋体" w:cs="Times New Roman"/>
          <w:kern w:val="0"/>
          <w:sz w:val="24"/>
        </w:rPr>
        <w:t xml:space="preserve">Cell percentage of the B cells subgroups in control and AOSD patient samples in all cells and in B cells. </w:t>
      </w:r>
      <w:r>
        <w:rPr>
          <w:rFonts w:ascii="Times New Roman" w:hAnsi="Times New Roman" w:eastAsia="DengXian" w:cs="Times New Roman"/>
          <w:sz w:val="24"/>
        </w:rPr>
        <w:t xml:space="preserve">(C) Signature genes in each B cells subgroups. (D) TSNE presentation of T and NK cells subgroups and TSNE presentation of AOSD </w:t>
      </w:r>
      <w:r>
        <w:rPr>
          <w:rFonts w:hint="eastAsia" w:ascii="Times New Roman" w:hAnsi="Times New Roman" w:eastAsia="DengXian" w:cs="Times New Roman"/>
          <w:sz w:val="24"/>
        </w:rPr>
        <w:t>patient</w:t>
      </w:r>
      <w:r>
        <w:rPr>
          <w:rFonts w:ascii="Times New Roman" w:hAnsi="Times New Roman" w:eastAsia="DengXian" w:cs="Times New Roman"/>
          <w:sz w:val="24"/>
        </w:rPr>
        <w:t xml:space="preserve"> and control</w:t>
      </w:r>
      <w:r>
        <w:rPr>
          <w:rFonts w:hint="eastAsia" w:ascii="Times New Roman" w:hAnsi="Times New Roman" w:eastAsia="DengXian" w:cs="Times New Roman"/>
          <w:sz w:val="24"/>
        </w:rPr>
        <w:t xml:space="preserve"> </w:t>
      </w:r>
      <w:r>
        <w:rPr>
          <w:rFonts w:ascii="Times New Roman" w:hAnsi="Times New Roman" w:eastAsia="DengXian" w:cs="Times New Roman"/>
          <w:sz w:val="24"/>
        </w:rPr>
        <w:t xml:space="preserve">T and NK cells. (E) </w:t>
      </w:r>
      <w:r>
        <w:rPr>
          <w:rFonts w:ascii="Times New Roman" w:hAnsi="Times New Roman" w:eastAsia="宋体" w:cs="Times New Roman"/>
          <w:kern w:val="0"/>
          <w:sz w:val="24"/>
        </w:rPr>
        <w:t xml:space="preserve">Cell percentage of the T and NK cells subgroups in control and AOSD patient samples in all cells and in T and NK cells. </w:t>
      </w:r>
      <w:r>
        <w:rPr>
          <w:rFonts w:ascii="Times New Roman" w:hAnsi="Times New Roman" w:eastAsia="DengXian" w:cs="Times New Roman"/>
          <w:sz w:val="24"/>
        </w:rPr>
        <w:t>(F) Signature genes in each T and NK cells subgroups.</w:t>
      </w:r>
    </w:p>
    <w:p w14:paraId="56DE7CE1">
      <w:pPr>
        <w:adjustRightInd w:val="0"/>
        <w:snapToGrid w:val="0"/>
        <w:spacing w:line="360" w:lineRule="auto"/>
        <w:rPr>
          <w:rFonts w:ascii="Times New Roman" w:hAnsi="Times New Roman" w:eastAsia="DengXian" w:cs="Times New Roman"/>
          <w:sz w:val="24"/>
        </w:rPr>
      </w:pPr>
    </w:p>
    <w:p w14:paraId="15462B03">
      <w:pPr>
        <w:adjustRightInd w:val="0"/>
        <w:snapToGrid w:val="0"/>
        <w:spacing w:line="360" w:lineRule="auto"/>
        <w:rPr>
          <w:rFonts w:ascii="Times New Roman" w:hAnsi="Times New Roman" w:eastAsia="DengXian" w:cs="Times New Roman"/>
          <w:sz w:val="24"/>
        </w:rPr>
      </w:pPr>
    </w:p>
    <w:p w14:paraId="2F0AA8BB">
      <w:pPr>
        <w:adjustRightInd w:val="0"/>
        <w:snapToGrid w:val="0"/>
        <w:spacing w:line="360" w:lineRule="auto"/>
        <w:rPr>
          <w:rFonts w:ascii="Times New Roman" w:hAnsi="Times New Roman" w:eastAsia="DengXian" w:cs="Times New Roman"/>
          <w:sz w:val="24"/>
        </w:rPr>
      </w:pPr>
      <w:r>
        <w:rPr>
          <w:rFonts w:ascii="Times New Roman" w:hAnsi="Times New Roman" w:eastAsia="DengXian" w:cs="Times New Roman"/>
          <w:sz w:val="24"/>
        </w:rPr>
        <w:drawing>
          <wp:inline distT="0" distB="0" distL="0" distR="0">
            <wp:extent cx="5274310" cy="3952875"/>
            <wp:effectExtent l="0" t="0" r="8890" b="9525"/>
            <wp:docPr id="12" name="图片 12"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示&#10;&#10;中度可信度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52875"/>
                    </a:xfrm>
                    <a:prstGeom prst="rect">
                      <a:avLst/>
                    </a:prstGeom>
                  </pic:spPr>
                </pic:pic>
              </a:graphicData>
            </a:graphic>
          </wp:inline>
        </w:drawing>
      </w:r>
    </w:p>
    <w:p w14:paraId="35971140">
      <w:pPr>
        <w:adjustRightInd w:val="0"/>
        <w:snapToGrid w:val="0"/>
        <w:spacing w:line="360" w:lineRule="auto"/>
        <w:rPr>
          <w:rFonts w:ascii="Times New Roman" w:hAnsi="Times New Roman" w:eastAsia="DengXian" w:cs="Times New Roman"/>
          <w:sz w:val="24"/>
        </w:rPr>
      </w:pPr>
      <w:r>
        <w:rPr>
          <w:rFonts w:hint="eastAsia" w:ascii="Times New Roman" w:hAnsi="Times New Roman" w:eastAsia="DengXian" w:cs="Times New Roman"/>
          <w:b/>
          <w:bCs/>
          <w:sz w:val="24"/>
        </w:rPr>
        <w:t>Figure</w:t>
      </w:r>
      <w:r>
        <w:rPr>
          <w:rFonts w:ascii="Times New Roman" w:hAnsi="Times New Roman" w:eastAsia="DengXian" w:cs="Times New Roman"/>
          <w:b/>
          <w:bCs/>
          <w:sz w:val="24"/>
        </w:rPr>
        <w:t xml:space="preserve"> S5. Cell interaction </w:t>
      </w:r>
      <w:r>
        <w:rPr>
          <w:rFonts w:hint="eastAsia" w:ascii="Times New Roman" w:hAnsi="Times New Roman" w:eastAsia="DengXian" w:cs="Times New Roman"/>
          <w:b/>
          <w:bCs/>
          <w:sz w:val="24"/>
        </w:rPr>
        <w:t>reveals</w:t>
      </w:r>
      <w:r>
        <w:rPr>
          <w:rFonts w:ascii="Times New Roman" w:hAnsi="Times New Roman" w:eastAsia="DengXian" w:cs="Times New Roman"/>
          <w:b/>
          <w:bCs/>
          <w:sz w:val="24"/>
        </w:rPr>
        <w:t xml:space="preserve"> </w:t>
      </w:r>
      <w:r>
        <w:rPr>
          <w:rFonts w:hint="eastAsia" w:ascii="Times New Roman" w:hAnsi="Times New Roman" w:eastAsia="DengXian" w:cs="Times New Roman"/>
          <w:b/>
          <w:bCs/>
          <w:sz w:val="24"/>
        </w:rPr>
        <w:t>changes</w:t>
      </w:r>
      <w:r>
        <w:rPr>
          <w:rFonts w:ascii="Times New Roman" w:hAnsi="Times New Roman" w:eastAsia="DengXian" w:cs="Times New Roman"/>
          <w:b/>
          <w:bCs/>
          <w:sz w:val="24"/>
        </w:rPr>
        <w:t xml:space="preserve"> </w:t>
      </w:r>
      <w:r>
        <w:rPr>
          <w:rFonts w:hint="eastAsia" w:ascii="Times New Roman" w:hAnsi="Times New Roman" w:eastAsia="DengXian" w:cs="Times New Roman"/>
          <w:b/>
          <w:bCs/>
          <w:sz w:val="24"/>
        </w:rPr>
        <w:t>in</w:t>
      </w:r>
      <w:r>
        <w:rPr>
          <w:rFonts w:ascii="Times New Roman" w:hAnsi="Times New Roman" w:eastAsia="DengXian" w:cs="Times New Roman"/>
          <w:b/>
          <w:bCs/>
          <w:sz w:val="24"/>
        </w:rPr>
        <w:t xml:space="preserve"> </w:t>
      </w:r>
      <w:r>
        <w:rPr>
          <w:rFonts w:hint="eastAsia" w:ascii="Times New Roman" w:hAnsi="Times New Roman" w:eastAsia="DengXian" w:cs="Times New Roman"/>
          <w:b/>
          <w:bCs/>
          <w:sz w:val="24"/>
        </w:rPr>
        <w:t>signaling</w:t>
      </w:r>
      <w:r>
        <w:rPr>
          <w:rFonts w:ascii="Times New Roman" w:hAnsi="Times New Roman" w:eastAsia="DengXian" w:cs="Times New Roman"/>
          <w:b/>
          <w:bCs/>
          <w:sz w:val="24"/>
        </w:rPr>
        <w:t xml:space="preserve"> pathway </w:t>
      </w:r>
      <w:r>
        <w:rPr>
          <w:rFonts w:hint="eastAsia" w:ascii="Times New Roman" w:hAnsi="Times New Roman" w:eastAsia="DengXian" w:cs="Times New Roman"/>
          <w:b/>
          <w:bCs/>
          <w:sz w:val="24"/>
        </w:rPr>
        <w:t>in</w:t>
      </w:r>
      <w:r>
        <w:rPr>
          <w:rFonts w:ascii="Times New Roman" w:hAnsi="Times New Roman" w:eastAsia="DengXian" w:cs="Times New Roman"/>
          <w:b/>
          <w:bCs/>
          <w:sz w:val="24"/>
        </w:rPr>
        <w:t xml:space="preserve"> AOSD. </w:t>
      </w:r>
      <w:r>
        <w:rPr>
          <w:rFonts w:ascii="Times New Roman" w:hAnsi="Times New Roman" w:eastAsia="DengXian" w:cs="Times New Roman"/>
          <w:sz w:val="24"/>
        </w:rPr>
        <w:t xml:space="preserve">(A-B) Relative information flow of pathways (A) and information flow of pathways (B). Blue/red bar denotes AOSD/control group. (C-F) </w:t>
      </w:r>
      <w:r>
        <w:rPr>
          <w:rFonts w:ascii="Times New Roman" w:hAnsi="Times New Roman" w:eastAsia="DengXian" w:cs="Times New Roman"/>
          <w:i/>
          <w:iCs/>
          <w:sz w:val="24"/>
        </w:rPr>
        <w:t>CD46, IFN-II, MK, CD70</w:t>
      </w:r>
      <w:r>
        <w:rPr>
          <w:rFonts w:ascii="Times New Roman" w:hAnsi="Times New Roman" w:eastAsia="DengXian" w:cs="Times New Roman"/>
          <w:sz w:val="24"/>
        </w:rPr>
        <w:t xml:space="preserve"> signaling pathway change in AOSD and control, order by information flow strength. The purple bar denotes patient cell signaling importance. In IFN-II pathway, orange characters denote increased cell signal importance in receptor in AOSD, green characters denote increased cell signal importance in ligand in AOSD, and red characters denote increased cell signal importance in both receptor and ligand in AOSD. </w:t>
      </w:r>
    </w:p>
    <w:p w14:paraId="16669D49">
      <w:pPr>
        <w:adjustRightInd w:val="0"/>
        <w:snapToGrid w:val="0"/>
        <w:spacing w:line="360" w:lineRule="auto"/>
        <w:rPr>
          <w:rFonts w:ascii="Times New Roman" w:hAnsi="Times New Roman" w:eastAsia="DengXian" w:cs="Times New Roman"/>
          <w:sz w:val="24"/>
        </w:rPr>
      </w:pPr>
    </w:p>
    <w:p w14:paraId="25E73BB2">
      <w:pPr>
        <w:adjustRightInd w:val="0"/>
        <w:snapToGrid w:val="0"/>
        <w:spacing w:line="360" w:lineRule="auto"/>
        <w:rPr>
          <w:rFonts w:ascii="Times New Roman" w:hAnsi="Times New Roman" w:eastAsia="DengXian" w:cs="Times New Roman"/>
          <w:sz w:val="24"/>
        </w:rPr>
      </w:pPr>
    </w:p>
    <w:p w14:paraId="54CE47A7">
      <w:pPr>
        <w:adjustRightInd w:val="0"/>
        <w:snapToGrid w:val="0"/>
        <w:spacing w:line="360" w:lineRule="auto"/>
        <w:rPr>
          <w:rFonts w:ascii="Times New Roman" w:hAnsi="Times New Roman" w:eastAsia="DengXian" w:cs="Times New Roman"/>
          <w:sz w:val="24"/>
        </w:rPr>
      </w:pPr>
      <w:r>
        <w:rPr>
          <w:rFonts w:ascii="Times New Roman" w:hAnsi="Times New Roman" w:eastAsia="DengXian" w:cs="Times New Roman"/>
          <w:sz w:val="24"/>
        </w:rPr>
        <w:drawing>
          <wp:inline distT="0" distB="0" distL="0" distR="0">
            <wp:extent cx="5274310" cy="2607310"/>
            <wp:effectExtent l="0" t="0" r="8890" b="8890"/>
            <wp:docPr id="9" name="图片 9"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 图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607310"/>
                    </a:xfrm>
                    <a:prstGeom prst="rect">
                      <a:avLst/>
                    </a:prstGeom>
                  </pic:spPr>
                </pic:pic>
              </a:graphicData>
            </a:graphic>
          </wp:inline>
        </w:drawing>
      </w:r>
    </w:p>
    <w:p w14:paraId="228AAE66">
      <w:pPr>
        <w:adjustRightInd w:val="0"/>
        <w:snapToGrid w:val="0"/>
        <w:spacing w:line="360" w:lineRule="auto"/>
        <w:rPr>
          <w:rFonts w:ascii="Times New Roman" w:hAnsi="Times New Roman" w:eastAsia="DengXian" w:cs="Times New Roman"/>
          <w:sz w:val="24"/>
        </w:rPr>
      </w:pPr>
      <w:r>
        <w:rPr>
          <w:rFonts w:hint="eastAsia" w:ascii="Times New Roman" w:hAnsi="Times New Roman" w:eastAsia="DengXian" w:cs="Times New Roman"/>
          <w:b/>
          <w:bCs/>
          <w:sz w:val="24"/>
        </w:rPr>
        <w:t>Figure</w:t>
      </w:r>
      <w:r>
        <w:rPr>
          <w:rFonts w:ascii="Times New Roman" w:hAnsi="Times New Roman" w:eastAsia="DengXian" w:cs="Times New Roman"/>
          <w:b/>
          <w:bCs/>
          <w:sz w:val="24"/>
        </w:rPr>
        <w:t xml:space="preserve"> S6. The scores of ZFP36L2, cytostorm and IFN pathways in macrophages, T and Nk cells, and B cells. </w:t>
      </w:r>
      <w:r>
        <w:rPr>
          <w:rFonts w:ascii="Times New Roman" w:hAnsi="Times New Roman" w:eastAsia="DengXian" w:cs="Times New Roman"/>
          <w:sz w:val="24"/>
        </w:rPr>
        <w:t>(A)</w:t>
      </w:r>
      <w:r>
        <w:rPr>
          <w:rFonts w:ascii="Times New Roman" w:hAnsi="Times New Roman" w:eastAsia="DengXian" w:cs="Times New Roman"/>
          <w:b/>
          <w:bCs/>
          <w:sz w:val="24"/>
        </w:rPr>
        <w:t xml:space="preserve"> </w:t>
      </w:r>
      <w:r>
        <w:rPr>
          <w:rFonts w:ascii="Times New Roman" w:hAnsi="Times New Roman" w:eastAsia="DengXian" w:cs="Times New Roman"/>
          <w:sz w:val="24"/>
        </w:rPr>
        <w:t>Boxplots comparing the scores of ZFP36L2, cytostorm and IFN pathways in macrophages, T and Nk cells, and B cells in the control and AOSD groups. P values were calculated using the Mann-Whitney U test. ****, p &lt; 0.0001. (B) Scatterplots displaying the scores of cytostorm, IFNs pathways in macrophages, T and Nk cells, and B cells relative to ZFP36L2. Cell subtypes are represented by different colors. Subjects are denoted by different shapes. Cell subtypes are represented by different colors. Subjects are denoted by different shapes.</w:t>
      </w:r>
    </w:p>
    <w:p w14:paraId="0F33BF60">
      <w:pPr>
        <w:adjustRightInd w:val="0"/>
        <w:snapToGrid w:val="0"/>
        <w:spacing w:line="360" w:lineRule="auto"/>
        <w:rPr>
          <w:rFonts w:ascii="Times New Roman" w:hAnsi="Times New Roman" w:eastAsia="DengXian" w:cs="Times New Roman"/>
          <w:b/>
          <w:bCs/>
          <w:color w:val="000000"/>
          <w:sz w:val="24"/>
        </w:rPr>
      </w:pPr>
      <w:r>
        <w:rPr>
          <w:rFonts w:ascii="Times New Roman" w:hAnsi="Times New Roman" w:eastAsia="DengXian" w:cs="Times New Roman"/>
          <w:b/>
          <w:bCs/>
          <w:color w:val="000000"/>
          <w:sz w:val="24"/>
        </w:rPr>
        <w:br w:type="page"/>
      </w:r>
    </w:p>
    <w:p w14:paraId="04A07335">
      <w:pPr>
        <w:adjustRightInd w:val="0"/>
        <w:snapToGrid w:val="0"/>
        <w:spacing w:line="360" w:lineRule="auto"/>
        <w:rPr>
          <w:rFonts w:ascii="Times New Roman" w:hAnsi="Times New Roman" w:eastAsia="DengXian" w:cs="Times New Roman"/>
          <w:b/>
          <w:bCs/>
          <w:sz w:val="28"/>
          <w:szCs w:val="28"/>
        </w:rPr>
      </w:pPr>
      <w:r>
        <w:rPr>
          <w:rFonts w:ascii="Times New Roman" w:hAnsi="Times New Roman" w:eastAsia="DengXian" w:cs="Times New Roman"/>
          <w:b/>
          <w:bCs/>
          <w:sz w:val="28"/>
          <w:szCs w:val="28"/>
        </w:rPr>
        <w:t>Supplementary tables:</w:t>
      </w:r>
    </w:p>
    <w:p w14:paraId="75BE0C3B">
      <w:pPr>
        <w:adjustRightInd w:val="0"/>
        <w:snapToGrid w:val="0"/>
        <w:spacing w:line="360" w:lineRule="auto"/>
        <w:rPr>
          <w:rFonts w:ascii="Times New Roman" w:hAnsi="Times New Roman" w:eastAsia="DengXian" w:cs="Times New Roman"/>
          <w:b/>
          <w:bCs/>
          <w:sz w:val="24"/>
        </w:rPr>
      </w:pPr>
      <w:r>
        <w:rPr>
          <w:rFonts w:ascii="Times New Roman" w:hAnsi="Times New Roman" w:eastAsia="DengXian" w:cs="Times New Roman"/>
          <w:b/>
          <w:bCs/>
          <w:sz w:val="24"/>
        </w:rPr>
        <w:t xml:space="preserve">Table S1. Clinical features for AOSD patients and healthy volunteers. </w:t>
      </w:r>
    </w:p>
    <w:p w14:paraId="0996311B">
      <w:pPr>
        <w:adjustRightInd w:val="0"/>
        <w:snapToGrid w:val="0"/>
        <w:spacing w:line="360" w:lineRule="auto"/>
        <w:rPr>
          <w:rFonts w:ascii="Times New Roman" w:hAnsi="Times New Roman" w:eastAsia="DengXian" w:cs="Times New Roman"/>
          <w:sz w:val="24"/>
        </w:rPr>
      </w:pPr>
      <w:r>
        <w:rPr>
          <w:rFonts w:ascii="Times New Roman" w:hAnsi="Times New Roman" w:eastAsia="DengXian" w:cs="Times New Roman"/>
          <w:sz w:val="24"/>
        </w:rPr>
        <w:t>The demographic and clinical characteristics of these patients are listed in online supplemental table 1. The main symptoms of the whole body are fever, typical rash, arthritis, sore throat, lymphadenopathy and splenomegaly. All three patients had very high levels of ferritin, C-reactive protein (CRP), and lactate dehydrogenase (LDH) along with leukocytosis and elevated erythrocyte sedimentation rate (ESR)</w:t>
      </w:r>
    </w:p>
    <w:tbl>
      <w:tblPr>
        <w:tblStyle w:val="3"/>
        <w:tblW w:w="8833" w:type="dxa"/>
        <w:tblInd w:w="-249" w:type="dxa"/>
        <w:tblLayout w:type="autofit"/>
        <w:tblCellMar>
          <w:top w:w="0" w:type="dxa"/>
          <w:left w:w="108" w:type="dxa"/>
          <w:bottom w:w="0" w:type="dxa"/>
          <w:right w:w="108" w:type="dxa"/>
        </w:tblCellMar>
      </w:tblPr>
      <w:tblGrid>
        <w:gridCol w:w="2180"/>
        <w:gridCol w:w="3105"/>
        <w:gridCol w:w="3548"/>
      </w:tblGrid>
      <w:tr w14:paraId="42CF14C1">
        <w:trPr>
          <w:trHeight w:val="540" w:hRule="atLeast"/>
        </w:trPr>
        <w:tc>
          <w:tcPr>
            <w:tcW w:w="2180" w:type="dxa"/>
            <w:tcBorders>
              <w:top w:val="single" w:color="auto" w:sz="4" w:space="0"/>
              <w:left w:val="nil"/>
              <w:bottom w:val="single" w:color="auto" w:sz="4" w:space="0"/>
              <w:right w:val="nil"/>
            </w:tcBorders>
            <w:shd w:val="clear" w:color="auto" w:fill="auto"/>
            <w:noWrap/>
            <w:vAlign w:val="center"/>
          </w:tcPr>
          <w:p w14:paraId="33D1D87F">
            <w:pPr>
              <w:widowControl/>
              <w:jc w:val="center"/>
              <w:rPr>
                <w:rFonts w:ascii="Times New Roman" w:hAnsi="Times New Roman" w:eastAsia="DengXian" w:cs="Times New Roman"/>
                <w:sz w:val="24"/>
              </w:rPr>
            </w:pPr>
          </w:p>
        </w:tc>
        <w:tc>
          <w:tcPr>
            <w:tcW w:w="3105" w:type="dxa"/>
            <w:tcBorders>
              <w:top w:val="single" w:color="auto" w:sz="4" w:space="0"/>
              <w:left w:val="nil"/>
              <w:bottom w:val="single" w:color="auto" w:sz="4" w:space="0"/>
              <w:right w:val="nil"/>
            </w:tcBorders>
            <w:shd w:val="clear" w:color="auto" w:fill="auto"/>
            <w:vAlign w:val="center"/>
          </w:tcPr>
          <w:p w14:paraId="56932E8A">
            <w:pPr>
              <w:widowControl/>
              <w:jc w:val="center"/>
              <w:rPr>
                <w:rFonts w:ascii="Times New Roman" w:hAnsi="Times New Roman" w:eastAsia="DengXian" w:cs="Times New Roman"/>
                <w:sz w:val="24"/>
              </w:rPr>
            </w:pPr>
            <w:r>
              <w:rPr>
                <w:rFonts w:hint="eastAsia" w:ascii="Times New Roman" w:hAnsi="Times New Roman" w:eastAsia="DengXian" w:cs="Times New Roman"/>
                <w:sz w:val="24"/>
              </w:rPr>
              <w:t>Patients</w:t>
            </w:r>
          </w:p>
        </w:tc>
        <w:tc>
          <w:tcPr>
            <w:tcW w:w="3548" w:type="dxa"/>
            <w:tcBorders>
              <w:top w:val="single" w:color="auto" w:sz="4" w:space="0"/>
              <w:left w:val="nil"/>
              <w:bottom w:val="single" w:color="auto" w:sz="4" w:space="0"/>
              <w:right w:val="nil"/>
            </w:tcBorders>
            <w:shd w:val="clear" w:color="auto" w:fill="auto"/>
            <w:vAlign w:val="center"/>
          </w:tcPr>
          <w:p w14:paraId="7BC9D145">
            <w:pPr>
              <w:widowControl/>
              <w:jc w:val="center"/>
              <w:rPr>
                <w:rFonts w:ascii="Times New Roman" w:hAnsi="Times New Roman" w:eastAsia="DengXian" w:cs="Times New Roman"/>
                <w:sz w:val="24"/>
              </w:rPr>
            </w:pPr>
            <w:r>
              <w:rPr>
                <w:rFonts w:ascii="Times New Roman" w:hAnsi="Times New Roman" w:eastAsia="DengXian" w:cs="Times New Roman"/>
                <w:sz w:val="24"/>
              </w:rPr>
              <w:t>HC</w:t>
            </w:r>
          </w:p>
        </w:tc>
      </w:tr>
      <w:tr w14:paraId="63EA086F">
        <w:trPr>
          <w:trHeight w:val="320" w:hRule="atLeast"/>
        </w:trPr>
        <w:tc>
          <w:tcPr>
            <w:tcW w:w="2180" w:type="dxa"/>
            <w:tcBorders>
              <w:top w:val="nil"/>
              <w:left w:val="nil"/>
              <w:bottom w:val="nil"/>
              <w:right w:val="nil"/>
            </w:tcBorders>
            <w:shd w:val="clear" w:color="auto" w:fill="auto"/>
            <w:vAlign w:val="center"/>
          </w:tcPr>
          <w:p w14:paraId="53BD5BCB">
            <w:pPr>
              <w:widowControl/>
              <w:jc w:val="center"/>
              <w:rPr>
                <w:rFonts w:ascii="Times New Roman" w:hAnsi="Times New Roman" w:eastAsia="DengXian" w:cs="Times New Roman"/>
                <w:sz w:val="24"/>
              </w:rPr>
            </w:pPr>
            <w:r>
              <w:rPr>
                <w:rFonts w:hint="eastAsia" w:ascii="Times New Roman" w:hAnsi="Times New Roman" w:eastAsia="DengXian" w:cs="Times New Roman"/>
                <w:sz w:val="24"/>
              </w:rPr>
              <w:t>Gender</w:t>
            </w:r>
          </w:p>
        </w:tc>
        <w:tc>
          <w:tcPr>
            <w:tcW w:w="3105" w:type="dxa"/>
            <w:tcBorders>
              <w:top w:val="nil"/>
              <w:left w:val="nil"/>
              <w:bottom w:val="nil"/>
              <w:right w:val="nil"/>
            </w:tcBorders>
            <w:shd w:val="clear" w:color="auto" w:fill="auto"/>
            <w:vAlign w:val="center"/>
          </w:tcPr>
          <w:p w14:paraId="57E8B793">
            <w:pPr>
              <w:widowControl/>
              <w:jc w:val="center"/>
              <w:rPr>
                <w:rFonts w:ascii="Times New Roman" w:hAnsi="Times New Roman" w:eastAsia="DengXian" w:cs="Times New Roman"/>
                <w:sz w:val="24"/>
              </w:rPr>
            </w:pPr>
            <w:r>
              <w:rPr>
                <w:rFonts w:hint="eastAsia" w:ascii="Times New Roman" w:hAnsi="Times New Roman" w:eastAsia="DengXian" w:cs="Times New Roman"/>
                <w:sz w:val="24"/>
              </w:rPr>
              <w:t>Female</w:t>
            </w:r>
          </w:p>
        </w:tc>
        <w:tc>
          <w:tcPr>
            <w:tcW w:w="3548" w:type="dxa"/>
            <w:tcBorders>
              <w:top w:val="nil"/>
              <w:left w:val="nil"/>
              <w:bottom w:val="nil"/>
              <w:right w:val="nil"/>
            </w:tcBorders>
            <w:shd w:val="clear" w:color="auto" w:fill="auto"/>
            <w:vAlign w:val="center"/>
          </w:tcPr>
          <w:p w14:paraId="7CB4747E">
            <w:pPr>
              <w:widowControl/>
              <w:jc w:val="center"/>
              <w:rPr>
                <w:rFonts w:ascii="Times New Roman" w:hAnsi="Times New Roman" w:eastAsia="DengXian" w:cs="Times New Roman"/>
                <w:sz w:val="24"/>
              </w:rPr>
            </w:pPr>
            <w:r>
              <w:rPr>
                <w:rFonts w:hint="eastAsia" w:ascii="Times New Roman" w:hAnsi="Times New Roman" w:eastAsia="DengXian" w:cs="Times New Roman"/>
                <w:sz w:val="24"/>
              </w:rPr>
              <w:t>Female</w:t>
            </w:r>
          </w:p>
        </w:tc>
      </w:tr>
      <w:tr w14:paraId="7E68BAE6">
        <w:trPr>
          <w:trHeight w:val="340" w:hRule="atLeast"/>
        </w:trPr>
        <w:tc>
          <w:tcPr>
            <w:tcW w:w="2180" w:type="dxa"/>
            <w:tcBorders>
              <w:top w:val="nil"/>
              <w:left w:val="nil"/>
              <w:bottom w:val="nil"/>
              <w:right w:val="nil"/>
            </w:tcBorders>
            <w:shd w:val="clear" w:color="auto" w:fill="auto"/>
            <w:vAlign w:val="center"/>
          </w:tcPr>
          <w:p w14:paraId="5295B70D">
            <w:pPr>
              <w:widowControl/>
              <w:jc w:val="center"/>
              <w:rPr>
                <w:rFonts w:ascii="Times New Roman" w:hAnsi="Times New Roman" w:eastAsia="DengXian" w:cs="Times New Roman"/>
                <w:sz w:val="24"/>
              </w:rPr>
            </w:pPr>
            <w:r>
              <w:rPr>
                <w:rFonts w:hint="eastAsia" w:ascii="Times New Roman" w:hAnsi="Times New Roman" w:eastAsia="DengXian" w:cs="Times New Roman"/>
                <w:sz w:val="24"/>
              </w:rPr>
              <w:t>Age</w:t>
            </w:r>
          </w:p>
        </w:tc>
        <w:tc>
          <w:tcPr>
            <w:tcW w:w="3105" w:type="dxa"/>
            <w:tcBorders>
              <w:top w:val="nil"/>
              <w:left w:val="nil"/>
              <w:bottom w:val="nil"/>
              <w:right w:val="nil"/>
            </w:tcBorders>
            <w:shd w:val="clear" w:color="auto" w:fill="auto"/>
            <w:vAlign w:val="center"/>
          </w:tcPr>
          <w:p w14:paraId="7D18EA1F">
            <w:pPr>
              <w:widowControl/>
              <w:jc w:val="center"/>
              <w:rPr>
                <w:rFonts w:ascii="Times New Roman" w:hAnsi="Times New Roman" w:eastAsia="DengXian" w:cs="Times New Roman"/>
                <w:sz w:val="24"/>
              </w:rPr>
            </w:pPr>
            <w:r>
              <w:rPr>
                <w:rFonts w:ascii="Times New Roman" w:hAnsi="Times New Roman" w:eastAsia="DengXian" w:cs="Times New Roman"/>
                <w:sz w:val="24"/>
              </w:rPr>
              <w:t>45-</w:t>
            </w:r>
            <w:r>
              <w:rPr>
                <w:rFonts w:hint="eastAsia" w:ascii="Times New Roman" w:hAnsi="Times New Roman" w:eastAsia="DengXian" w:cs="Times New Roman"/>
                <w:sz w:val="24"/>
              </w:rPr>
              <w:t>55y</w:t>
            </w:r>
          </w:p>
        </w:tc>
        <w:tc>
          <w:tcPr>
            <w:tcW w:w="3548" w:type="dxa"/>
            <w:tcBorders>
              <w:top w:val="nil"/>
              <w:left w:val="nil"/>
              <w:bottom w:val="nil"/>
              <w:right w:val="nil"/>
            </w:tcBorders>
            <w:shd w:val="clear" w:color="auto" w:fill="auto"/>
            <w:vAlign w:val="center"/>
          </w:tcPr>
          <w:p w14:paraId="5921FDE9">
            <w:pPr>
              <w:widowControl/>
              <w:jc w:val="center"/>
              <w:rPr>
                <w:rFonts w:ascii="Times New Roman" w:hAnsi="Times New Roman" w:eastAsia="DengXian" w:cs="Times New Roman"/>
                <w:sz w:val="24"/>
              </w:rPr>
            </w:pPr>
            <w:r>
              <w:rPr>
                <w:rFonts w:hint="eastAsia" w:ascii="Times New Roman" w:hAnsi="Times New Roman" w:eastAsia="DengXian" w:cs="Times New Roman"/>
                <w:sz w:val="24"/>
              </w:rPr>
              <w:t>45</w:t>
            </w:r>
            <w:r>
              <w:rPr>
                <w:rFonts w:ascii="Times New Roman" w:hAnsi="Times New Roman" w:eastAsia="DengXian" w:cs="Times New Roman"/>
                <w:sz w:val="24"/>
              </w:rPr>
              <w:t>-55</w:t>
            </w:r>
            <w:r>
              <w:rPr>
                <w:rFonts w:hint="eastAsia" w:ascii="Times New Roman" w:hAnsi="Times New Roman" w:eastAsia="DengXian" w:cs="Times New Roman"/>
                <w:sz w:val="24"/>
              </w:rPr>
              <w:t>y</w:t>
            </w:r>
          </w:p>
        </w:tc>
      </w:tr>
      <w:tr w14:paraId="4380F32A">
        <w:trPr>
          <w:trHeight w:val="360" w:hRule="atLeast"/>
        </w:trPr>
        <w:tc>
          <w:tcPr>
            <w:tcW w:w="2180" w:type="dxa"/>
            <w:tcBorders>
              <w:top w:val="nil"/>
              <w:left w:val="nil"/>
              <w:bottom w:val="nil"/>
              <w:right w:val="nil"/>
            </w:tcBorders>
            <w:shd w:val="clear" w:color="auto" w:fill="auto"/>
            <w:vAlign w:val="center"/>
          </w:tcPr>
          <w:p w14:paraId="0FE3E4B3">
            <w:pPr>
              <w:widowControl/>
              <w:jc w:val="center"/>
              <w:rPr>
                <w:rFonts w:ascii="Times New Roman" w:hAnsi="Times New Roman" w:eastAsia="DengXian" w:cs="Times New Roman"/>
                <w:sz w:val="24"/>
              </w:rPr>
            </w:pPr>
            <w:r>
              <w:rPr>
                <w:rFonts w:hint="eastAsia" w:ascii="Times New Roman" w:hAnsi="Times New Roman" w:eastAsia="DengXian" w:cs="Times New Roman"/>
                <w:sz w:val="24"/>
              </w:rPr>
              <w:t>Fever (Tmax,°C)</w:t>
            </w:r>
          </w:p>
        </w:tc>
        <w:tc>
          <w:tcPr>
            <w:tcW w:w="3105" w:type="dxa"/>
            <w:tcBorders>
              <w:top w:val="nil"/>
              <w:left w:val="nil"/>
              <w:bottom w:val="nil"/>
              <w:right w:val="nil"/>
            </w:tcBorders>
            <w:shd w:val="clear" w:color="auto" w:fill="auto"/>
            <w:vAlign w:val="center"/>
          </w:tcPr>
          <w:p w14:paraId="4D5AD31C">
            <w:pPr>
              <w:widowControl/>
              <w:jc w:val="center"/>
              <w:rPr>
                <w:rFonts w:ascii="Times New Roman" w:hAnsi="Times New Roman" w:eastAsia="DengXian" w:cs="Times New Roman"/>
                <w:sz w:val="24"/>
              </w:rPr>
            </w:pPr>
            <w:r>
              <w:rPr>
                <w:rFonts w:ascii="Times New Roman" w:hAnsi="Times New Roman" w:eastAsia="DengXian" w:cs="Times New Roman"/>
                <w:sz w:val="24"/>
              </w:rPr>
              <w:t xml:space="preserve">Yes (100%)  </w:t>
            </w:r>
          </w:p>
        </w:tc>
        <w:tc>
          <w:tcPr>
            <w:tcW w:w="3548" w:type="dxa"/>
            <w:tcBorders>
              <w:top w:val="nil"/>
              <w:left w:val="nil"/>
              <w:bottom w:val="nil"/>
              <w:right w:val="nil"/>
            </w:tcBorders>
            <w:shd w:val="clear" w:color="auto" w:fill="auto"/>
            <w:vAlign w:val="center"/>
          </w:tcPr>
          <w:p w14:paraId="0EB2341B">
            <w:pPr>
              <w:widowControl/>
              <w:jc w:val="center"/>
              <w:rPr>
                <w:rFonts w:ascii="Times New Roman" w:hAnsi="Times New Roman" w:eastAsia="DengXian" w:cs="Times New Roman"/>
                <w:sz w:val="24"/>
              </w:rPr>
            </w:pPr>
            <w:r>
              <w:rPr>
                <w:rFonts w:hint="eastAsia" w:ascii="Times New Roman" w:hAnsi="Times New Roman" w:eastAsia="DengXian" w:cs="Times New Roman"/>
                <w:sz w:val="24"/>
              </w:rPr>
              <w:t>No</w:t>
            </w:r>
          </w:p>
        </w:tc>
      </w:tr>
      <w:tr w14:paraId="0B2E461F">
        <w:trPr>
          <w:trHeight w:val="340" w:hRule="atLeast"/>
        </w:trPr>
        <w:tc>
          <w:tcPr>
            <w:tcW w:w="2180" w:type="dxa"/>
            <w:tcBorders>
              <w:top w:val="nil"/>
              <w:left w:val="nil"/>
              <w:bottom w:val="nil"/>
              <w:right w:val="nil"/>
            </w:tcBorders>
            <w:shd w:val="clear" w:color="auto" w:fill="auto"/>
            <w:vAlign w:val="center"/>
          </w:tcPr>
          <w:p w14:paraId="57E64042">
            <w:pPr>
              <w:widowControl/>
              <w:jc w:val="center"/>
              <w:rPr>
                <w:rFonts w:ascii="Times New Roman" w:hAnsi="Times New Roman" w:eastAsia="DengXian" w:cs="Times New Roman"/>
                <w:sz w:val="24"/>
              </w:rPr>
            </w:pPr>
            <w:r>
              <w:rPr>
                <w:rFonts w:hint="eastAsia" w:ascii="Times New Roman" w:hAnsi="Times New Roman" w:eastAsia="DengXian" w:cs="Times New Roman"/>
                <w:sz w:val="24"/>
              </w:rPr>
              <w:t>Rash</w:t>
            </w:r>
          </w:p>
        </w:tc>
        <w:tc>
          <w:tcPr>
            <w:tcW w:w="3105" w:type="dxa"/>
            <w:tcBorders>
              <w:top w:val="nil"/>
              <w:left w:val="nil"/>
              <w:bottom w:val="nil"/>
              <w:right w:val="nil"/>
            </w:tcBorders>
            <w:shd w:val="clear" w:color="auto" w:fill="auto"/>
            <w:vAlign w:val="center"/>
          </w:tcPr>
          <w:p w14:paraId="7AF1B3F5">
            <w:pPr>
              <w:widowControl/>
              <w:jc w:val="center"/>
              <w:rPr>
                <w:rFonts w:ascii="Times New Roman" w:hAnsi="Times New Roman" w:eastAsia="DengXian" w:cs="Times New Roman"/>
                <w:sz w:val="24"/>
              </w:rPr>
            </w:pPr>
            <w:r>
              <w:rPr>
                <w:rFonts w:hint="eastAsia" w:ascii="Times New Roman" w:hAnsi="Times New Roman" w:eastAsia="DengXian" w:cs="Times New Roman"/>
                <w:sz w:val="24"/>
              </w:rPr>
              <w:t>Yes</w:t>
            </w:r>
            <w:r>
              <w:rPr>
                <w:rFonts w:ascii="Times New Roman" w:hAnsi="Times New Roman" w:eastAsia="DengXian" w:cs="Times New Roman"/>
                <w:sz w:val="24"/>
              </w:rPr>
              <w:t>(100%)</w:t>
            </w:r>
          </w:p>
        </w:tc>
        <w:tc>
          <w:tcPr>
            <w:tcW w:w="3548" w:type="dxa"/>
            <w:tcBorders>
              <w:top w:val="nil"/>
              <w:left w:val="nil"/>
              <w:bottom w:val="nil"/>
              <w:right w:val="nil"/>
            </w:tcBorders>
            <w:shd w:val="clear" w:color="auto" w:fill="auto"/>
            <w:vAlign w:val="center"/>
          </w:tcPr>
          <w:p w14:paraId="3053F518">
            <w:pPr>
              <w:widowControl/>
              <w:jc w:val="center"/>
              <w:rPr>
                <w:rFonts w:ascii="Times New Roman" w:hAnsi="Times New Roman" w:eastAsia="DengXian" w:cs="Times New Roman"/>
                <w:sz w:val="24"/>
              </w:rPr>
            </w:pPr>
            <w:r>
              <w:rPr>
                <w:rFonts w:ascii="Times New Roman" w:hAnsi="Times New Roman" w:eastAsia="DengXian" w:cs="Times New Roman"/>
                <w:sz w:val="24"/>
              </w:rPr>
              <w:t>No</w:t>
            </w:r>
          </w:p>
        </w:tc>
      </w:tr>
      <w:tr w14:paraId="31FAAAD7">
        <w:trPr>
          <w:trHeight w:val="340" w:hRule="atLeast"/>
        </w:trPr>
        <w:tc>
          <w:tcPr>
            <w:tcW w:w="2180" w:type="dxa"/>
            <w:tcBorders>
              <w:top w:val="nil"/>
              <w:left w:val="nil"/>
              <w:bottom w:val="nil"/>
              <w:right w:val="nil"/>
            </w:tcBorders>
            <w:shd w:val="clear" w:color="auto" w:fill="auto"/>
            <w:vAlign w:val="center"/>
          </w:tcPr>
          <w:p w14:paraId="56C820B4">
            <w:pPr>
              <w:widowControl/>
              <w:jc w:val="center"/>
              <w:rPr>
                <w:rFonts w:ascii="Times New Roman" w:hAnsi="Times New Roman" w:eastAsia="DengXian" w:cs="Times New Roman"/>
                <w:sz w:val="24"/>
              </w:rPr>
            </w:pPr>
            <w:r>
              <w:rPr>
                <w:rFonts w:hint="eastAsia" w:ascii="Times New Roman" w:hAnsi="Times New Roman" w:eastAsia="DengXian" w:cs="Times New Roman"/>
                <w:sz w:val="24"/>
              </w:rPr>
              <w:t>Arthritis</w:t>
            </w:r>
          </w:p>
        </w:tc>
        <w:tc>
          <w:tcPr>
            <w:tcW w:w="3105" w:type="dxa"/>
            <w:tcBorders>
              <w:top w:val="nil"/>
              <w:left w:val="nil"/>
              <w:bottom w:val="nil"/>
              <w:right w:val="nil"/>
            </w:tcBorders>
            <w:shd w:val="clear" w:color="auto" w:fill="auto"/>
            <w:vAlign w:val="center"/>
          </w:tcPr>
          <w:p w14:paraId="6006AEC6">
            <w:pPr>
              <w:widowControl/>
              <w:jc w:val="center"/>
              <w:rPr>
                <w:rFonts w:ascii="Times New Roman" w:hAnsi="Times New Roman" w:eastAsia="DengXian" w:cs="Times New Roman"/>
                <w:sz w:val="24"/>
              </w:rPr>
            </w:pPr>
            <w:r>
              <w:rPr>
                <w:rFonts w:hint="eastAsia" w:ascii="Times New Roman" w:hAnsi="Times New Roman" w:eastAsia="DengXian" w:cs="Times New Roman"/>
                <w:sz w:val="24"/>
              </w:rPr>
              <w:t>Yes</w:t>
            </w:r>
            <w:r>
              <w:rPr>
                <w:rFonts w:ascii="Times New Roman" w:hAnsi="Times New Roman" w:eastAsia="DengXian" w:cs="Times New Roman"/>
                <w:sz w:val="24"/>
              </w:rPr>
              <w:t>(100%)</w:t>
            </w:r>
          </w:p>
        </w:tc>
        <w:tc>
          <w:tcPr>
            <w:tcW w:w="3548" w:type="dxa"/>
            <w:tcBorders>
              <w:top w:val="nil"/>
              <w:left w:val="nil"/>
              <w:bottom w:val="nil"/>
              <w:right w:val="nil"/>
            </w:tcBorders>
            <w:shd w:val="clear" w:color="auto" w:fill="auto"/>
            <w:vAlign w:val="center"/>
          </w:tcPr>
          <w:p w14:paraId="6F5CBCBB">
            <w:pPr>
              <w:widowControl/>
              <w:jc w:val="center"/>
              <w:rPr>
                <w:rFonts w:ascii="Times New Roman" w:hAnsi="Times New Roman" w:eastAsia="DengXian" w:cs="Times New Roman"/>
                <w:sz w:val="24"/>
              </w:rPr>
            </w:pPr>
            <w:r>
              <w:rPr>
                <w:rFonts w:ascii="Times New Roman" w:hAnsi="Times New Roman" w:eastAsia="DengXian" w:cs="Times New Roman"/>
                <w:sz w:val="24"/>
              </w:rPr>
              <w:t>No</w:t>
            </w:r>
          </w:p>
        </w:tc>
      </w:tr>
      <w:tr w14:paraId="48D6EAEB">
        <w:trPr>
          <w:trHeight w:val="360" w:hRule="atLeast"/>
        </w:trPr>
        <w:tc>
          <w:tcPr>
            <w:tcW w:w="2180" w:type="dxa"/>
            <w:tcBorders>
              <w:top w:val="nil"/>
              <w:left w:val="nil"/>
              <w:bottom w:val="nil"/>
              <w:right w:val="nil"/>
            </w:tcBorders>
            <w:shd w:val="clear" w:color="auto" w:fill="auto"/>
            <w:vAlign w:val="center"/>
          </w:tcPr>
          <w:p w14:paraId="15E20231">
            <w:pPr>
              <w:widowControl/>
              <w:jc w:val="center"/>
              <w:rPr>
                <w:rFonts w:ascii="Times New Roman" w:hAnsi="Times New Roman" w:eastAsia="DengXian" w:cs="Times New Roman"/>
                <w:sz w:val="24"/>
              </w:rPr>
            </w:pPr>
            <w:r>
              <w:rPr>
                <w:rFonts w:hint="eastAsia" w:ascii="Times New Roman" w:hAnsi="Times New Roman" w:eastAsia="DengXian" w:cs="Times New Roman"/>
                <w:sz w:val="24"/>
              </w:rPr>
              <w:t>Lymphadenopathy</w:t>
            </w:r>
          </w:p>
        </w:tc>
        <w:tc>
          <w:tcPr>
            <w:tcW w:w="3105" w:type="dxa"/>
            <w:tcBorders>
              <w:top w:val="nil"/>
              <w:left w:val="nil"/>
              <w:bottom w:val="nil"/>
              <w:right w:val="nil"/>
            </w:tcBorders>
            <w:shd w:val="clear" w:color="auto" w:fill="auto"/>
            <w:vAlign w:val="center"/>
          </w:tcPr>
          <w:p w14:paraId="035B403F">
            <w:pPr>
              <w:widowControl/>
              <w:jc w:val="center"/>
              <w:rPr>
                <w:rFonts w:ascii="Times New Roman" w:hAnsi="Times New Roman" w:eastAsia="DengXian" w:cs="Times New Roman"/>
                <w:sz w:val="24"/>
              </w:rPr>
            </w:pPr>
            <w:r>
              <w:rPr>
                <w:rFonts w:hint="eastAsia" w:ascii="Times New Roman" w:hAnsi="Times New Roman" w:eastAsia="DengXian" w:cs="Times New Roman"/>
                <w:sz w:val="24"/>
              </w:rPr>
              <w:t>Yes</w:t>
            </w:r>
            <w:r>
              <w:rPr>
                <w:rFonts w:ascii="Times New Roman" w:hAnsi="Times New Roman" w:eastAsia="DengXian" w:cs="Times New Roman"/>
                <w:sz w:val="24"/>
              </w:rPr>
              <w:t>(100%)</w:t>
            </w:r>
          </w:p>
        </w:tc>
        <w:tc>
          <w:tcPr>
            <w:tcW w:w="3548" w:type="dxa"/>
            <w:tcBorders>
              <w:top w:val="nil"/>
              <w:left w:val="nil"/>
              <w:bottom w:val="nil"/>
              <w:right w:val="nil"/>
            </w:tcBorders>
            <w:shd w:val="clear" w:color="auto" w:fill="auto"/>
            <w:vAlign w:val="center"/>
          </w:tcPr>
          <w:p w14:paraId="18CC9B01">
            <w:pPr>
              <w:widowControl/>
              <w:jc w:val="center"/>
              <w:rPr>
                <w:rFonts w:ascii="Times New Roman" w:hAnsi="Times New Roman" w:eastAsia="DengXian" w:cs="Times New Roman"/>
                <w:sz w:val="24"/>
              </w:rPr>
            </w:pPr>
            <w:r>
              <w:rPr>
                <w:rFonts w:ascii="Times New Roman" w:hAnsi="Times New Roman" w:eastAsia="DengXian" w:cs="Times New Roman"/>
                <w:sz w:val="24"/>
              </w:rPr>
              <w:t>No</w:t>
            </w:r>
          </w:p>
        </w:tc>
      </w:tr>
      <w:tr w14:paraId="0BDA7747">
        <w:trPr>
          <w:trHeight w:val="360" w:hRule="atLeast"/>
        </w:trPr>
        <w:tc>
          <w:tcPr>
            <w:tcW w:w="2180" w:type="dxa"/>
            <w:tcBorders>
              <w:top w:val="nil"/>
              <w:left w:val="nil"/>
              <w:bottom w:val="nil"/>
              <w:right w:val="nil"/>
            </w:tcBorders>
            <w:shd w:val="clear" w:color="auto" w:fill="auto"/>
            <w:vAlign w:val="center"/>
          </w:tcPr>
          <w:p w14:paraId="7A71A4E8">
            <w:pPr>
              <w:widowControl/>
              <w:jc w:val="center"/>
              <w:rPr>
                <w:rFonts w:ascii="Times New Roman" w:hAnsi="Times New Roman" w:eastAsia="DengXian" w:cs="Times New Roman"/>
                <w:sz w:val="24"/>
              </w:rPr>
            </w:pPr>
            <w:r>
              <w:rPr>
                <w:rFonts w:hint="eastAsia" w:ascii="Times New Roman" w:hAnsi="Times New Roman" w:eastAsia="DengXian" w:cs="Times New Roman"/>
                <w:sz w:val="24"/>
              </w:rPr>
              <w:t>Splenomegaly</w:t>
            </w:r>
          </w:p>
        </w:tc>
        <w:tc>
          <w:tcPr>
            <w:tcW w:w="3105" w:type="dxa"/>
            <w:tcBorders>
              <w:top w:val="nil"/>
              <w:left w:val="nil"/>
              <w:bottom w:val="nil"/>
              <w:right w:val="nil"/>
            </w:tcBorders>
            <w:shd w:val="clear" w:color="auto" w:fill="auto"/>
            <w:vAlign w:val="center"/>
          </w:tcPr>
          <w:p w14:paraId="26462158">
            <w:pPr>
              <w:widowControl/>
              <w:jc w:val="center"/>
              <w:rPr>
                <w:rFonts w:ascii="Times New Roman" w:hAnsi="Times New Roman" w:eastAsia="DengXian" w:cs="Times New Roman"/>
                <w:sz w:val="24"/>
              </w:rPr>
            </w:pPr>
            <w:r>
              <w:rPr>
                <w:rFonts w:hint="eastAsia" w:ascii="Times New Roman" w:hAnsi="Times New Roman" w:eastAsia="DengXian" w:cs="Times New Roman"/>
                <w:sz w:val="24"/>
              </w:rPr>
              <w:t>Yes</w:t>
            </w:r>
            <w:r>
              <w:rPr>
                <w:rFonts w:ascii="Times New Roman" w:hAnsi="Times New Roman" w:eastAsia="DengXian" w:cs="Times New Roman"/>
                <w:sz w:val="24"/>
              </w:rPr>
              <w:t>(100%)</w:t>
            </w:r>
          </w:p>
        </w:tc>
        <w:tc>
          <w:tcPr>
            <w:tcW w:w="3548" w:type="dxa"/>
            <w:tcBorders>
              <w:top w:val="nil"/>
              <w:left w:val="nil"/>
              <w:bottom w:val="nil"/>
              <w:right w:val="nil"/>
            </w:tcBorders>
            <w:shd w:val="clear" w:color="auto" w:fill="auto"/>
            <w:vAlign w:val="center"/>
          </w:tcPr>
          <w:p w14:paraId="54D30084">
            <w:pPr>
              <w:widowControl/>
              <w:jc w:val="center"/>
              <w:rPr>
                <w:rFonts w:ascii="Times New Roman" w:hAnsi="Times New Roman" w:eastAsia="DengXian" w:cs="Times New Roman"/>
                <w:sz w:val="24"/>
              </w:rPr>
            </w:pPr>
            <w:r>
              <w:rPr>
                <w:rFonts w:ascii="Times New Roman" w:hAnsi="Times New Roman" w:eastAsia="DengXian" w:cs="Times New Roman"/>
                <w:sz w:val="24"/>
              </w:rPr>
              <w:t>No</w:t>
            </w:r>
          </w:p>
        </w:tc>
      </w:tr>
      <w:tr w14:paraId="368A5D68">
        <w:trPr>
          <w:trHeight w:val="400" w:hRule="atLeast"/>
        </w:trPr>
        <w:tc>
          <w:tcPr>
            <w:tcW w:w="2180" w:type="dxa"/>
            <w:tcBorders>
              <w:top w:val="nil"/>
              <w:left w:val="nil"/>
              <w:bottom w:val="nil"/>
              <w:right w:val="nil"/>
            </w:tcBorders>
            <w:shd w:val="clear" w:color="auto" w:fill="auto"/>
            <w:vAlign w:val="center"/>
          </w:tcPr>
          <w:p w14:paraId="44B46126">
            <w:pPr>
              <w:widowControl/>
              <w:jc w:val="center"/>
              <w:rPr>
                <w:rFonts w:ascii="Times New Roman" w:hAnsi="Times New Roman" w:eastAsia="DengXian" w:cs="Times New Roman"/>
                <w:sz w:val="24"/>
              </w:rPr>
            </w:pPr>
            <w:r>
              <w:rPr>
                <w:rFonts w:hint="eastAsia" w:ascii="Times New Roman" w:hAnsi="Times New Roman" w:eastAsia="DengXian" w:cs="Times New Roman"/>
                <w:sz w:val="24"/>
              </w:rPr>
              <w:t>Hepatomegaly</w:t>
            </w:r>
          </w:p>
        </w:tc>
        <w:tc>
          <w:tcPr>
            <w:tcW w:w="3105" w:type="dxa"/>
            <w:tcBorders>
              <w:top w:val="nil"/>
              <w:left w:val="nil"/>
              <w:bottom w:val="nil"/>
              <w:right w:val="nil"/>
            </w:tcBorders>
            <w:shd w:val="clear" w:color="auto" w:fill="auto"/>
            <w:vAlign w:val="center"/>
          </w:tcPr>
          <w:p w14:paraId="7C7EDD76">
            <w:pPr>
              <w:widowControl/>
              <w:jc w:val="center"/>
              <w:rPr>
                <w:rFonts w:ascii="Times New Roman" w:hAnsi="Times New Roman" w:eastAsia="DengXian" w:cs="Times New Roman"/>
                <w:sz w:val="24"/>
              </w:rPr>
            </w:pPr>
            <w:r>
              <w:rPr>
                <w:rFonts w:hint="eastAsia" w:ascii="Times New Roman" w:hAnsi="Times New Roman" w:eastAsia="DengXian" w:cs="Times New Roman"/>
                <w:sz w:val="24"/>
              </w:rPr>
              <w:t>Yes</w:t>
            </w:r>
            <w:r>
              <w:rPr>
                <w:rFonts w:ascii="Times New Roman" w:hAnsi="Times New Roman" w:eastAsia="DengXian" w:cs="Times New Roman"/>
                <w:sz w:val="24"/>
              </w:rPr>
              <w:t>(33%)</w:t>
            </w:r>
          </w:p>
        </w:tc>
        <w:tc>
          <w:tcPr>
            <w:tcW w:w="3548" w:type="dxa"/>
            <w:tcBorders>
              <w:top w:val="nil"/>
              <w:left w:val="nil"/>
              <w:bottom w:val="nil"/>
              <w:right w:val="nil"/>
            </w:tcBorders>
            <w:shd w:val="clear" w:color="auto" w:fill="auto"/>
            <w:noWrap/>
            <w:vAlign w:val="center"/>
          </w:tcPr>
          <w:p w14:paraId="7108DB09">
            <w:pPr>
              <w:widowControl/>
              <w:jc w:val="center"/>
              <w:rPr>
                <w:rFonts w:ascii="Times New Roman" w:hAnsi="Times New Roman" w:eastAsia="DengXian" w:cs="Times New Roman"/>
                <w:sz w:val="24"/>
              </w:rPr>
            </w:pPr>
            <w:r>
              <w:rPr>
                <w:rFonts w:ascii="Times New Roman" w:hAnsi="Times New Roman" w:eastAsia="DengXian" w:cs="Times New Roman"/>
                <w:sz w:val="24"/>
              </w:rPr>
              <w:t>No</w:t>
            </w:r>
          </w:p>
        </w:tc>
      </w:tr>
      <w:tr w14:paraId="2E7E0131">
        <w:trPr>
          <w:trHeight w:val="320" w:hRule="atLeast"/>
        </w:trPr>
        <w:tc>
          <w:tcPr>
            <w:tcW w:w="2180" w:type="dxa"/>
            <w:tcBorders>
              <w:top w:val="nil"/>
              <w:left w:val="nil"/>
              <w:bottom w:val="nil"/>
              <w:right w:val="nil"/>
            </w:tcBorders>
            <w:shd w:val="clear" w:color="auto" w:fill="auto"/>
            <w:vAlign w:val="center"/>
          </w:tcPr>
          <w:p w14:paraId="42F5E87D">
            <w:pPr>
              <w:widowControl/>
              <w:jc w:val="center"/>
              <w:rPr>
                <w:rFonts w:ascii="Times New Roman" w:hAnsi="Times New Roman" w:eastAsia="DengXian" w:cs="Times New Roman"/>
                <w:sz w:val="24"/>
              </w:rPr>
            </w:pPr>
            <w:r>
              <w:rPr>
                <w:rFonts w:hint="eastAsia" w:ascii="Times New Roman" w:hAnsi="Times New Roman" w:eastAsia="DengXian" w:cs="Times New Roman"/>
                <w:sz w:val="24"/>
              </w:rPr>
              <w:t>Sore throat</w:t>
            </w:r>
          </w:p>
        </w:tc>
        <w:tc>
          <w:tcPr>
            <w:tcW w:w="3105" w:type="dxa"/>
            <w:tcBorders>
              <w:top w:val="nil"/>
              <w:left w:val="nil"/>
              <w:bottom w:val="nil"/>
              <w:right w:val="nil"/>
            </w:tcBorders>
            <w:shd w:val="clear" w:color="auto" w:fill="auto"/>
            <w:noWrap/>
            <w:vAlign w:val="center"/>
          </w:tcPr>
          <w:p w14:paraId="763092CB">
            <w:pPr>
              <w:widowControl/>
              <w:jc w:val="center"/>
              <w:rPr>
                <w:rFonts w:ascii="Times New Roman" w:hAnsi="Times New Roman" w:eastAsia="DengXian" w:cs="Times New Roman"/>
                <w:sz w:val="24"/>
              </w:rPr>
            </w:pPr>
            <w:r>
              <w:rPr>
                <w:rFonts w:hint="eastAsia" w:ascii="Times New Roman" w:hAnsi="Times New Roman" w:eastAsia="DengXian" w:cs="Times New Roman"/>
                <w:sz w:val="24"/>
              </w:rPr>
              <w:t>Yes</w:t>
            </w:r>
            <w:r>
              <w:rPr>
                <w:rFonts w:ascii="Times New Roman" w:hAnsi="Times New Roman" w:eastAsia="DengXian" w:cs="Times New Roman"/>
                <w:sz w:val="24"/>
              </w:rPr>
              <w:t>(33%)</w:t>
            </w:r>
          </w:p>
        </w:tc>
        <w:tc>
          <w:tcPr>
            <w:tcW w:w="3548" w:type="dxa"/>
            <w:tcBorders>
              <w:top w:val="nil"/>
              <w:left w:val="nil"/>
              <w:bottom w:val="nil"/>
              <w:right w:val="nil"/>
            </w:tcBorders>
            <w:shd w:val="clear" w:color="auto" w:fill="auto"/>
            <w:vAlign w:val="center"/>
          </w:tcPr>
          <w:p w14:paraId="7AB42AEB">
            <w:pPr>
              <w:widowControl/>
              <w:jc w:val="center"/>
              <w:rPr>
                <w:rFonts w:ascii="Times New Roman" w:hAnsi="Times New Roman" w:eastAsia="DengXian" w:cs="Times New Roman"/>
                <w:sz w:val="24"/>
              </w:rPr>
            </w:pPr>
            <w:r>
              <w:rPr>
                <w:rFonts w:ascii="Times New Roman" w:hAnsi="Times New Roman" w:eastAsia="DengXian" w:cs="Times New Roman"/>
                <w:sz w:val="24"/>
              </w:rPr>
              <w:t>No</w:t>
            </w:r>
          </w:p>
        </w:tc>
      </w:tr>
      <w:tr w14:paraId="01F5E218">
        <w:trPr>
          <w:trHeight w:val="340" w:hRule="atLeast"/>
        </w:trPr>
        <w:tc>
          <w:tcPr>
            <w:tcW w:w="2180" w:type="dxa"/>
            <w:tcBorders>
              <w:top w:val="nil"/>
              <w:left w:val="nil"/>
              <w:bottom w:val="nil"/>
              <w:right w:val="nil"/>
            </w:tcBorders>
            <w:shd w:val="clear" w:color="auto" w:fill="auto"/>
            <w:vAlign w:val="center"/>
          </w:tcPr>
          <w:p w14:paraId="0115EAD8">
            <w:pPr>
              <w:widowControl/>
              <w:jc w:val="center"/>
              <w:rPr>
                <w:rFonts w:ascii="Times New Roman" w:hAnsi="Times New Roman" w:eastAsia="DengXian" w:cs="Times New Roman"/>
                <w:sz w:val="24"/>
              </w:rPr>
            </w:pPr>
            <w:r>
              <w:rPr>
                <w:rFonts w:hint="eastAsia" w:ascii="Times New Roman" w:hAnsi="Times New Roman" w:eastAsia="DengXian" w:cs="Times New Roman"/>
                <w:sz w:val="24"/>
              </w:rPr>
              <w:t>WBC (x10^9/L )</w:t>
            </w:r>
          </w:p>
        </w:tc>
        <w:tc>
          <w:tcPr>
            <w:tcW w:w="3105" w:type="dxa"/>
            <w:tcBorders>
              <w:top w:val="nil"/>
              <w:left w:val="nil"/>
              <w:bottom w:val="nil"/>
              <w:right w:val="nil"/>
            </w:tcBorders>
            <w:shd w:val="clear" w:color="auto" w:fill="auto"/>
            <w:vAlign w:val="center"/>
          </w:tcPr>
          <w:p w14:paraId="60BF41CC">
            <w:pPr>
              <w:widowControl/>
              <w:jc w:val="center"/>
              <w:rPr>
                <w:rFonts w:ascii="Times New Roman" w:hAnsi="Times New Roman" w:eastAsia="DengXian" w:cs="Times New Roman"/>
                <w:sz w:val="24"/>
              </w:rPr>
            </w:pPr>
            <w:r>
              <w:rPr>
                <w:rFonts w:ascii="Times New Roman" w:hAnsi="Times New Roman" w:eastAsia="DengXian" w:cs="Times New Roman"/>
                <w:sz w:val="24"/>
              </w:rPr>
              <w:t>High(16.2±5.8)</w:t>
            </w:r>
          </w:p>
        </w:tc>
        <w:tc>
          <w:tcPr>
            <w:tcW w:w="3548" w:type="dxa"/>
            <w:tcBorders>
              <w:top w:val="nil"/>
              <w:left w:val="nil"/>
              <w:bottom w:val="nil"/>
              <w:right w:val="nil"/>
            </w:tcBorders>
            <w:shd w:val="clear" w:color="auto" w:fill="auto"/>
            <w:vAlign w:val="center"/>
          </w:tcPr>
          <w:p w14:paraId="6955B2EF">
            <w:pPr>
              <w:widowControl/>
              <w:jc w:val="center"/>
              <w:rPr>
                <w:rFonts w:ascii="Times New Roman" w:hAnsi="Times New Roman" w:eastAsia="DengXian" w:cs="Times New Roman"/>
                <w:sz w:val="24"/>
              </w:rPr>
            </w:pPr>
            <w:r>
              <w:rPr>
                <w:rFonts w:ascii="Times New Roman" w:hAnsi="Times New Roman" w:eastAsia="DengXian" w:cs="Times New Roman"/>
                <w:sz w:val="24"/>
              </w:rPr>
              <w:t>Normal (5.1±0.8)</w:t>
            </w:r>
          </w:p>
        </w:tc>
      </w:tr>
      <w:tr w14:paraId="66CEA6B5">
        <w:trPr>
          <w:trHeight w:val="360" w:hRule="atLeast"/>
        </w:trPr>
        <w:tc>
          <w:tcPr>
            <w:tcW w:w="2180" w:type="dxa"/>
            <w:tcBorders>
              <w:top w:val="nil"/>
              <w:left w:val="nil"/>
              <w:bottom w:val="nil"/>
              <w:right w:val="nil"/>
            </w:tcBorders>
            <w:shd w:val="clear" w:color="auto" w:fill="auto"/>
            <w:vAlign w:val="center"/>
          </w:tcPr>
          <w:p w14:paraId="591CCD21">
            <w:pPr>
              <w:widowControl/>
              <w:jc w:val="center"/>
              <w:rPr>
                <w:rFonts w:ascii="Times New Roman" w:hAnsi="Times New Roman" w:eastAsia="DengXian" w:cs="Times New Roman"/>
                <w:sz w:val="24"/>
              </w:rPr>
            </w:pPr>
            <w:r>
              <w:rPr>
                <w:rFonts w:hint="eastAsia" w:ascii="Times New Roman" w:hAnsi="Times New Roman" w:eastAsia="DengXian" w:cs="Times New Roman"/>
                <w:sz w:val="24"/>
              </w:rPr>
              <w:t>Neutrophils (%)</w:t>
            </w:r>
          </w:p>
        </w:tc>
        <w:tc>
          <w:tcPr>
            <w:tcW w:w="3105" w:type="dxa"/>
            <w:tcBorders>
              <w:top w:val="nil"/>
              <w:left w:val="nil"/>
              <w:bottom w:val="nil"/>
              <w:right w:val="nil"/>
            </w:tcBorders>
            <w:shd w:val="clear" w:color="auto" w:fill="auto"/>
            <w:vAlign w:val="center"/>
          </w:tcPr>
          <w:p w14:paraId="59B7F06E">
            <w:pPr>
              <w:widowControl/>
              <w:jc w:val="center"/>
              <w:rPr>
                <w:rFonts w:ascii="Times New Roman" w:hAnsi="Times New Roman" w:eastAsia="DengXian" w:cs="Times New Roman"/>
                <w:sz w:val="24"/>
              </w:rPr>
            </w:pPr>
            <w:r>
              <w:rPr>
                <w:rFonts w:ascii="Times New Roman" w:hAnsi="Times New Roman" w:eastAsia="DengXian" w:cs="Times New Roman"/>
                <w:sz w:val="24"/>
              </w:rPr>
              <w:t>High (82.1±3.6)</w:t>
            </w:r>
          </w:p>
        </w:tc>
        <w:tc>
          <w:tcPr>
            <w:tcW w:w="3548" w:type="dxa"/>
            <w:tcBorders>
              <w:top w:val="nil"/>
              <w:left w:val="nil"/>
              <w:bottom w:val="nil"/>
              <w:right w:val="nil"/>
            </w:tcBorders>
            <w:shd w:val="clear" w:color="auto" w:fill="auto"/>
            <w:vAlign w:val="center"/>
          </w:tcPr>
          <w:p w14:paraId="5B19035C">
            <w:pPr>
              <w:widowControl/>
              <w:jc w:val="center"/>
              <w:rPr>
                <w:rFonts w:ascii="Times New Roman" w:hAnsi="Times New Roman" w:eastAsia="DengXian" w:cs="Times New Roman"/>
                <w:sz w:val="24"/>
              </w:rPr>
            </w:pPr>
            <w:r>
              <w:rPr>
                <w:rFonts w:ascii="Times New Roman" w:hAnsi="Times New Roman" w:eastAsia="DengXian" w:cs="Times New Roman"/>
                <w:sz w:val="24"/>
              </w:rPr>
              <w:t>Normal (64±2.8)</w:t>
            </w:r>
          </w:p>
        </w:tc>
      </w:tr>
      <w:tr w14:paraId="6665797B">
        <w:trPr>
          <w:trHeight w:val="380" w:hRule="atLeast"/>
        </w:trPr>
        <w:tc>
          <w:tcPr>
            <w:tcW w:w="2180" w:type="dxa"/>
            <w:tcBorders>
              <w:top w:val="nil"/>
              <w:left w:val="nil"/>
              <w:bottom w:val="nil"/>
              <w:right w:val="nil"/>
            </w:tcBorders>
            <w:shd w:val="clear" w:color="auto" w:fill="auto"/>
            <w:vAlign w:val="center"/>
          </w:tcPr>
          <w:p w14:paraId="46AC20C6">
            <w:pPr>
              <w:widowControl/>
              <w:jc w:val="center"/>
              <w:rPr>
                <w:rFonts w:ascii="Times New Roman" w:hAnsi="Times New Roman" w:eastAsia="DengXian" w:cs="Times New Roman"/>
                <w:sz w:val="24"/>
              </w:rPr>
            </w:pPr>
            <w:r>
              <w:rPr>
                <w:rFonts w:hint="eastAsia" w:ascii="Times New Roman" w:hAnsi="Times New Roman" w:eastAsia="DengXian" w:cs="Times New Roman"/>
                <w:sz w:val="24"/>
              </w:rPr>
              <w:t>Hb (g/dl)</w:t>
            </w:r>
          </w:p>
        </w:tc>
        <w:tc>
          <w:tcPr>
            <w:tcW w:w="3105" w:type="dxa"/>
            <w:tcBorders>
              <w:top w:val="nil"/>
              <w:left w:val="nil"/>
              <w:bottom w:val="nil"/>
              <w:right w:val="nil"/>
            </w:tcBorders>
            <w:shd w:val="clear" w:color="auto" w:fill="auto"/>
            <w:vAlign w:val="center"/>
          </w:tcPr>
          <w:p w14:paraId="31990E99">
            <w:pPr>
              <w:widowControl/>
              <w:jc w:val="center"/>
              <w:rPr>
                <w:rFonts w:ascii="Times New Roman" w:hAnsi="Times New Roman" w:eastAsia="DengXian" w:cs="Times New Roman"/>
                <w:sz w:val="24"/>
              </w:rPr>
            </w:pPr>
            <w:r>
              <w:rPr>
                <w:rFonts w:ascii="Times New Roman" w:hAnsi="Times New Roman" w:eastAsia="DengXian" w:cs="Times New Roman"/>
                <w:sz w:val="24"/>
              </w:rPr>
              <w:t>Low (99±5.7)</w:t>
            </w:r>
          </w:p>
        </w:tc>
        <w:tc>
          <w:tcPr>
            <w:tcW w:w="3548" w:type="dxa"/>
            <w:tcBorders>
              <w:top w:val="nil"/>
              <w:left w:val="nil"/>
              <w:bottom w:val="nil"/>
              <w:right w:val="nil"/>
            </w:tcBorders>
            <w:shd w:val="clear" w:color="auto" w:fill="auto"/>
            <w:vAlign w:val="center"/>
          </w:tcPr>
          <w:p w14:paraId="6BC1E4B9">
            <w:pPr>
              <w:widowControl/>
              <w:jc w:val="center"/>
              <w:rPr>
                <w:rFonts w:ascii="Times New Roman" w:hAnsi="Times New Roman" w:eastAsia="DengXian" w:cs="Times New Roman"/>
                <w:sz w:val="24"/>
              </w:rPr>
            </w:pPr>
            <w:r>
              <w:rPr>
                <w:rFonts w:ascii="Times New Roman" w:hAnsi="Times New Roman" w:eastAsia="DengXian" w:cs="Times New Roman"/>
                <w:sz w:val="24"/>
              </w:rPr>
              <w:t>Normal (128±9.9)</w:t>
            </w:r>
          </w:p>
        </w:tc>
      </w:tr>
      <w:tr w14:paraId="0A88B17F">
        <w:trPr>
          <w:trHeight w:val="340" w:hRule="atLeast"/>
        </w:trPr>
        <w:tc>
          <w:tcPr>
            <w:tcW w:w="2180" w:type="dxa"/>
            <w:tcBorders>
              <w:top w:val="nil"/>
              <w:left w:val="nil"/>
              <w:bottom w:val="nil"/>
              <w:right w:val="nil"/>
            </w:tcBorders>
            <w:shd w:val="clear" w:color="auto" w:fill="auto"/>
            <w:vAlign w:val="center"/>
          </w:tcPr>
          <w:p w14:paraId="0FB155AE">
            <w:pPr>
              <w:widowControl/>
              <w:jc w:val="center"/>
              <w:rPr>
                <w:rFonts w:ascii="Times New Roman" w:hAnsi="Times New Roman" w:eastAsia="DengXian" w:cs="Times New Roman"/>
                <w:sz w:val="24"/>
              </w:rPr>
            </w:pPr>
            <w:r>
              <w:rPr>
                <w:rFonts w:hint="eastAsia" w:ascii="Times New Roman" w:hAnsi="Times New Roman" w:eastAsia="DengXian" w:cs="Times New Roman"/>
                <w:sz w:val="24"/>
              </w:rPr>
              <w:t>ALT/AST (IU/L)</w:t>
            </w:r>
          </w:p>
        </w:tc>
        <w:tc>
          <w:tcPr>
            <w:tcW w:w="3105" w:type="dxa"/>
            <w:tcBorders>
              <w:top w:val="nil"/>
              <w:left w:val="nil"/>
              <w:bottom w:val="nil"/>
              <w:right w:val="nil"/>
            </w:tcBorders>
            <w:shd w:val="clear" w:color="auto" w:fill="auto"/>
            <w:vAlign w:val="center"/>
          </w:tcPr>
          <w:p w14:paraId="601A3FDA">
            <w:pPr>
              <w:widowControl/>
              <w:jc w:val="center"/>
              <w:rPr>
                <w:rFonts w:ascii="Times New Roman" w:hAnsi="Times New Roman" w:eastAsia="DengXian" w:cs="Times New Roman"/>
                <w:sz w:val="24"/>
              </w:rPr>
            </w:pPr>
            <w:r>
              <w:rPr>
                <w:rFonts w:ascii="Times New Roman" w:hAnsi="Times New Roman" w:eastAsia="DengXian" w:cs="Times New Roman"/>
                <w:sz w:val="24"/>
              </w:rPr>
              <w:t>Elevated</w:t>
            </w:r>
          </w:p>
        </w:tc>
        <w:tc>
          <w:tcPr>
            <w:tcW w:w="3548" w:type="dxa"/>
            <w:tcBorders>
              <w:top w:val="nil"/>
              <w:left w:val="nil"/>
              <w:bottom w:val="nil"/>
              <w:right w:val="nil"/>
            </w:tcBorders>
            <w:shd w:val="clear" w:color="auto" w:fill="auto"/>
            <w:vAlign w:val="center"/>
          </w:tcPr>
          <w:p w14:paraId="2A419711">
            <w:pPr>
              <w:widowControl/>
              <w:jc w:val="center"/>
              <w:rPr>
                <w:rFonts w:ascii="Times New Roman" w:hAnsi="Times New Roman" w:eastAsia="DengXian" w:cs="Times New Roman"/>
                <w:sz w:val="24"/>
              </w:rPr>
            </w:pPr>
            <w:r>
              <w:rPr>
                <w:rFonts w:hint="eastAsia" w:ascii="Times New Roman" w:hAnsi="Times New Roman" w:eastAsia="DengXian" w:cs="Times New Roman"/>
                <w:sz w:val="24"/>
              </w:rPr>
              <w:t>Normal</w:t>
            </w:r>
          </w:p>
        </w:tc>
      </w:tr>
      <w:tr w14:paraId="5826B447">
        <w:trPr>
          <w:trHeight w:val="360" w:hRule="atLeast"/>
        </w:trPr>
        <w:tc>
          <w:tcPr>
            <w:tcW w:w="2180" w:type="dxa"/>
            <w:tcBorders>
              <w:top w:val="nil"/>
              <w:left w:val="nil"/>
              <w:bottom w:val="nil"/>
              <w:right w:val="nil"/>
            </w:tcBorders>
            <w:shd w:val="clear" w:color="auto" w:fill="auto"/>
            <w:vAlign w:val="center"/>
          </w:tcPr>
          <w:p w14:paraId="7A010CFB">
            <w:pPr>
              <w:widowControl/>
              <w:jc w:val="center"/>
              <w:rPr>
                <w:rFonts w:ascii="Times New Roman" w:hAnsi="Times New Roman" w:eastAsia="DengXian" w:cs="Times New Roman"/>
                <w:sz w:val="24"/>
              </w:rPr>
            </w:pPr>
            <w:r>
              <w:rPr>
                <w:rFonts w:hint="eastAsia" w:ascii="Times New Roman" w:hAnsi="Times New Roman" w:eastAsia="DengXian" w:cs="Times New Roman"/>
                <w:sz w:val="24"/>
              </w:rPr>
              <w:t>LDH (IU/L )</w:t>
            </w:r>
          </w:p>
        </w:tc>
        <w:tc>
          <w:tcPr>
            <w:tcW w:w="3105" w:type="dxa"/>
            <w:tcBorders>
              <w:top w:val="nil"/>
              <w:left w:val="nil"/>
              <w:bottom w:val="nil"/>
              <w:right w:val="nil"/>
            </w:tcBorders>
            <w:shd w:val="clear" w:color="auto" w:fill="auto"/>
            <w:vAlign w:val="center"/>
          </w:tcPr>
          <w:p w14:paraId="463C77CE">
            <w:pPr>
              <w:widowControl/>
              <w:jc w:val="center"/>
              <w:rPr>
                <w:rFonts w:ascii="Times New Roman" w:hAnsi="Times New Roman" w:eastAsia="DengXian" w:cs="Times New Roman"/>
                <w:sz w:val="24"/>
              </w:rPr>
            </w:pPr>
            <w:r>
              <w:rPr>
                <w:rFonts w:ascii="Times New Roman" w:hAnsi="Times New Roman" w:eastAsia="DengXian" w:cs="Times New Roman"/>
                <w:sz w:val="24"/>
              </w:rPr>
              <w:t>High (392±209)</w:t>
            </w:r>
          </w:p>
        </w:tc>
        <w:tc>
          <w:tcPr>
            <w:tcW w:w="3548" w:type="dxa"/>
            <w:tcBorders>
              <w:top w:val="nil"/>
              <w:left w:val="nil"/>
              <w:bottom w:val="nil"/>
              <w:right w:val="nil"/>
            </w:tcBorders>
            <w:shd w:val="clear" w:color="auto" w:fill="auto"/>
            <w:vAlign w:val="center"/>
          </w:tcPr>
          <w:p w14:paraId="41F14727">
            <w:pPr>
              <w:widowControl/>
              <w:jc w:val="center"/>
              <w:rPr>
                <w:rFonts w:ascii="Times New Roman" w:hAnsi="Times New Roman" w:eastAsia="DengXian" w:cs="Times New Roman"/>
                <w:sz w:val="24"/>
              </w:rPr>
            </w:pPr>
            <w:r>
              <w:rPr>
                <w:rFonts w:ascii="Times New Roman" w:hAnsi="Times New Roman" w:eastAsia="DengXian" w:cs="Times New Roman"/>
                <w:sz w:val="24"/>
              </w:rPr>
              <w:t>Normal (111±21)</w:t>
            </w:r>
          </w:p>
        </w:tc>
      </w:tr>
      <w:tr w14:paraId="7151EDC2">
        <w:trPr>
          <w:trHeight w:val="340" w:hRule="atLeast"/>
        </w:trPr>
        <w:tc>
          <w:tcPr>
            <w:tcW w:w="2180" w:type="dxa"/>
            <w:tcBorders>
              <w:top w:val="nil"/>
              <w:left w:val="nil"/>
              <w:bottom w:val="nil"/>
              <w:right w:val="nil"/>
            </w:tcBorders>
            <w:shd w:val="clear" w:color="auto" w:fill="auto"/>
            <w:vAlign w:val="center"/>
          </w:tcPr>
          <w:p w14:paraId="6229BB0E">
            <w:pPr>
              <w:widowControl/>
              <w:jc w:val="center"/>
              <w:rPr>
                <w:rFonts w:ascii="Times New Roman" w:hAnsi="Times New Roman" w:eastAsia="DengXian" w:cs="Times New Roman"/>
                <w:sz w:val="24"/>
              </w:rPr>
            </w:pPr>
            <w:r>
              <w:rPr>
                <w:rFonts w:hint="eastAsia" w:ascii="Times New Roman" w:hAnsi="Times New Roman" w:eastAsia="DengXian" w:cs="Times New Roman"/>
                <w:sz w:val="24"/>
              </w:rPr>
              <w:t>Ferritin (ng/mL)</w:t>
            </w:r>
          </w:p>
        </w:tc>
        <w:tc>
          <w:tcPr>
            <w:tcW w:w="3105" w:type="dxa"/>
            <w:tcBorders>
              <w:top w:val="nil"/>
              <w:left w:val="nil"/>
              <w:bottom w:val="nil"/>
              <w:right w:val="nil"/>
            </w:tcBorders>
            <w:shd w:val="clear" w:color="auto" w:fill="auto"/>
            <w:vAlign w:val="center"/>
          </w:tcPr>
          <w:p w14:paraId="7ED9F910">
            <w:pPr>
              <w:widowControl/>
              <w:jc w:val="center"/>
              <w:rPr>
                <w:rFonts w:ascii="Times New Roman" w:hAnsi="Times New Roman" w:eastAsia="DengXian" w:cs="Times New Roman"/>
                <w:sz w:val="24"/>
              </w:rPr>
            </w:pPr>
            <w:r>
              <w:rPr>
                <w:rFonts w:ascii="Times New Roman" w:hAnsi="Times New Roman" w:eastAsia="DengXian" w:cs="Times New Roman"/>
                <w:sz w:val="24"/>
              </w:rPr>
              <w:t>High (2775±1881)</w:t>
            </w:r>
          </w:p>
        </w:tc>
        <w:tc>
          <w:tcPr>
            <w:tcW w:w="3548" w:type="dxa"/>
            <w:tcBorders>
              <w:top w:val="nil"/>
              <w:left w:val="nil"/>
              <w:bottom w:val="nil"/>
              <w:right w:val="nil"/>
            </w:tcBorders>
            <w:shd w:val="clear" w:color="auto" w:fill="auto"/>
            <w:vAlign w:val="center"/>
          </w:tcPr>
          <w:p w14:paraId="3F94A324">
            <w:pPr>
              <w:widowControl/>
              <w:jc w:val="center"/>
              <w:rPr>
                <w:rFonts w:ascii="Times New Roman" w:hAnsi="Times New Roman" w:eastAsia="DengXian" w:cs="Times New Roman"/>
                <w:sz w:val="24"/>
              </w:rPr>
            </w:pPr>
            <w:r>
              <w:rPr>
                <w:rFonts w:ascii="Times New Roman" w:hAnsi="Times New Roman" w:eastAsia="DengXian" w:cs="Times New Roman"/>
                <w:sz w:val="24"/>
              </w:rPr>
              <w:t>Normal (88±50)</w:t>
            </w:r>
          </w:p>
        </w:tc>
      </w:tr>
      <w:tr w14:paraId="0602AA76">
        <w:trPr>
          <w:trHeight w:val="360" w:hRule="atLeast"/>
        </w:trPr>
        <w:tc>
          <w:tcPr>
            <w:tcW w:w="2180" w:type="dxa"/>
            <w:tcBorders>
              <w:top w:val="nil"/>
              <w:left w:val="nil"/>
              <w:bottom w:val="nil"/>
              <w:right w:val="nil"/>
            </w:tcBorders>
            <w:shd w:val="clear" w:color="auto" w:fill="auto"/>
            <w:vAlign w:val="center"/>
          </w:tcPr>
          <w:p w14:paraId="452E1729">
            <w:pPr>
              <w:widowControl/>
              <w:jc w:val="center"/>
              <w:rPr>
                <w:rFonts w:ascii="Times New Roman" w:hAnsi="Times New Roman" w:eastAsia="DengXian" w:cs="Times New Roman"/>
                <w:sz w:val="24"/>
              </w:rPr>
            </w:pPr>
            <w:r>
              <w:rPr>
                <w:rFonts w:hint="eastAsia" w:ascii="Times New Roman" w:hAnsi="Times New Roman" w:eastAsia="DengXian" w:cs="Times New Roman"/>
                <w:sz w:val="24"/>
              </w:rPr>
              <w:t>ESR (mm/h)</w:t>
            </w:r>
          </w:p>
        </w:tc>
        <w:tc>
          <w:tcPr>
            <w:tcW w:w="3105" w:type="dxa"/>
            <w:tcBorders>
              <w:top w:val="nil"/>
              <w:left w:val="nil"/>
              <w:bottom w:val="nil"/>
              <w:right w:val="nil"/>
            </w:tcBorders>
            <w:shd w:val="clear" w:color="auto" w:fill="auto"/>
            <w:vAlign w:val="center"/>
          </w:tcPr>
          <w:p w14:paraId="3901E483">
            <w:pPr>
              <w:widowControl/>
              <w:jc w:val="center"/>
              <w:rPr>
                <w:rFonts w:ascii="Times New Roman" w:hAnsi="Times New Roman" w:eastAsia="DengXian" w:cs="Times New Roman"/>
                <w:sz w:val="24"/>
              </w:rPr>
            </w:pPr>
            <w:r>
              <w:rPr>
                <w:rFonts w:ascii="Times New Roman" w:hAnsi="Times New Roman" w:eastAsia="DengXian" w:cs="Times New Roman"/>
                <w:sz w:val="24"/>
              </w:rPr>
              <w:t>High (80±4)</w:t>
            </w:r>
          </w:p>
        </w:tc>
        <w:tc>
          <w:tcPr>
            <w:tcW w:w="3548" w:type="dxa"/>
            <w:tcBorders>
              <w:top w:val="nil"/>
              <w:left w:val="nil"/>
              <w:bottom w:val="nil"/>
              <w:right w:val="nil"/>
            </w:tcBorders>
            <w:shd w:val="clear" w:color="auto" w:fill="auto"/>
            <w:vAlign w:val="center"/>
          </w:tcPr>
          <w:p w14:paraId="7BBD3D52">
            <w:pPr>
              <w:widowControl/>
              <w:jc w:val="center"/>
              <w:rPr>
                <w:rFonts w:ascii="Times New Roman" w:hAnsi="Times New Roman" w:eastAsia="DengXian" w:cs="Times New Roman"/>
                <w:sz w:val="24"/>
              </w:rPr>
            </w:pPr>
            <w:r>
              <w:rPr>
                <w:rFonts w:ascii="Times New Roman" w:hAnsi="Times New Roman" w:eastAsia="DengXian" w:cs="Times New Roman"/>
                <w:sz w:val="24"/>
              </w:rPr>
              <w:t>Normal (5.5±0.7)</w:t>
            </w:r>
          </w:p>
        </w:tc>
      </w:tr>
      <w:tr w14:paraId="7EB854D6">
        <w:trPr>
          <w:trHeight w:val="340" w:hRule="atLeast"/>
        </w:trPr>
        <w:tc>
          <w:tcPr>
            <w:tcW w:w="2180" w:type="dxa"/>
            <w:tcBorders>
              <w:top w:val="nil"/>
              <w:left w:val="nil"/>
              <w:bottom w:val="nil"/>
              <w:right w:val="nil"/>
            </w:tcBorders>
            <w:shd w:val="clear" w:color="auto" w:fill="auto"/>
            <w:vAlign w:val="center"/>
          </w:tcPr>
          <w:p w14:paraId="5B256C18">
            <w:pPr>
              <w:widowControl/>
              <w:jc w:val="center"/>
              <w:rPr>
                <w:rFonts w:ascii="Times New Roman" w:hAnsi="Times New Roman" w:eastAsia="DengXian" w:cs="Times New Roman"/>
                <w:sz w:val="24"/>
              </w:rPr>
            </w:pPr>
            <w:r>
              <w:rPr>
                <w:rFonts w:hint="eastAsia" w:ascii="Times New Roman" w:hAnsi="Times New Roman" w:eastAsia="DengXian" w:cs="Times New Roman"/>
                <w:sz w:val="24"/>
              </w:rPr>
              <w:t>CRP (mg/l)</w:t>
            </w:r>
          </w:p>
        </w:tc>
        <w:tc>
          <w:tcPr>
            <w:tcW w:w="3105" w:type="dxa"/>
            <w:tcBorders>
              <w:top w:val="nil"/>
              <w:left w:val="nil"/>
              <w:bottom w:val="nil"/>
              <w:right w:val="nil"/>
            </w:tcBorders>
            <w:shd w:val="clear" w:color="auto" w:fill="auto"/>
            <w:vAlign w:val="center"/>
          </w:tcPr>
          <w:p w14:paraId="241121E2">
            <w:pPr>
              <w:widowControl/>
              <w:jc w:val="center"/>
              <w:rPr>
                <w:rFonts w:ascii="Times New Roman" w:hAnsi="Times New Roman" w:eastAsia="DengXian" w:cs="Times New Roman"/>
                <w:sz w:val="24"/>
              </w:rPr>
            </w:pPr>
            <w:r>
              <w:rPr>
                <w:rFonts w:ascii="Times New Roman" w:hAnsi="Times New Roman" w:eastAsia="DengXian" w:cs="Times New Roman"/>
                <w:sz w:val="24"/>
              </w:rPr>
              <w:t>High (96±75)</w:t>
            </w:r>
          </w:p>
        </w:tc>
        <w:tc>
          <w:tcPr>
            <w:tcW w:w="3548" w:type="dxa"/>
            <w:tcBorders>
              <w:top w:val="nil"/>
              <w:left w:val="nil"/>
              <w:bottom w:val="nil"/>
              <w:right w:val="nil"/>
            </w:tcBorders>
            <w:shd w:val="clear" w:color="auto" w:fill="auto"/>
            <w:vAlign w:val="center"/>
          </w:tcPr>
          <w:p w14:paraId="4D22CEFC">
            <w:pPr>
              <w:widowControl/>
              <w:jc w:val="center"/>
              <w:rPr>
                <w:rFonts w:ascii="Times New Roman" w:hAnsi="Times New Roman" w:eastAsia="DengXian" w:cs="Times New Roman"/>
                <w:sz w:val="24"/>
              </w:rPr>
            </w:pPr>
            <w:r>
              <w:rPr>
                <w:rFonts w:ascii="Times New Roman" w:hAnsi="Times New Roman" w:eastAsia="DengXian" w:cs="Times New Roman"/>
                <w:sz w:val="24"/>
              </w:rPr>
              <w:t>Normal (1.5±0.7)</w:t>
            </w:r>
          </w:p>
        </w:tc>
      </w:tr>
      <w:tr w14:paraId="5E9F0963">
        <w:trPr>
          <w:trHeight w:val="360" w:hRule="atLeast"/>
        </w:trPr>
        <w:tc>
          <w:tcPr>
            <w:tcW w:w="2180" w:type="dxa"/>
            <w:tcBorders>
              <w:top w:val="nil"/>
              <w:left w:val="nil"/>
              <w:bottom w:val="nil"/>
              <w:right w:val="nil"/>
            </w:tcBorders>
            <w:shd w:val="clear" w:color="auto" w:fill="auto"/>
            <w:vAlign w:val="center"/>
          </w:tcPr>
          <w:p w14:paraId="36A9B559">
            <w:pPr>
              <w:widowControl/>
              <w:jc w:val="center"/>
              <w:rPr>
                <w:rFonts w:ascii="Times New Roman" w:hAnsi="Times New Roman" w:eastAsia="DengXian" w:cs="Times New Roman"/>
                <w:sz w:val="24"/>
              </w:rPr>
            </w:pPr>
            <w:r>
              <w:rPr>
                <w:rFonts w:hint="eastAsia" w:ascii="Times New Roman" w:hAnsi="Times New Roman" w:eastAsia="DengXian" w:cs="Times New Roman"/>
                <w:sz w:val="24"/>
              </w:rPr>
              <w:t>RF</w:t>
            </w:r>
          </w:p>
        </w:tc>
        <w:tc>
          <w:tcPr>
            <w:tcW w:w="3105" w:type="dxa"/>
            <w:tcBorders>
              <w:top w:val="nil"/>
              <w:left w:val="nil"/>
              <w:bottom w:val="nil"/>
              <w:right w:val="nil"/>
            </w:tcBorders>
            <w:shd w:val="clear" w:color="auto" w:fill="auto"/>
            <w:vAlign w:val="center"/>
          </w:tcPr>
          <w:p w14:paraId="26766CF7">
            <w:pPr>
              <w:widowControl/>
              <w:jc w:val="center"/>
              <w:rPr>
                <w:rFonts w:ascii="Times New Roman" w:hAnsi="Times New Roman" w:eastAsia="DengXian" w:cs="Times New Roman"/>
                <w:sz w:val="24"/>
              </w:rPr>
            </w:pPr>
            <w:r>
              <w:rPr>
                <w:rFonts w:hint="eastAsia" w:ascii="Times New Roman" w:hAnsi="Times New Roman" w:eastAsia="DengXian" w:cs="Times New Roman"/>
                <w:sz w:val="24"/>
              </w:rPr>
              <w:t>N</w:t>
            </w:r>
            <w:r>
              <w:rPr>
                <w:rFonts w:ascii="Times New Roman" w:hAnsi="Times New Roman" w:eastAsia="DengXian" w:cs="Times New Roman"/>
                <w:sz w:val="24"/>
              </w:rPr>
              <w:t>egative</w:t>
            </w:r>
          </w:p>
        </w:tc>
        <w:tc>
          <w:tcPr>
            <w:tcW w:w="3548" w:type="dxa"/>
            <w:tcBorders>
              <w:top w:val="nil"/>
              <w:left w:val="nil"/>
              <w:bottom w:val="nil"/>
              <w:right w:val="nil"/>
            </w:tcBorders>
            <w:shd w:val="clear" w:color="auto" w:fill="auto"/>
            <w:vAlign w:val="center"/>
          </w:tcPr>
          <w:p w14:paraId="41DD46B4">
            <w:pPr>
              <w:widowControl/>
              <w:jc w:val="center"/>
              <w:rPr>
                <w:rFonts w:ascii="Times New Roman" w:hAnsi="Times New Roman" w:eastAsia="DengXian" w:cs="Times New Roman"/>
                <w:sz w:val="24"/>
              </w:rPr>
            </w:pPr>
            <w:r>
              <w:rPr>
                <w:rFonts w:hint="eastAsia" w:ascii="Times New Roman" w:hAnsi="Times New Roman" w:eastAsia="DengXian" w:cs="Times New Roman"/>
                <w:sz w:val="24"/>
              </w:rPr>
              <w:t>N</w:t>
            </w:r>
            <w:r>
              <w:rPr>
                <w:rFonts w:ascii="Times New Roman" w:hAnsi="Times New Roman" w:eastAsia="DengXian" w:cs="Times New Roman"/>
                <w:sz w:val="24"/>
              </w:rPr>
              <w:t>egative</w:t>
            </w:r>
          </w:p>
        </w:tc>
      </w:tr>
      <w:tr w14:paraId="7C502354">
        <w:trPr>
          <w:trHeight w:val="360" w:hRule="atLeast"/>
        </w:trPr>
        <w:tc>
          <w:tcPr>
            <w:tcW w:w="2180" w:type="dxa"/>
            <w:tcBorders>
              <w:top w:val="nil"/>
              <w:left w:val="nil"/>
              <w:bottom w:val="nil"/>
              <w:right w:val="nil"/>
            </w:tcBorders>
            <w:shd w:val="clear" w:color="auto" w:fill="auto"/>
            <w:vAlign w:val="center"/>
          </w:tcPr>
          <w:p w14:paraId="7BB16B35">
            <w:pPr>
              <w:widowControl/>
              <w:jc w:val="center"/>
              <w:rPr>
                <w:rFonts w:ascii="Times New Roman" w:hAnsi="Times New Roman" w:eastAsia="DengXian" w:cs="Times New Roman"/>
                <w:sz w:val="24"/>
              </w:rPr>
            </w:pPr>
            <w:r>
              <w:rPr>
                <w:rFonts w:hint="eastAsia" w:ascii="Times New Roman" w:hAnsi="Times New Roman" w:eastAsia="DengXian" w:cs="Times New Roman"/>
                <w:sz w:val="24"/>
              </w:rPr>
              <w:t>ANA</w:t>
            </w:r>
          </w:p>
        </w:tc>
        <w:tc>
          <w:tcPr>
            <w:tcW w:w="3105" w:type="dxa"/>
            <w:tcBorders>
              <w:top w:val="nil"/>
              <w:left w:val="nil"/>
              <w:bottom w:val="nil"/>
              <w:right w:val="nil"/>
            </w:tcBorders>
            <w:shd w:val="clear" w:color="auto" w:fill="auto"/>
            <w:vAlign w:val="center"/>
          </w:tcPr>
          <w:p w14:paraId="5156750E">
            <w:pPr>
              <w:widowControl/>
              <w:jc w:val="center"/>
              <w:rPr>
                <w:rFonts w:ascii="Times New Roman" w:hAnsi="Times New Roman" w:eastAsia="DengXian" w:cs="Times New Roman"/>
                <w:sz w:val="24"/>
              </w:rPr>
            </w:pPr>
            <w:r>
              <w:rPr>
                <w:rFonts w:hint="eastAsia" w:ascii="Times New Roman" w:hAnsi="Times New Roman" w:eastAsia="DengXian" w:cs="Times New Roman"/>
                <w:sz w:val="24"/>
              </w:rPr>
              <w:t>N</w:t>
            </w:r>
            <w:r>
              <w:rPr>
                <w:rFonts w:ascii="Times New Roman" w:hAnsi="Times New Roman" w:eastAsia="DengXian" w:cs="Times New Roman"/>
                <w:sz w:val="24"/>
              </w:rPr>
              <w:t>egative</w:t>
            </w:r>
          </w:p>
        </w:tc>
        <w:tc>
          <w:tcPr>
            <w:tcW w:w="3548" w:type="dxa"/>
            <w:tcBorders>
              <w:top w:val="nil"/>
              <w:left w:val="nil"/>
              <w:bottom w:val="nil"/>
              <w:right w:val="nil"/>
            </w:tcBorders>
            <w:shd w:val="clear" w:color="auto" w:fill="auto"/>
            <w:vAlign w:val="center"/>
          </w:tcPr>
          <w:p w14:paraId="4D670C36">
            <w:pPr>
              <w:widowControl/>
              <w:jc w:val="center"/>
              <w:rPr>
                <w:rFonts w:ascii="Times New Roman" w:hAnsi="Times New Roman" w:eastAsia="DengXian" w:cs="Times New Roman"/>
                <w:sz w:val="24"/>
              </w:rPr>
            </w:pPr>
            <w:r>
              <w:rPr>
                <w:rFonts w:hint="eastAsia" w:ascii="Times New Roman" w:hAnsi="Times New Roman" w:eastAsia="DengXian" w:cs="Times New Roman"/>
                <w:sz w:val="24"/>
              </w:rPr>
              <w:t>N</w:t>
            </w:r>
            <w:r>
              <w:rPr>
                <w:rFonts w:ascii="Times New Roman" w:hAnsi="Times New Roman" w:eastAsia="DengXian" w:cs="Times New Roman"/>
                <w:sz w:val="24"/>
              </w:rPr>
              <w:t>egative</w:t>
            </w:r>
          </w:p>
        </w:tc>
      </w:tr>
      <w:tr w14:paraId="1DDB6357">
        <w:trPr>
          <w:trHeight w:val="360" w:hRule="atLeast"/>
        </w:trPr>
        <w:tc>
          <w:tcPr>
            <w:tcW w:w="2180" w:type="dxa"/>
            <w:tcBorders>
              <w:top w:val="nil"/>
              <w:left w:val="nil"/>
              <w:bottom w:val="nil"/>
              <w:right w:val="nil"/>
            </w:tcBorders>
            <w:shd w:val="clear" w:color="auto" w:fill="auto"/>
            <w:vAlign w:val="center"/>
          </w:tcPr>
          <w:p w14:paraId="12B40264">
            <w:pPr>
              <w:widowControl/>
              <w:jc w:val="center"/>
              <w:rPr>
                <w:rFonts w:ascii="Times New Roman" w:hAnsi="Times New Roman" w:eastAsia="DengXian" w:cs="Times New Roman"/>
                <w:sz w:val="24"/>
              </w:rPr>
            </w:pPr>
            <w:r>
              <w:rPr>
                <w:rFonts w:hint="eastAsia" w:ascii="Times New Roman" w:hAnsi="Times New Roman" w:eastAsia="DengXian" w:cs="Times New Roman"/>
                <w:sz w:val="24"/>
              </w:rPr>
              <w:t>T -spot</w:t>
            </w:r>
          </w:p>
        </w:tc>
        <w:tc>
          <w:tcPr>
            <w:tcW w:w="3105" w:type="dxa"/>
            <w:tcBorders>
              <w:top w:val="nil"/>
              <w:left w:val="nil"/>
              <w:bottom w:val="nil"/>
              <w:right w:val="nil"/>
            </w:tcBorders>
            <w:shd w:val="clear" w:color="auto" w:fill="auto"/>
            <w:vAlign w:val="center"/>
          </w:tcPr>
          <w:p w14:paraId="549FBC84">
            <w:pPr>
              <w:widowControl/>
              <w:jc w:val="center"/>
              <w:rPr>
                <w:rFonts w:ascii="Times New Roman" w:hAnsi="Times New Roman" w:eastAsia="DengXian" w:cs="Times New Roman"/>
                <w:sz w:val="24"/>
              </w:rPr>
            </w:pPr>
            <w:r>
              <w:rPr>
                <w:rFonts w:hint="eastAsia" w:ascii="Times New Roman" w:hAnsi="Times New Roman" w:eastAsia="DengXian" w:cs="Times New Roman"/>
                <w:sz w:val="24"/>
              </w:rPr>
              <w:t>N</w:t>
            </w:r>
            <w:r>
              <w:rPr>
                <w:rFonts w:ascii="Times New Roman" w:hAnsi="Times New Roman" w:eastAsia="DengXian" w:cs="Times New Roman"/>
                <w:sz w:val="24"/>
              </w:rPr>
              <w:t>egative</w:t>
            </w:r>
          </w:p>
        </w:tc>
        <w:tc>
          <w:tcPr>
            <w:tcW w:w="3548" w:type="dxa"/>
            <w:tcBorders>
              <w:top w:val="nil"/>
              <w:left w:val="nil"/>
              <w:bottom w:val="nil"/>
              <w:right w:val="nil"/>
            </w:tcBorders>
            <w:shd w:val="clear" w:color="auto" w:fill="auto"/>
            <w:vAlign w:val="center"/>
          </w:tcPr>
          <w:p w14:paraId="1B30867A">
            <w:pPr>
              <w:widowControl/>
              <w:jc w:val="center"/>
              <w:rPr>
                <w:rFonts w:ascii="Times New Roman" w:hAnsi="Times New Roman" w:eastAsia="DengXian" w:cs="Times New Roman"/>
                <w:sz w:val="24"/>
              </w:rPr>
            </w:pPr>
            <w:r>
              <w:rPr>
                <w:rFonts w:hint="eastAsia" w:ascii="Times New Roman" w:hAnsi="Times New Roman" w:eastAsia="DengXian" w:cs="Times New Roman"/>
                <w:sz w:val="24"/>
              </w:rPr>
              <w:t>N</w:t>
            </w:r>
            <w:r>
              <w:rPr>
                <w:rFonts w:ascii="Times New Roman" w:hAnsi="Times New Roman" w:eastAsia="DengXian" w:cs="Times New Roman"/>
                <w:sz w:val="24"/>
              </w:rPr>
              <w:t>egative</w:t>
            </w:r>
          </w:p>
        </w:tc>
      </w:tr>
      <w:tr w14:paraId="3CBC64F9">
        <w:trPr>
          <w:trHeight w:val="340" w:hRule="atLeast"/>
        </w:trPr>
        <w:tc>
          <w:tcPr>
            <w:tcW w:w="2180" w:type="dxa"/>
            <w:tcBorders>
              <w:top w:val="nil"/>
              <w:left w:val="nil"/>
              <w:bottom w:val="nil"/>
              <w:right w:val="nil"/>
            </w:tcBorders>
            <w:shd w:val="clear" w:color="auto" w:fill="auto"/>
            <w:vAlign w:val="center"/>
          </w:tcPr>
          <w:p w14:paraId="58ABFE78">
            <w:pPr>
              <w:widowControl/>
              <w:jc w:val="center"/>
              <w:rPr>
                <w:rFonts w:ascii="Times New Roman" w:hAnsi="Times New Roman" w:eastAsia="DengXian" w:cs="Times New Roman"/>
                <w:sz w:val="24"/>
              </w:rPr>
            </w:pPr>
            <w:r>
              <w:rPr>
                <w:rFonts w:hint="eastAsia" w:ascii="Times New Roman" w:hAnsi="Times New Roman" w:eastAsia="DengXian" w:cs="Times New Roman"/>
                <w:sz w:val="24"/>
              </w:rPr>
              <w:t>EB V IgM</w:t>
            </w:r>
          </w:p>
        </w:tc>
        <w:tc>
          <w:tcPr>
            <w:tcW w:w="3105" w:type="dxa"/>
            <w:tcBorders>
              <w:top w:val="nil"/>
              <w:left w:val="nil"/>
              <w:bottom w:val="nil"/>
              <w:right w:val="nil"/>
            </w:tcBorders>
            <w:shd w:val="clear" w:color="auto" w:fill="auto"/>
            <w:vAlign w:val="center"/>
          </w:tcPr>
          <w:p w14:paraId="69D3DC10">
            <w:pPr>
              <w:widowControl/>
              <w:jc w:val="center"/>
              <w:rPr>
                <w:rFonts w:ascii="Times New Roman" w:hAnsi="Times New Roman" w:eastAsia="DengXian" w:cs="Times New Roman"/>
                <w:sz w:val="24"/>
              </w:rPr>
            </w:pPr>
            <w:r>
              <w:rPr>
                <w:rFonts w:hint="eastAsia" w:ascii="Times New Roman" w:hAnsi="Times New Roman" w:eastAsia="DengXian" w:cs="Times New Roman"/>
                <w:sz w:val="24"/>
              </w:rPr>
              <w:t>N</w:t>
            </w:r>
            <w:r>
              <w:rPr>
                <w:rFonts w:ascii="Times New Roman" w:hAnsi="Times New Roman" w:eastAsia="DengXian" w:cs="Times New Roman"/>
                <w:sz w:val="24"/>
              </w:rPr>
              <w:t>egative</w:t>
            </w:r>
          </w:p>
        </w:tc>
        <w:tc>
          <w:tcPr>
            <w:tcW w:w="3548" w:type="dxa"/>
            <w:tcBorders>
              <w:top w:val="nil"/>
              <w:left w:val="nil"/>
              <w:bottom w:val="nil"/>
              <w:right w:val="nil"/>
            </w:tcBorders>
            <w:shd w:val="clear" w:color="auto" w:fill="auto"/>
            <w:vAlign w:val="center"/>
          </w:tcPr>
          <w:p w14:paraId="53A41283">
            <w:pPr>
              <w:widowControl/>
              <w:jc w:val="center"/>
              <w:rPr>
                <w:rFonts w:ascii="Times New Roman" w:hAnsi="Times New Roman" w:eastAsia="DengXian" w:cs="Times New Roman"/>
                <w:sz w:val="24"/>
              </w:rPr>
            </w:pPr>
            <w:r>
              <w:rPr>
                <w:rFonts w:hint="eastAsia" w:ascii="Times New Roman" w:hAnsi="Times New Roman" w:eastAsia="DengXian" w:cs="Times New Roman"/>
                <w:sz w:val="24"/>
              </w:rPr>
              <w:t>N</w:t>
            </w:r>
            <w:r>
              <w:rPr>
                <w:rFonts w:ascii="Times New Roman" w:hAnsi="Times New Roman" w:eastAsia="DengXian" w:cs="Times New Roman"/>
                <w:sz w:val="24"/>
              </w:rPr>
              <w:t>egative</w:t>
            </w:r>
          </w:p>
        </w:tc>
      </w:tr>
      <w:tr w14:paraId="50093C5E">
        <w:trPr>
          <w:trHeight w:val="320" w:hRule="atLeast"/>
        </w:trPr>
        <w:tc>
          <w:tcPr>
            <w:tcW w:w="2180" w:type="dxa"/>
            <w:tcBorders>
              <w:top w:val="nil"/>
              <w:left w:val="nil"/>
              <w:bottom w:val="nil"/>
              <w:right w:val="nil"/>
            </w:tcBorders>
            <w:shd w:val="clear" w:color="auto" w:fill="auto"/>
            <w:vAlign w:val="center"/>
          </w:tcPr>
          <w:p w14:paraId="34030806">
            <w:pPr>
              <w:widowControl/>
              <w:jc w:val="center"/>
              <w:rPr>
                <w:rFonts w:ascii="Times New Roman" w:hAnsi="Times New Roman" w:eastAsia="DengXian" w:cs="Times New Roman"/>
                <w:sz w:val="24"/>
              </w:rPr>
            </w:pPr>
            <w:r>
              <w:rPr>
                <w:rFonts w:hint="eastAsia" w:ascii="Times New Roman" w:hAnsi="Times New Roman" w:eastAsia="DengXian" w:cs="Times New Roman"/>
                <w:sz w:val="24"/>
              </w:rPr>
              <w:t>CM V IgM</w:t>
            </w:r>
          </w:p>
        </w:tc>
        <w:tc>
          <w:tcPr>
            <w:tcW w:w="3105" w:type="dxa"/>
            <w:tcBorders>
              <w:top w:val="nil"/>
              <w:left w:val="nil"/>
              <w:bottom w:val="nil"/>
              <w:right w:val="nil"/>
            </w:tcBorders>
            <w:shd w:val="clear" w:color="auto" w:fill="auto"/>
            <w:vAlign w:val="center"/>
          </w:tcPr>
          <w:p w14:paraId="79CE883B">
            <w:pPr>
              <w:widowControl/>
              <w:jc w:val="center"/>
              <w:rPr>
                <w:rFonts w:ascii="Times New Roman" w:hAnsi="Times New Roman" w:eastAsia="DengXian" w:cs="Times New Roman"/>
                <w:sz w:val="24"/>
              </w:rPr>
            </w:pPr>
            <w:r>
              <w:rPr>
                <w:rFonts w:hint="eastAsia" w:ascii="Times New Roman" w:hAnsi="Times New Roman" w:eastAsia="DengXian" w:cs="Times New Roman"/>
                <w:sz w:val="24"/>
              </w:rPr>
              <w:t>N</w:t>
            </w:r>
            <w:r>
              <w:rPr>
                <w:rFonts w:ascii="Times New Roman" w:hAnsi="Times New Roman" w:eastAsia="DengXian" w:cs="Times New Roman"/>
                <w:sz w:val="24"/>
              </w:rPr>
              <w:t>egative</w:t>
            </w:r>
          </w:p>
        </w:tc>
        <w:tc>
          <w:tcPr>
            <w:tcW w:w="3548" w:type="dxa"/>
            <w:tcBorders>
              <w:top w:val="nil"/>
              <w:left w:val="nil"/>
              <w:bottom w:val="nil"/>
              <w:right w:val="nil"/>
            </w:tcBorders>
            <w:shd w:val="clear" w:color="auto" w:fill="auto"/>
            <w:vAlign w:val="center"/>
          </w:tcPr>
          <w:p w14:paraId="6D3A80CA">
            <w:pPr>
              <w:widowControl/>
              <w:jc w:val="center"/>
              <w:rPr>
                <w:rFonts w:ascii="Times New Roman" w:hAnsi="Times New Roman" w:eastAsia="DengXian" w:cs="Times New Roman"/>
                <w:sz w:val="24"/>
              </w:rPr>
            </w:pPr>
            <w:r>
              <w:rPr>
                <w:rFonts w:hint="eastAsia" w:ascii="Times New Roman" w:hAnsi="Times New Roman" w:eastAsia="DengXian" w:cs="Times New Roman"/>
                <w:sz w:val="24"/>
              </w:rPr>
              <w:t>N</w:t>
            </w:r>
            <w:r>
              <w:rPr>
                <w:rFonts w:ascii="Times New Roman" w:hAnsi="Times New Roman" w:eastAsia="DengXian" w:cs="Times New Roman"/>
                <w:sz w:val="24"/>
              </w:rPr>
              <w:t>egative</w:t>
            </w:r>
          </w:p>
        </w:tc>
      </w:tr>
      <w:tr w14:paraId="4A2C845F">
        <w:trPr>
          <w:trHeight w:val="380" w:hRule="atLeast"/>
        </w:trPr>
        <w:tc>
          <w:tcPr>
            <w:tcW w:w="2180" w:type="dxa"/>
            <w:tcBorders>
              <w:top w:val="nil"/>
              <w:left w:val="nil"/>
              <w:bottom w:val="nil"/>
              <w:right w:val="nil"/>
            </w:tcBorders>
            <w:shd w:val="clear" w:color="auto" w:fill="auto"/>
            <w:vAlign w:val="center"/>
          </w:tcPr>
          <w:p w14:paraId="52F6D1BB">
            <w:pPr>
              <w:widowControl/>
              <w:jc w:val="center"/>
              <w:rPr>
                <w:rFonts w:ascii="Times New Roman" w:hAnsi="Times New Roman" w:eastAsia="DengXian" w:cs="Times New Roman"/>
                <w:sz w:val="24"/>
              </w:rPr>
            </w:pPr>
            <w:r>
              <w:rPr>
                <w:rFonts w:hint="eastAsia" w:ascii="Times New Roman" w:hAnsi="Times New Roman" w:eastAsia="DengXian" w:cs="Times New Roman"/>
                <w:sz w:val="24"/>
              </w:rPr>
              <w:t>PET-CT</w:t>
            </w:r>
          </w:p>
        </w:tc>
        <w:tc>
          <w:tcPr>
            <w:tcW w:w="3105" w:type="dxa"/>
            <w:tcBorders>
              <w:top w:val="nil"/>
              <w:left w:val="nil"/>
              <w:bottom w:val="nil"/>
              <w:right w:val="nil"/>
            </w:tcBorders>
            <w:shd w:val="clear" w:color="auto" w:fill="auto"/>
            <w:vAlign w:val="center"/>
          </w:tcPr>
          <w:p w14:paraId="223A8A01">
            <w:pPr>
              <w:widowControl/>
              <w:jc w:val="center"/>
              <w:rPr>
                <w:rFonts w:ascii="Times New Roman" w:hAnsi="Times New Roman" w:eastAsia="DengXian" w:cs="Times New Roman"/>
                <w:sz w:val="24"/>
              </w:rPr>
            </w:pPr>
            <w:r>
              <w:rPr>
                <w:rFonts w:hint="eastAsia" w:ascii="Times New Roman" w:hAnsi="Times New Roman" w:eastAsia="DengXian" w:cs="Times New Roman"/>
                <w:sz w:val="24"/>
              </w:rPr>
              <w:t>NM</w:t>
            </w:r>
          </w:p>
        </w:tc>
        <w:tc>
          <w:tcPr>
            <w:tcW w:w="3548" w:type="dxa"/>
            <w:tcBorders>
              <w:top w:val="nil"/>
              <w:left w:val="nil"/>
              <w:bottom w:val="nil"/>
              <w:right w:val="nil"/>
            </w:tcBorders>
            <w:shd w:val="clear" w:color="auto" w:fill="auto"/>
            <w:vAlign w:val="center"/>
          </w:tcPr>
          <w:p w14:paraId="67882C4C">
            <w:pPr>
              <w:widowControl/>
              <w:jc w:val="center"/>
              <w:rPr>
                <w:rFonts w:ascii="Times New Roman" w:hAnsi="Times New Roman" w:eastAsia="DengXian" w:cs="Times New Roman"/>
                <w:sz w:val="24"/>
              </w:rPr>
            </w:pPr>
            <w:r>
              <w:rPr>
                <w:rFonts w:hint="eastAsia" w:ascii="Times New Roman" w:hAnsi="Times New Roman" w:eastAsia="DengXian" w:cs="Times New Roman"/>
                <w:sz w:val="24"/>
              </w:rPr>
              <w:t>NA</w:t>
            </w:r>
          </w:p>
        </w:tc>
      </w:tr>
      <w:tr w14:paraId="2CEF6391">
        <w:trPr>
          <w:trHeight w:val="360" w:hRule="atLeast"/>
        </w:trPr>
        <w:tc>
          <w:tcPr>
            <w:tcW w:w="2180" w:type="dxa"/>
            <w:tcBorders>
              <w:top w:val="nil"/>
              <w:left w:val="nil"/>
              <w:bottom w:val="nil"/>
              <w:right w:val="nil"/>
            </w:tcBorders>
            <w:shd w:val="clear" w:color="auto" w:fill="auto"/>
            <w:vAlign w:val="center"/>
          </w:tcPr>
          <w:p w14:paraId="405845CD">
            <w:pPr>
              <w:widowControl/>
              <w:jc w:val="center"/>
              <w:rPr>
                <w:rFonts w:ascii="Times New Roman" w:hAnsi="Times New Roman" w:eastAsia="DengXian" w:cs="Times New Roman"/>
                <w:sz w:val="24"/>
              </w:rPr>
            </w:pPr>
            <w:r>
              <w:rPr>
                <w:rFonts w:hint="eastAsia" w:ascii="Times New Roman" w:hAnsi="Times New Roman" w:eastAsia="DengXian" w:cs="Times New Roman"/>
                <w:sz w:val="24"/>
              </w:rPr>
              <w:t>Bone marrow biopsy</w:t>
            </w:r>
          </w:p>
        </w:tc>
        <w:tc>
          <w:tcPr>
            <w:tcW w:w="3105" w:type="dxa"/>
            <w:tcBorders>
              <w:top w:val="nil"/>
              <w:left w:val="nil"/>
              <w:bottom w:val="nil"/>
              <w:right w:val="nil"/>
            </w:tcBorders>
            <w:shd w:val="clear" w:color="auto" w:fill="auto"/>
            <w:vAlign w:val="center"/>
          </w:tcPr>
          <w:p w14:paraId="64D952A9">
            <w:pPr>
              <w:widowControl/>
              <w:jc w:val="center"/>
              <w:rPr>
                <w:rFonts w:ascii="Times New Roman" w:hAnsi="Times New Roman" w:eastAsia="DengXian" w:cs="Times New Roman"/>
                <w:sz w:val="24"/>
              </w:rPr>
            </w:pPr>
            <w:r>
              <w:rPr>
                <w:rFonts w:hint="eastAsia" w:ascii="Times New Roman" w:hAnsi="Times New Roman" w:eastAsia="DengXian" w:cs="Times New Roman"/>
                <w:sz w:val="24"/>
              </w:rPr>
              <w:t>NM</w:t>
            </w:r>
          </w:p>
        </w:tc>
        <w:tc>
          <w:tcPr>
            <w:tcW w:w="3548" w:type="dxa"/>
            <w:tcBorders>
              <w:top w:val="nil"/>
              <w:left w:val="nil"/>
              <w:bottom w:val="nil"/>
              <w:right w:val="nil"/>
            </w:tcBorders>
            <w:shd w:val="clear" w:color="auto" w:fill="auto"/>
            <w:vAlign w:val="center"/>
          </w:tcPr>
          <w:p w14:paraId="3F16B1C8">
            <w:pPr>
              <w:widowControl/>
              <w:jc w:val="center"/>
              <w:rPr>
                <w:rFonts w:ascii="Times New Roman" w:hAnsi="Times New Roman" w:eastAsia="DengXian" w:cs="Times New Roman"/>
                <w:sz w:val="24"/>
              </w:rPr>
            </w:pPr>
            <w:r>
              <w:rPr>
                <w:rFonts w:hint="eastAsia" w:ascii="Times New Roman" w:hAnsi="Times New Roman" w:eastAsia="DengXian" w:cs="Times New Roman"/>
                <w:sz w:val="24"/>
              </w:rPr>
              <w:t>NA</w:t>
            </w:r>
          </w:p>
        </w:tc>
      </w:tr>
      <w:tr w14:paraId="372EECD3">
        <w:trPr>
          <w:trHeight w:val="380" w:hRule="atLeast"/>
        </w:trPr>
        <w:tc>
          <w:tcPr>
            <w:tcW w:w="2180" w:type="dxa"/>
            <w:tcBorders>
              <w:top w:val="nil"/>
              <w:left w:val="nil"/>
              <w:bottom w:val="single" w:color="auto" w:sz="4" w:space="0"/>
              <w:right w:val="nil"/>
            </w:tcBorders>
            <w:shd w:val="clear" w:color="auto" w:fill="auto"/>
            <w:vAlign w:val="center"/>
          </w:tcPr>
          <w:p w14:paraId="7A5B0984">
            <w:pPr>
              <w:widowControl/>
              <w:jc w:val="center"/>
              <w:rPr>
                <w:rFonts w:ascii="Times New Roman" w:hAnsi="Times New Roman" w:eastAsia="DengXian" w:cs="Times New Roman"/>
                <w:sz w:val="24"/>
              </w:rPr>
            </w:pPr>
            <w:r>
              <w:rPr>
                <w:rFonts w:hint="eastAsia" w:ascii="Times New Roman" w:hAnsi="Times New Roman" w:eastAsia="DengXian" w:cs="Times New Roman"/>
                <w:sz w:val="24"/>
              </w:rPr>
              <w:t>Skin rash biopsy</w:t>
            </w:r>
          </w:p>
        </w:tc>
        <w:tc>
          <w:tcPr>
            <w:tcW w:w="3105" w:type="dxa"/>
            <w:tcBorders>
              <w:top w:val="nil"/>
              <w:left w:val="nil"/>
              <w:bottom w:val="single" w:color="auto" w:sz="4" w:space="0"/>
              <w:right w:val="nil"/>
            </w:tcBorders>
            <w:shd w:val="clear" w:color="auto" w:fill="auto"/>
            <w:vAlign w:val="center"/>
          </w:tcPr>
          <w:p w14:paraId="33D718CC">
            <w:pPr>
              <w:widowControl/>
              <w:jc w:val="center"/>
              <w:rPr>
                <w:rFonts w:ascii="Times New Roman" w:hAnsi="Times New Roman" w:eastAsia="DengXian" w:cs="Times New Roman"/>
                <w:sz w:val="24"/>
              </w:rPr>
            </w:pPr>
            <w:r>
              <w:rPr>
                <w:rFonts w:hint="eastAsia" w:ascii="Times New Roman" w:hAnsi="Times New Roman" w:eastAsia="DengXian" w:cs="Times New Roman"/>
                <w:sz w:val="24"/>
              </w:rPr>
              <w:t>NM</w:t>
            </w:r>
          </w:p>
        </w:tc>
        <w:tc>
          <w:tcPr>
            <w:tcW w:w="3548" w:type="dxa"/>
            <w:tcBorders>
              <w:top w:val="nil"/>
              <w:left w:val="nil"/>
              <w:bottom w:val="single" w:color="auto" w:sz="4" w:space="0"/>
              <w:right w:val="nil"/>
            </w:tcBorders>
            <w:shd w:val="clear" w:color="auto" w:fill="auto"/>
            <w:vAlign w:val="center"/>
          </w:tcPr>
          <w:p w14:paraId="28DDF666">
            <w:pPr>
              <w:widowControl/>
              <w:jc w:val="center"/>
              <w:rPr>
                <w:rFonts w:ascii="Times New Roman" w:hAnsi="Times New Roman" w:eastAsia="DengXian" w:cs="Times New Roman"/>
                <w:sz w:val="24"/>
              </w:rPr>
            </w:pPr>
            <w:r>
              <w:rPr>
                <w:rFonts w:hint="eastAsia" w:ascii="Times New Roman" w:hAnsi="Times New Roman" w:eastAsia="DengXian" w:cs="Times New Roman"/>
                <w:sz w:val="24"/>
              </w:rPr>
              <w:t>NA</w:t>
            </w:r>
          </w:p>
        </w:tc>
      </w:tr>
    </w:tbl>
    <w:p w14:paraId="290AC33C">
      <w:pPr>
        <w:widowControl/>
        <w:adjustRightInd w:val="0"/>
        <w:snapToGrid w:val="0"/>
        <w:spacing w:before="100" w:beforeAutospacing="1" w:after="100" w:afterAutospacing="1" w:line="360" w:lineRule="auto"/>
        <w:jc w:val="left"/>
        <w:rPr>
          <w:rFonts w:ascii="Times New Roman" w:hAnsi="Times New Roman" w:eastAsia="DengXian" w:cs="Times New Roman"/>
          <w:sz w:val="24"/>
        </w:rPr>
      </w:pPr>
      <w:r>
        <w:rPr>
          <w:rFonts w:ascii="Times New Roman" w:hAnsi="Times New Roman" w:eastAsia="DengXian" w:cs="Times New Roman"/>
          <w:sz w:val="24"/>
        </w:rPr>
        <w:t>WBC: white blood cell, Hb: Hemoglobin，ALT: Alanine aminotransferase，</w:t>
      </w:r>
    </w:p>
    <w:p w14:paraId="43E6679E">
      <w:pPr>
        <w:widowControl/>
        <w:adjustRightInd w:val="0"/>
        <w:snapToGrid w:val="0"/>
        <w:spacing w:before="100" w:beforeAutospacing="1" w:after="100" w:afterAutospacing="1" w:line="360" w:lineRule="auto"/>
        <w:jc w:val="left"/>
        <w:rPr>
          <w:rFonts w:hint="eastAsia" w:ascii="Times New Roman" w:hAnsi="Times New Roman" w:eastAsia="DengXian" w:cs="Times New Roman"/>
          <w:sz w:val="24"/>
        </w:rPr>
      </w:pPr>
      <w:r>
        <w:rPr>
          <w:rFonts w:ascii="Times New Roman" w:hAnsi="Times New Roman" w:eastAsia="DengXian" w:cs="Times New Roman"/>
          <w:sz w:val="24"/>
        </w:rPr>
        <w:t xml:space="preserve">AST: Aspartate aminotransferase, LDH: Lactate dehydrogenase, ESR: erythrocyte sedimentation rate, CRP; C reactive protein, RF: rheumatoid factor, ANA: antinuclear antibody, EBV: Epstein-Barr virus, CMV: Cytomegalovirus, PET-CT: positron emission tomography with computerized tomography, NM: Non-malignancy </w:t>
      </w:r>
    </w:p>
    <w:p w14:paraId="78716203">
      <w:pPr>
        <w:adjustRightInd w:val="0"/>
        <w:snapToGrid w:val="0"/>
        <w:spacing w:line="360" w:lineRule="auto"/>
        <w:rPr>
          <w:rFonts w:hint="eastAsia" w:ascii="Times New Roman" w:hAnsi="Times New Roman" w:eastAsia="DengXian" w:cs="Times New Roman"/>
          <w:b/>
          <w:bCs/>
          <w:sz w:val="24"/>
        </w:rPr>
      </w:pPr>
      <w:r>
        <w:rPr>
          <w:rFonts w:ascii="Times New Roman" w:hAnsi="Times New Roman" w:eastAsia="DengXian" w:cs="Times New Roman"/>
          <w:b/>
          <w:bCs/>
          <w:sz w:val="24"/>
        </w:rPr>
        <w:t xml:space="preserve">Table S2. </w:t>
      </w:r>
      <w:r>
        <w:rPr>
          <w:rFonts w:hint="eastAsia" w:ascii="Times New Roman" w:hAnsi="Times New Roman" w:eastAsia="DengXian" w:cs="Times New Roman"/>
          <w:b/>
          <w:bCs/>
          <w:sz w:val="24"/>
        </w:rPr>
        <w:t>A</w:t>
      </w:r>
      <w:r>
        <w:rPr>
          <w:rFonts w:ascii="Times New Roman" w:hAnsi="Times New Roman" w:eastAsia="DengXian" w:cs="Times New Roman"/>
          <w:b/>
          <w:bCs/>
          <w:sz w:val="24"/>
        </w:rPr>
        <w:t xml:space="preserve">nalysis characteristics of </w:t>
      </w:r>
      <w:r>
        <w:rPr>
          <w:rFonts w:hint="eastAsia" w:ascii="Times New Roman" w:hAnsi="Times New Roman" w:eastAsia="DengXian" w:cs="Times New Roman"/>
          <w:b/>
          <w:bCs/>
          <w:sz w:val="24"/>
        </w:rPr>
        <w:t>scRNA-seq</w:t>
      </w:r>
      <w:r>
        <w:rPr>
          <w:rFonts w:ascii="Times New Roman" w:hAnsi="Times New Roman" w:eastAsia="DengXian" w:cs="Times New Roman"/>
          <w:b/>
          <w:bCs/>
          <w:sz w:val="24"/>
        </w:rPr>
        <w:t xml:space="preserve"> samples involved in this study</w:t>
      </w:r>
      <w:r>
        <w:rPr>
          <w:rFonts w:hint="eastAsia" w:ascii="Times New Roman" w:hAnsi="Times New Roman" w:eastAsia="DengXian" w:cs="Times New Roman"/>
          <w:b/>
          <w:bCs/>
          <w:sz w:val="24"/>
        </w:rPr>
        <w:t>.</w:t>
      </w:r>
    </w:p>
    <w:tbl>
      <w:tblPr>
        <w:tblStyle w:val="7"/>
        <w:tblW w:w="0" w:type="auto"/>
        <w:tblInd w:w="0" w:type="dxa"/>
        <w:tblLayout w:type="autofit"/>
        <w:tblCellMar>
          <w:top w:w="0" w:type="dxa"/>
          <w:left w:w="108" w:type="dxa"/>
          <w:bottom w:w="0" w:type="dxa"/>
          <w:right w:w="108" w:type="dxa"/>
        </w:tblCellMar>
      </w:tblPr>
      <w:tblGrid>
        <w:gridCol w:w="2765"/>
        <w:gridCol w:w="2765"/>
        <w:gridCol w:w="2766"/>
      </w:tblGrid>
      <w:tr w14:paraId="23DA1364">
        <w:tc>
          <w:tcPr>
            <w:tcW w:w="2765" w:type="dxa"/>
            <w:tcBorders>
              <w:bottom w:val="single" w:color="7E7E7E" w:sz="4" w:space="0"/>
              <w:right w:val="nil"/>
              <w:insideH w:val="single" w:sz="4" w:space="0"/>
            </w:tcBorders>
            <w:shd w:val="clear" w:color="auto" w:fill="FFFFFF"/>
          </w:tcPr>
          <w:p w14:paraId="278CB53A">
            <w:pPr>
              <w:adjustRightInd w:val="0"/>
              <w:snapToGrid w:val="0"/>
              <w:spacing w:line="360" w:lineRule="auto"/>
              <w:rPr>
                <w:rFonts w:ascii="DengXian" w:hAnsi="DengXian" w:eastAsia="DengXian" w:cs="Times New Roman"/>
                <w:i w:val="0"/>
                <w:iCs w:val="0"/>
                <w:color w:val="000000"/>
              </w:rPr>
            </w:pPr>
          </w:p>
        </w:tc>
        <w:tc>
          <w:tcPr>
            <w:tcW w:w="2765" w:type="dxa"/>
            <w:tcBorders>
              <w:bottom w:val="single" w:color="7E7E7E" w:sz="4" w:space="0"/>
              <w:insideH w:val="single" w:sz="4" w:space="0"/>
            </w:tcBorders>
            <w:shd w:val="clear" w:color="auto" w:fill="FFFFFF"/>
          </w:tcPr>
          <w:p w14:paraId="1A67B8E2">
            <w:pPr>
              <w:adjustRightInd w:val="0"/>
              <w:snapToGrid w:val="0"/>
              <w:spacing w:line="360" w:lineRule="auto"/>
              <w:rPr>
                <w:rFonts w:ascii="DengXian" w:hAnsi="DengXian" w:eastAsia="DengXian" w:cs="Times New Roman"/>
                <w:i w:val="0"/>
                <w:iCs w:val="0"/>
                <w:color w:val="000000"/>
              </w:rPr>
            </w:pPr>
            <w:r>
              <w:rPr>
                <w:rFonts w:ascii="Times New Roman" w:hAnsi="Times New Roman" w:eastAsia="DengXian" w:cs="Times New Roman"/>
                <w:i w:val="0"/>
                <w:iCs w:val="0"/>
                <w:color w:val="000000"/>
                <w:kern w:val="0"/>
                <w:sz w:val="24"/>
              </w:rPr>
              <w:t xml:space="preserve">Patients          </w:t>
            </w:r>
          </w:p>
        </w:tc>
        <w:tc>
          <w:tcPr>
            <w:tcW w:w="2766" w:type="dxa"/>
            <w:tcBorders>
              <w:bottom w:val="single" w:color="7E7E7E" w:sz="4" w:space="0"/>
              <w:insideH w:val="single" w:sz="4" w:space="0"/>
            </w:tcBorders>
            <w:shd w:val="clear" w:color="auto" w:fill="FFFFFF"/>
          </w:tcPr>
          <w:p w14:paraId="745ADE5F">
            <w:pPr>
              <w:adjustRightInd w:val="0"/>
              <w:snapToGrid w:val="0"/>
              <w:spacing w:line="360" w:lineRule="auto"/>
              <w:rPr>
                <w:rFonts w:ascii="DengXian" w:hAnsi="DengXian" w:eastAsia="DengXian" w:cs="Times New Roman"/>
                <w:i w:val="0"/>
                <w:iCs w:val="0"/>
                <w:color w:val="000000"/>
              </w:rPr>
            </w:pPr>
            <w:r>
              <w:rPr>
                <w:rFonts w:ascii="Times New Roman" w:hAnsi="Times New Roman" w:eastAsia="DengXian" w:cs="Times New Roman"/>
                <w:i w:val="0"/>
                <w:iCs w:val="0"/>
                <w:color w:val="000000"/>
                <w:kern w:val="0"/>
                <w:sz w:val="24"/>
              </w:rPr>
              <w:t>Controls</w:t>
            </w:r>
          </w:p>
        </w:tc>
      </w:tr>
      <w:tr w14:paraId="66A9DEC8">
        <w:tc>
          <w:tcPr>
            <w:tcW w:w="2765" w:type="dxa"/>
            <w:tcBorders>
              <w:right w:val="single" w:color="7E7E7E" w:sz="4" w:space="0"/>
              <w:insideV w:val="single" w:sz="4" w:space="0"/>
            </w:tcBorders>
            <w:shd w:val="clear" w:color="auto" w:fill="FFFFFF"/>
          </w:tcPr>
          <w:p w14:paraId="73120FBA">
            <w:pPr>
              <w:adjustRightInd w:val="0"/>
              <w:snapToGrid w:val="0"/>
              <w:spacing w:line="360" w:lineRule="auto"/>
              <w:rPr>
                <w:rFonts w:ascii="DengXian" w:hAnsi="DengXian" w:eastAsia="DengXian" w:cs="Times New Roman"/>
                <w:i w:val="0"/>
                <w:iCs w:val="0"/>
                <w:color w:val="000000"/>
              </w:rPr>
            </w:pPr>
            <w:r>
              <w:rPr>
                <w:rFonts w:ascii="Times New Roman" w:hAnsi="Times New Roman" w:eastAsia="DengXian" w:cs="Times New Roman"/>
                <w:i w:val="0"/>
                <w:iCs w:val="0"/>
                <w:color w:val="000000"/>
                <w:kern w:val="0"/>
                <w:sz w:val="24"/>
              </w:rPr>
              <w:t xml:space="preserve">Sample       </w:t>
            </w:r>
          </w:p>
        </w:tc>
        <w:tc>
          <w:tcPr>
            <w:tcW w:w="2765" w:type="dxa"/>
            <w:shd w:val="clear" w:color="auto" w:fill="F1F1F1"/>
          </w:tcPr>
          <w:p w14:paraId="3A9AC3F2">
            <w:pPr>
              <w:adjustRightInd w:val="0"/>
              <w:snapToGrid w:val="0"/>
              <w:spacing w:line="360" w:lineRule="auto"/>
              <w:rPr>
                <w:rFonts w:ascii="DengXian" w:hAnsi="DengXian" w:eastAsia="DengXian" w:cs="Times New Roman"/>
                <w:color w:val="000000"/>
              </w:rPr>
            </w:pPr>
            <w:r>
              <w:rPr>
                <w:rFonts w:ascii="Times New Roman" w:hAnsi="Times New Roman" w:eastAsia="DengXian" w:cs="Times New Roman"/>
                <w:color w:val="000000"/>
                <w:kern w:val="0"/>
                <w:sz w:val="24"/>
              </w:rPr>
              <w:t>Blood</w:t>
            </w:r>
          </w:p>
        </w:tc>
        <w:tc>
          <w:tcPr>
            <w:tcW w:w="2766" w:type="dxa"/>
            <w:shd w:val="clear" w:color="auto" w:fill="F1F1F1"/>
          </w:tcPr>
          <w:p w14:paraId="62A185A1">
            <w:pPr>
              <w:adjustRightInd w:val="0"/>
              <w:snapToGrid w:val="0"/>
              <w:spacing w:line="360" w:lineRule="auto"/>
              <w:rPr>
                <w:rFonts w:ascii="DengXian" w:hAnsi="DengXian" w:eastAsia="DengXian" w:cs="Times New Roman"/>
                <w:color w:val="000000"/>
              </w:rPr>
            </w:pPr>
            <w:r>
              <w:rPr>
                <w:rFonts w:ascii="Times New Roman" w:hAnsi="Times New Roman" w:eastAsia="DengXian" w:cs="Times New Roman"/>
                <w:color w:val="000000"/>
                <w:kern w:val="0"/>
                <w:sz w:val="24"/>
              </w:rPr>
              <w:t>Blood</w:t>
            </w:r>
          </w:p>
        </w:tc>
      </w:tr>
      <w:tr w14:paraId="2D99EA2D">
        <w:tc>
          <w:tcPr>
            <w:tcW w:w="2765" w:type="dxa"/>
            <w:tcBorders>
              <w:right w:val="single" w:color="7E7E7E" w:sz="4" w:space="0"/>
              <w:insideV w:val="single" w:sz="4" w:space="0"/>
            </w:tcBorders>
            <w:shd w:val="clear" w:color="auto" w:fill="FFFFFF"/>
          </w:tcPr>
          <w:p w14:paraId="2D69C31C">
            <w:pPr>
              <w:adjustRightInd w:val="0"/>
              <w:snapToGrid w:val="0"/>
              <w:spacing w:line="360" w:lineRule="auto"/>
              <w:rPr>
                <w:rFonts w:ascii="DengXian" w:hAnsi="DengXian" w:eastAsia="DengXian" w:cs="Times New Roman"/>
                <w:i w:val="0"/>
                <w:iCs w:val="0"/>
                <w:color w:val="000000"/>
              </w:rPr>
            </w:pPr>
            <w:r>
              <w:rPr>
                <w:rFonts w:ascii="Times New Roman" w:hAnsi="Times New Roman" w:eastAsia="DengXian" w:cs="Times New Roman"/>
                <w:i w:val="0"/>
                <w:iCs w:val="0"/>
                <w:color w:val="000000"/>
                <w:kern w:val="0"/>
                <w:sz w:val="24"/>
              </w:rPr>
              <w:t>Total cells</w:t>
            </w:r>
          </w:p>
        </w:tc>
        <w:tc>
          <w:tcPr>
            <w:tcW w:w="2765" w:type="dxa"/>
          </w:tcPr>
          <w:p w14:paraId="5DA3F9C1">
            <w:pPr>
              <w:adjustRightInd w:val="0"/>
              <w:snapToGrid w:val="0"/>
              <w:spacing w:line="360" w:lineRule="auto"/>
              <w:rPr>
                <w:rFonts w:ascii="DengXian" w:hAnsi="DengXian" w:eastAsia="DengXian" w:cs="Times New Roman"/>
                <w:color w:val="000000"/>
              </w:rPr>
            </w:pPr>
            <w:r>
              <w:rPr>
                <w:rFonts w:ascii="Times New Roman" w:hAnsi="Times New Roman" w:eastAsia="DengXian" w:cs="Times New Roman"/>
                <w:color w:val="000000"/>
                <w:kern w:val="0"/>
                <w:sz w:val="24"/>
              </w:rPr>
              <w:t>79,920</w:t>
            </w:r>
          </w:p>
        </w:tc>
        <w:tc>
          <w:tcPr>
            <w:tcW w:w="2766" w:type="dxa"/>
          </w:tcPr>
          <w:p w14:paraId="5E1238E5">
            <w:pPr>
              <w:adjustRightInd w:val="0"/>
              <w:snapToGrid w:val="0"/>
              <w:spacing w:line="360" w:lineRule="auto"/>
              <w:rPr>
                <w:rFonts w:ascii="DengXian" w:hAnsi="DengXian" w:eastAsia="DengXian" w:cs="Times New Roman"/>
                <w:color w:val="000000"/>
              </w:rPr>
            </w:pPr>
            <w:r>
              <w:rPr>
                <w:rFonts w:ascii="Times New Roman" w:hAnsi="Times New Roman" w:eastAsia="DengXian" w:cs="Times New Roman"/>
                <w:color w:val="000000"/>
                <w:kern w:val="0"/>
                <w:sz w:val="24"/>
              </w:rPr>
              <w:t>14,253</w:t>
            </w:r>
          </w:p>
        </w:tc>
      </w:tr>
      <w:tr w14:paraId="4E8E2A09">
        <w:tc>
          <w:tcPr>
            <w:tcW w:w="2765" w:type="dxa"/>
            <w:tcBorders>
              <w:right w:val="single" w:color="7E7E7E" w:sz="4" w:space="0"/>
              <w:insideV w:val="single" w:sz="4" w:space="0"/>
            </w:tcBorders>
            <w:shd w:val="clear" w:color="auto" w:fill="FFFFFF"/>
          </w:tcPr>
          <w:p w14:paraId="62A1D3C4">
            <w:pPr>
              <w:adjustRightInd w:val="0"/>
              <w:snapToGrid w:val="0"/>
              <w:spacing w:line="360" w:lineRule="auto"/>
              <w:rPr>
                <w:rFonts w:ascii="DengXian" w:hAnsi="DengXian" w:eastAsia="DengXian" w:cs="Times New Roman"/>
                <w:i w:val="0"/>
                <w:iCs w:val="0"/>
                <w:color w:val="000000"/>
              </w:rPr>
            </w:pPr>
            <w:r>
              <w:rPr>
                <w:rFonts w:ascii="Times New Roman" w:hAnsi="Times New Roman" w:eastAsia="DengXian" w:cs="Times New Roman"/>
                <w:i w:val="0"/>
                <w:iCs w:val="0"/>
                <w:color w:val="000000"/>
                <w:kern w:val="0"/>
                <w:sz w:val="24"/>
              </w:rPr>
              <w:t xml:space="preserve">Range        </w:t>
            </w:r>
          </w:p>
        </w:tc>
        <w:tc>
          <w:tcPr>
            <w:tcW w:w="2765" w:type="dxa"/>
            <w:shd w:val="clear" w:color="auto" w:fill="F1F1F1"/>
          </w:tcPr>
          <w:p w14:paraId="24BC8CD4">
            <w:pPr>
              <w:adjustRightInd w:val="0"/>
              <w:snapToGrid w:val="0"/>
              <w:spacing w:line="360" w:lineRule="auto"/>
              <w:rPr>
                <w:rFonts w:ascii="DengXian" w:hAnsi="DengXian" w:eastAsia="DengXian" w:cs="Times New Roman"/>
                <w:color w:val="000000"/>
              </w:rPr>
            </w:pPr>
            <w:r>
              <w:rPr>
                <w:rFonts w:ascii="Times New Roman" w:hAnsi="Times New Roman" w:eastAsia="DengXian" w:cs="Times New Roman"/>
                <w:color w:val="000000"/>
                <w:kern w:val="0"/>
                <w:sz w:val="24"/>
              </w:rPr>
              <w:t>4,230-15,062</w:t>
            </w:r>
          </w:p>
        </w:tc>
        <w:tc>
          <w:tcPr>
            <w:tcW w:w="2766" w:type="dxa"/>
            <w:shd w:val="clear" w:color="auto" w:fill="F1F1F1"/>
          </w:tcPr>
          <w:p w14:paraId="3C570C7D">
            <w:pPr>
              <w:adjustRightInd w:val="0"/>
              <w:snapToGrid w:val="0"/>
              <w:spacing w:line="360" w:lineRule="auto"/>
              <w:rPr>
                <w:rFonts w:ascii="DengXian" w:hAnsi="DengXian" w:eastAsia="DengXian" w:cs="Times New Roman"/>
                <w:color w:val="000000"/>
              </w:rPr>
            </w:pPr>
            <w:r>
              <w:rPr>
                <w:rFonts w:ascii="Times New Roman" w:hAnsi="Times New Roman" w:eastAsia="DengXian" w:cs="Times New Roman"/>
                <w:color w:val="000000"/>
                <w:kern w:val="0"/>
                <w:sz w:val="24"/>
              </w:rPr>
              <w:t>3,125-11,128</w:t>
            </w:r>
          </w:p>
        </w:tc>
      </w:tr>
    </w:tbl>
    <w:p w14:paraId="1F51404C">
      <w:pPr>
        <w:adjustRightInd w:val="0"/>
        <w:snapToGrid w:val="0"/>
        <w:spacing w:line="360" w:lineRule="auto"/>
        <w:rPr>
          <w:rFonts w:hint="eastAsia" w:ascii="DengXian" w:hAnsi="DengXian" w:eastAsia="DengXian" w:cs="Times New Roman"/>
        </w:rPr>
      </w:pPr>
    </w:p>
    <w:p w14:paraId="01E25FE6">
      <w:pPr>
        <w:adjustRightInd w:val="0"/>
        <w:snapToGrid w:val="0"/>
        <w:spacing w:line="360" w:lineRule="auto"/>
        <w:rPr>
          <w:rFonts w:ascii="DengXian" w:hAnsi="DengXian" w:eastAsia="DengXian" w:cs="Times New Roman"/>
        </w:rPr>
      </w:pPr>
    </w:p>
    <w:p w14:paraId="532614F4">
      <w:pPr>
        <w:adjustRightInd w:val="0"/>
        <w:snapToGrid w:val="0"/>
        <w:spacing w:before="156" w:beforeLines="50" w:after="156" w:afterLines="50" w:line="360" w:lineRule="auto"/>
        <w:rPr>
          <w:rFonts w:ascii="Times New Roman" w:hAnsi="Times New Roman" w:eastAsia="宋体" w:cs="Times New Roman"/>
          <w:color w:val="000000"/>
        </w:rPr>
      </w:pPr>
    </w:p>
    <w:p w14:paraId="12AF6227">
      <w:bookmarkStart w:id="0" w:name="_GoBack"/>
      <w:bookmarkEnd w:id="0"/>
    </w:p>
    <w:sectPr>
      <w:footerReference r:id="rId3" w:type="default"/>
      <w:footerReference r:id="rId4" w:type="even"/>
      <w:pgSz w:w="11906" w:h="16838"/>
      <w:pgMar w:top="1440" w:right="1800" w:bottom="1440" w:left="1800"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DengXian">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Calibri Light">
    <w:altName w:val="Helvetica Neue"/>
    <w:panose1 w:val="00000000000000000000"/>
    <w:charset w:val="00"/>
    <w:family w:val="auto"/>
    <w:pitch w:val="default"/>
    <w:sig w:usb0="00000000" w:usb1="00000000" w:usb2="00000000" w:usb3="00000000" w:csb0="00000000" w:csb1="00000000"/>
  </w:font>
  <w:font w:name="Cambria">
    <w:altName w:val="苹方-简"/>
    <w:panose1 w:val="02040503050406030204"/>
    <w:charset w:val="00"/>
    <w:family w:val="roman"/>
    <w:pitch w:val="default"/>
    <w:sig w:usb0="00000000"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5"/>
      </w:rPr>
      <w:id w:val="504969046"/>
      <w:docPartObj>
        <w:docPartGallery w:val="autotext"/>
      </w:docPartObj>
    </w:sdtPr>
    <w:sdtEndPr>
      <w:rPr>
        <w:rStyle w:val="5"/>
      </w:rPr>
    </w:sdtEndPr>
    <w:sdtContent>
      <w:p w14:paraId="38321861">
        <w:pPr>
          <w:pStyle w:val="2"/>
          <w:framePr w:wrap="auto" w:vAnchor="text" w:hAnchor="margin" w:xAlign="center" w:y="1"/>
          <w:rPr>
            <w:rStyle w:val="5"/>
          </w:rPr>
        </w:pPr>
        <w:r>
          <w:rPr>
            <w:rStyle w:val="5"/>
          </w:rPr>
          <w:fldChar w:fldCharType="begin"/>
        </w:r>
        <w:r>
          <w:rPr>
            <w:rStyle w:val="5"/>
          </w:rPr>
          <w:instrText xml:space="preserve"> PAGE </w:instrText>
        </w:r>
        <w:r>
          <w:rPr>
            <w:rStyle w:val="5"/>
          </w:rPr>
          <w:fldChar w:fldCharType="separate"/>
        </w:r>
        <w:r>
          <w:rPr>
            <w:rStyle w:val="5"/>
          </w:rPr>
          <w:t>3</w:t>
        </w:r>
        <w:r>
          <w:rPr>
            <w:rStyle w:val="5"/>
          </w:rPr>
          <w:fldChar w:fldCharType="end"/>
        </w:r>
      </w:p>
    </w:sdtContent>
  </w:sdt>
  <w:p w14:paraId="11CA0131">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5"/>
      </w:rPr>
      <w:id w:val="-1"/>
      <w:docPartObj>
        <w:docPartGallery w:val="autotext"/>
      </w:docPartObj>
    </w:sdtPr>
    <w:sdtEndPr>
      <w:rPr>
        <w:rStyle w:val="5"/>
      </w:rPr>
    </w:sdtEndPr>
    <w:sdtContent>
      <w:p w14:paraId="713D5E4D">
        <w:pPr>
          <w:pStyle w:val="2"/>
          <w:framePr w:wrap="auto" w:vAnchor="text" w:hAnchor="margin" w:xAlign="center" w:y="1"/>
          <w:rPr>
            <w:rStyle w:val="5"/>
          </w:rPr>
        </w:pPr>
        <w:r>
          <w:rPr>
            <w:rStyle w:val="5"/>
          </w:rPr>
          <w:fldChar w:fldCharType="begin"/>
        </w:r>
        <w:r>
          <w:rPr>
            <w:rStyle w:val="5"/>
          </w:rPr>
          <w:instrText xml:space="preserve"> PAGE </w:instrText>
        </w:r>
        <w:r>
          <w:rPr>
            <w:rStyle w:val="5"/>
          </w:rPr>
          <w:fldChar w:fldCharType="end"/>
        </w:r>
      </w:p>
    </w:sdtContent>
  </w:sdt>
  <w:p w14:paraId="0E688C0D">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F6CAD41"/>
    <w:rsid w:val="2DBD1B9A"/>
    <w:rsid w:val="FF6CAD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character" w:styleId="5">
    <w:name w:val="page number"/>
    <w:basedOn w:val="4"/>
    <w:semiHidden/>
    <w:unhideWhenUsed/>
    <w:qFormat/>
    <w:uiPriority w:val="99"/>
  </w:style>
  <w:style w:type="character" w:customStyle="1" w:styleId="6">
    <w:name w:val="apple-converted-space"/>
    <w:basedOn w:val="4"/>
    <w:qFormat/>
    <w:uiPriority w:val="0"/>
  </w:style>
  <w:style w:type="table" w:customStyle="1" w:styleId="7">
    <w:name w:val="Plain Table 5"/>
    <w:basedOn w:val="3"/>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0</TotalTime>
  <ScaleCrop>false</ScaleCrop>
  <LinksUpToDate>false</LinksUpToDate>
  <CharactersWithSpaces>0</CharactersWithSpaces>
  <Application>WPS Office_12.1.24663.24663_F1E327BC-269C-435d-A152-05C5408002CA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2026-05-06T04:04:00Z</dcterms:created>
  <dc:creator>WPS_1770944109</dc:creator>
  <cp:lastModifiedBy>WPS_1770944109</cp:lastModifiedBy>
  <dcterms:modified xsi:type="dcterms:W3CDTF">2026-05-05T20:11:42Z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2052-12.1.24663.24663</vt:lpwstr>
  </property>
  <property fmtid="{D5CDD505-2E9C-101B-9397-08002B2CF9AE}" pid="3" name="ICV">
    <vt:lpwstr>293F298EDB02174ECADCF9691FA3E641_41</vt:lpwstr>
  </property>
</Properties>
</file>